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256172" w:rsidRDefault="009620BF" w:rsidP="00035A7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COMARCA DE JACAREÍ - 3ª VARA CÍVEL</w:t>
        <w:br/>
        <w:t>Embargante: Vf Serviços Automotivos LTDA-ME</w:t>
      </w:r>
    </w:p>
    <w:p w:rsidR="00BE5F67" w:rsidRPr="009620BF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AUTOR(A) S/A</w:t>
        <w:br/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11.497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E86F1A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julgado, emprestando efeitos infringentes a estes embargos, que não se prestam a tal finalidade – Embargos rejeitados.</w:t>
      </w:r>
    </w:p>
    <w:p w:rsidR="003C43A2" w:rsidRPr="00CA43F9" w:rsidRDefault="003C43A2" w:rsidP="003C43A2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BD530D" w:rsidRPr="00BD530D" w:rsidRDefault="00BD530D" w:rsidP="00BD530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VF Serviços AUTOR(A). em face do v. acórdão que negou provimento ao recurso de apelação, mantendo a condenação ao pagamento de indenização por danos materiais decorrentes da destruição de veículo enquanto sob a guarda da embargante.</w:t>
      </w:r>
    </w:p>
    <w:p w:rsidR="00BD530D" w:rsidRPr="00BD530D" w:rsidRDefault="00BD530D" w:rsidP="00BD530D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embargante alega, em síntese, a existência de contradição, ao argumento de que o acórdão teria atribuído sua responsabilidade ao fato de o causador do incêndio ter pernoitado nas suas dependências, o que não teria relação com o sinistro ocorrido durante o expediente. Sustenta, ainda, omissão quanto à análise da tese de caso fortuito externo, com base no artigo 393 do Código Civil.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334/340 apreciou os pontos expostos pelo apelante/embargante, negando provimento ao recurso. 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3C43A2" w:rsidRPr="00094490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3C43A2" w:rsidRPr="00026932" w:rsidRDefault="003C43A2" w:rsidP="003C43A2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D530D" w:rsidRPr="00BD530D" w:rsidRDefault="00BD530D" w:rsidP="00BD530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 alegação de contradição não prospera. O acórdão não condicionou a responsabilidade civil à mera permissão de pernoite do terceiro nas dependências da ré, mas sim reconheceu que, no contexto da prestação do serviço de guarda e reparação de veículos, a ré assumiu a obrigação de vigilância e conservação dos bens confiados, atraindo a aplicação da responsabilidade objetiva prevista no artigo 14 do Código de Defesa do Consumidor.</w:t>
      </w:r>
    </w:p>
    <w:p w:rsidR="00BD530D" w:rsidRPr="00BD530D" w:rsidRDefault="00BD530D" w:rsidP="00BD530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evento danoso, ainda que praticado por terceiro, não afasta o nexo de causalidade na espécie, uma vez que se insere no risco da atividade desenvolvida pela embargante. A jurisprudência é pacífica no sentido de que empresas que exercem a guarda de veículos respondem pelos danos ou furtos ocorridos, salvo demonstração de culpa exclusiva da vítima, o que não se configurou no caso concreto.</w:t>
      </w:r>
    </w:p>
    <w:p w:rsidR="00BD530D" w:rsidRPr="00BD530D" w:rsidRDefault="00BD530D" w:rsidP="00BD530D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Igualmente, não se verifica omissão quanto à análise do alegado caso fortuito externo. A decisão embargada foi clara ao afastar a incidência da excludente, ao consignar que o incêndio, ainda que iniciado por terceiro, não exime a responsabilidade da ré em razão do risco do empreendimento.</w:t>
        <w:br/>
        <w:t>O acórdão destacou que eventual responsabilidade de terceiros poderá ser apurada em ação própria de regresso, nos termos do artigo 934 do Código Civil, mas que não afasta a responsabilidade perante o consumidor.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4605" w:rsidRDefault="00404605" w:rsidP="00657CE6">
      <w:pPr>
        <w:spacing w:after="0" w:line="240" w:lineRule="auto"/>
      </w:pPr>
      <w:r>
        <w:separator/>
      </w:r>
    </w:p>
  </w:endnote>
  <w:endnote w:type="continuationSeparator" w:id="0">
    <w:p w:rsidR="00404605" w:rsidRDefault="00404605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4605" w:rsidRDefault="00404605" w:rsidP="00657CE6">
      <w:pPr>
        <w:spacing w:after="0" w:line="240" w:lineRule="auto"/>
      </w:pPr>
      <w:r>
        <w:separator/>
      </w:r>
    </w:p>
  </w:footnote>
  <w:footnote w:type="continuationSeparator" w:id="0">
    <w:p w:rsidR="00404605" w:rsidRDefault="00404605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D02C26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549D"/>
    <w:rsid w:val="00026932"/>
    <w:rsid w:val="00035A7A"/>
    <w:rsid w:val="00045525"/>
    <w:rsid w:val="00050B62"/>
    <w:rsid w:val="0009273D"/>
    <w:rsid w:val="00094490"/>
    <w:rsid w:val="000A45B1"/>
    <w:rsid w:val="000F35DD"/>
    <w:rsid w:val="001D7079"/>
    <w:rsid w:val="001E5948"/>
    <w:rsid w:val="0024500F"/>
    <w:rsid w:val="00251320"/>
    <w:rsid w:val="00256172"/>
    <w:rsid w:val="002600F3"/>
    <w:rsid w:val="00270485"/>
    <w:rsid w:val="0037169E"/>
    <w:rsid w:val="003C43A2"/>
    <w:rsid w:val="003F4037"/>
    <w:rsid w:val="00404605"/>
    <w:rsid w:val="00463C3A"/>
    <w:rsid w:val="004D20F2"/>
    <w:rsid w:val="004E4B0C"/>
    <w:rsid w:val="005130A5"/>
    <w:rsid w:val="005B15AC"/>
    <w:rsid w:val="005D0ED6"/>
    <w:rsid w:val="00656946"/>
    <w:rsid w:val="00657CE6"/>
    <w:rsid w:val="0069563B"/>
    <w:rsid w:val="006D046F"/>
    <w:rsid w:val="00704ED2"/>
    <w:rsid w:val="00713BCB"/>
    <w:rsid w:val="00744F22"/>
    <w:rsid w:val="007674DE"/>
    <w:rsid w:val="007E433F"/>
    <w:rsid w:val="008073C2"/>
    <w:rsid w:val="0083077B"/>
    <w:rsid w:val="00917847"/>
    <w:rsid w:val="00946FC3"/>
    <w:rsid w:val="00956A6C"/>
    <w:rsid w:val="009620BF"/>
    <w:rsid w:val="00995568"/>
    <w:rsid w:val="00A0591F"/>
    <w:rsid w:val="00A35568"/>
    <w:rsid w:val="00A6075A"/>
    <w:rsid w:val="00A851DE"/>
    <w:rsid w:val="00B161F1"/>
    <w:rsid w:val="00B45C3F"/>
    <w:rsid w:val="00B709FC"/>
    <w:rsid w:val="00B956A9"/>
    <w:rsid w:val="00BA0CA6"/>
    <w:rsid w:val="00BD530D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02C26"/>
    <w:rsid w:val="00DA2134"/>
    <w:rsid w:val="00DC3F28"/>
    <w:rsid w:val="00E07FC7"/>
    <w:rsid w:val="00E50D89"/>
    <w:rsid w:val="00E80FCF"/>
    <w:rsid w:val="00E84DF5"/>
    <w:rsid w:val="00EA20A2"/>
    <w:rsid w:val="00EC24AD"/>
    <w:rsid w:val="00F12A3B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0E551F2-07C9-48E0-BAEF-8F22369D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6EC2C-CDBA-4640-8BE4-CE14DA27C5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3210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2025-06-11T23:25:00Z</dcterms:created>
  <dcterms:modified xsi:type="dcterms:W3CDTF">2025-06-11T23:25:00Z</dcterms:modified>
</cp:coreProperties>
</file>