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57CE6" w:rsidRDefault="00657CE6" w:rsidP="00657CE6">
      <w:pPr>
        <w:spacing w:after="0" w:line="360" w:lineRule="auto"/>
        <w:jc w:val="both"/>
        <w:rPr>
          <w:rFonts w:ascii="Arial" w:hAnsi="Arial" w:cs="Arial"/>
          <w:b/>
          <w:sz w:val="24"/>
          <w:szCs w:val="24"/>
        </w:rPr>
      </w:pPr>
      <w:r>
        <w:t>EMBARGOS DE DECLARAÇÃO Nº 0000000-00.0000.0.00.0000/50000</w:t>
      </w:r>
    </w:p>
    <w:p w:rsidR="00A0106F" w:rsidRPr="00026932" w:rsidRDefault="00A0106F" w:rsidP="00657CE6">
      <w:pPr>
        <w:spacing w:after="0" w:line="360" w:lineRule="auto"/>
        <w:jc w:val="both"/>
        <w:rPr>
          <w:rFonts w:ascii="Arial" w:hAnsi="Arial" w:cs="Arial"/>
          <w:b/>
          <w:sz w:val="24"/>
          <w:szCs w:val="24"/>
        </w:rPr>
      </w:pPr>
      <w:r>
        <w:t>COMARCA DE SÃO PAULO – 1ª VARA CÍVEL DO FORO REGIONAL IV - LAPA</w:t>
      </w:r>
    </w:p>
    <w:p w:rsidR="00657CE6" w:rsidRPr="00256172" w:rsidRDefault="0009273D" w:rsidP="00035A7A">
      <w:pPr>
        <w:spacing w:after="0" w:line="360" w:lineRule="auto"/>
        <w:jc w:val="both"/>
        <w:rPr>
          <w:rFonts w:ascii="Arial" w:hAnsi="Arial" w:cs="Arial"/>
          <w:b/>
          <w:sz w:val="24"/>
        </w:rPr>
      </w:pPr>
      <w:r>
        <w:t>Embargante: ARTECOR RV SOLER COMERCIAL LTDA.</w:t>
      </w:r>
    </w:p>
    <w:p w:rsidR="00657CE6" w:rsidRPr="00256172" w:rsidRDefault="0009273D" w:rsidP="00657CE6">
      <w:pPr>
        <w:spacing w:after="0" w:line="360" w:lineRule="auto"/>
        <w:jc w:val="both"/>
        <w:rPr>
          <w:rFonts w:ascii="Arial" w:hAnsi="Arial" w:cs="Arial"/>
          <w:b/>
          <w:sz w:val="24"/>
        </w:rPr>
      </w:pPr>
      <w:r>
        <w:t>Embargada: Kael José Lourenço e outros</w:t>
      </w:r>
    </w:p>
    <w:p w:rsidR="00BE5F67" w:rsidRDefault="00BE5F67" w:rsidP="00657CE6">
      <w:pPr>
        <w:spacing w:after="0" w:line="360" w:lineRule="auto"/>
        <w:jc w:val="both"/>
        <w:rPr>
          <w:rFonts w:ascii="Arial" w:hAnsi="Arial" w:cs="Arial"/>
          <w:bCs/>
          <w:sz w:val="24"/>
          <w:szCs w:val="24"/>
        </w:rPr>
      </w:pPr>
      <w:r/>
    </w:p>
    <w:p w:rsidR="00657CE6" w:rsidRPr="00026932" w:rsidRDefault="00657CE6" w:rsidP="00657CE6">
      <w:pPr>
        <w:spacing w:after="0" w:line="360" w:lineRule="auto"/>
        <w:jc w:val="both"/>
        <w:rPr>
          <w:rFonts w:ascii="Arial" w:hAnsi="Arial"/>
          <w:b/>
          <w:sz w:val="24"/>
          <w:szCs w:val="24"/>
        </w:rPr>
      </w:pPr>
      <w:r>
        <w:t>VOTO nº 11.782</w:t>
      </w:r>
    </w:p>
    <w:p w:rsidR="00657CE6" w:rsidRPr="00026932" w:rsidRDefault="00657CE6" w:rsidP="00657CE6">
      <w:pPr>
        <w:pStyle w:val="Recuodecorpodetexto"/>
        <w:ind w:left="0"/>
        <w:rPr>
          <w:rFonts w:ascii="Arial" w:hAnsi="Arial" w:cs="Arial"/>
          <w:sz w:val="24"/>
          <w:szCs w:val="24"/>
        </w:rPr>
      </w:pPr>
      <w:r/>
    </w:p>
    <w:p w:rsidR="00657CE6" w:rsidRPr="00026932" w:rsidRDefault="00657CE6" w:rsidP="00657CE6">
      <w:pPr>
        <w:pStyle w:val="Recuodecorpodetexto"/>
        <w:rPr>
          <w:rFonts w:ascii="Arial" w:hAnsi="Arial" w:cs="Arial"/>
          <w:sz w:val="24"/>
          <w:szCs w:val="24"/>
        </w:rPr>
      </w:pPr>
      <w:r/>
    </w:p>
    <w:p w:rsidR="003C43A2" w:rsidRPr="00E86F1A" w:rsidRDefault="003C43A2" w:rsidP="003C43A2">
      <w:pPr>
        <w:pStyle w:val="Recuodecorpodetexto"/>
        <w:rPr>
          <w:rFonts w:ascii="Arial" w:hAnsi="Arial" w:cs="Arial"/>
          <w:sz w:val="22"/>
          <w:szCs w:val="22"/>
        </w:rPr>
      </w:pPr>
      <w:r>
        <w:t>EMBARGOS DE DECLARAÇÃO – Omissão – Acórdão que apreciou os pontos expostos pela parte em sua peça recursal, negando provimento ao recurso e mantendo a r. sentença tal como lançada - Embargante que busca, na verdade, a reforma do julgado emprestando efeitos infringentes a estes embargos, que não se prestam a tal finalidade – Embargos rejeitados.</w:t>
      </w:r>
    </w:p>
    <w:p w:rsidR="003C43A2" w:rsidRPr="00CA43F9" w:rsidRDefault="003C43A2" w:rsidP="003C43A2">
      <w:pPr>
        <w:pStyle w:val="Recuodecorpodetexto"/>
        <w:rPr>
          <w:rFonts w:ascii="Arial" w:hAnsi="Arial" w:cs="Arial"/>
          <w:sz w:val="22"/>
          <w:szCs w:val="22"/>
        </w:rPr>
      </w:pPr>
      <w:r/>
    </w:p>
    <w:p w:rsidR="003C43A2" w:rsidRPr="00E86F1A" w:rsidRDefault="003C43A2" w:rsidP="003C43A2">
      <w:pPr>
        <w:spacing w:after="0" w:line="360" w:lineRule="auto"/>
        <w:ind w:left="2268"/>
        <w:jc w:val="both"/>
        <w:rPr>
          <w:b/>
          <w:i/>
          <w:sz w:val="24"/>
          <w:szCs w:val="24"/>
        </w:rPr>
      </w:pPr>
      <w:r>
        <w:tab/>
      </w:r>
    </w:p>
    <w:p w:rsidR="003C43A2" w:rsidRPr="00F93752" w:rsidRDefault="003C43A2" w:rsidP="003C43A2">
      <w:pPr>
        <w:spacing w:after="0" w:line="360" w:lineRule="auto"/>
        <w:ind w:firstLine="1418"/>
        <w:jc w:val="both"/>
        <w:rPr>
          <w:rFonts w:ascii="Arial" w:hAnsi="Arial" w:cs="Arial"/>
          <w:b/>
          <w:bCs/>
          <w:sz w:val="24"/>
          <w:szCs w:val="24"/>
        </w:rPr>
      </w:pPr>
      <w:r>
        <w:t>Vistos.</w:t>
      </w:r>
    </w:p>
    <w:p w:rsidR="003C43A2" w:rsidRDefault="003C43A2" w:rsidP="003C43A2">
      <w:pPr>
        <w:spacing w:after="0" w:line="360" w:lineRule="auto"/>
        <w:ind w:firstLine="1418"/>
        <w:jc w:val="both"/>
        <w:rPr>
          <w:rFonts w:ascii="Arial" w:hAnsi="Arial" w:cs="Arial"/>
          <w:sz w:val="24"/>
          <w:szCs w:val="24"/>
        </w:rPr>
      </w:pPr>
      <w:r/>
    </w:p>
    <w:p w:rsidR="006F42FC" w:rsidRPr="006F42FC" w:rsidRDefault="006F42FC" w:rsidP="006F42FC">
      <w:pPr>
        <w:spacing w:after="0" w:line="360" w:lineRule="auto"/>
        <w:ind w:firstLine="1418"/>
        <w:jc w:val="both"/>
        <w:rPr>
          <w:rFonts w:ascii="Arial" w:hAnsi="Arial" w:cs="Arial"/>
          <w:sz w:val="24"/>
          <w:szCs w:val="24"/>
        </w:rPr>
      </w:pPr>
      <w:r>
        <w:t>Trata-se de embargos de declaração opostos por Artecor RV AUTOR(A). em face do v. acórdão que negou provimento ao seu recurso de apelação e deu provimento aos recursos das corrés Bricolagem e Protécnica, para julgar improcedente a ação em relação a estas últimas e manter a condenação da embargante pelos danos causados aos autores.</w:t>
      </w:r>
    </w:p>
    <w:p w:rsidR="006F42FC" w:rsidRPr="006F42FC" w:rsidRDefault="006F42FC" w:rsidP="006F42FC">
      <w:pPr>
        <w:spacing w:after="0" w:line="360" w:lineRule="auto"/>
        <w:ind w:firstLine="1418"/>
        <w:jc w:val="both"/>
        <w:rPr>
          <w:rFonts w:ascii="Arial" w:hAnsi="Arial" w:cs="Arial"/>
          <w:sz w:val="24"/>
          <w:szCs w:val="24"/>
        </w:rPr>
      </w:pPr>
      <w:r>
        <w:t>O embargante alega a existência de omissão, pleiteando por manifestação expressa sobre a impugnação, feita em apelação, dos valores fixados a título de indenização por danos materiais, especificamente quanto aos recibos de aluguel emitidos em nome de terceiro e despesas com materiais de construção supostamente não relacionados aos vícios apurados.</w:t>
      </w:r>
    </w:p>
    <w:p w:rsidR="003C43A2" w:rsidRPr="00026932" w:rsidRDefault="003C43A2" w:rsidP="003C43A2">
      <w:pPr>
        <w:spacing w:after="0" w:line="360" w:lineRule="auto"/>
        <w:ind w:firstLine="1418"/>
        <w:jc w:val="both"/>
        <w:rPr>
          <w:rFonts w:ascii="Arial" w:hAnsi="Arial"/>
          <w:sz w:val="24"/>
          <w:szCs w:val="24"/>
        </w:rPr>
      </w:pPr>
      <w:r/>
    </w:p>
    <w:p w:rsidR="003C43A2" w:rsidRPr="00026932" w:rsidRDefault="003C43A2" w:rsidP="003C43A2">
      <w:pPr>
        <w:spacing w:after="0" w:line="360" w:lineRule="auto"/>
        <w:ind w:firstLine="1418"/>
        <w:jc w:val="both"/>
        <w:rPr>
          <w:rFonts w:ascii="Arial" w:hAnsi="Arial"/>
          <w:b/>
          <w:sz w:val="24"/>
          <w:szCs w:val="24"/>
        </w:rPr>
      </w:pPr>
      <w:r>
        <w:t>É o relatório.</w:t>
      </w:r>
    </w:p>
    <w:p w:rsidR="003C43A2" w:rsidRPr="00026932" w:rsidRDefault="003C43A2" w:rsidP="003C43A2">
      <w:pPr>
        <w:spacing w:after="0" w:line="360" w:lineRule="auto"/>
        <w:ind w:firstLine="1418"/>
        <w:jc w:val="both"/>
        <w:rPr>
          <w:rFonts w:ascii="Arial" w:hAnsi="Arial"/>
          <w:b/>
          <w:sz w:val="24"/>
          <w:szCs w:val="24"/>
        </w:rPr>
      </w:pPr>
      <w:r/>
    </w:p>
    <w:p w:rsidR="003C43A2" w:rsidRPr="00026932" w:rsidRDefault="003C43A2" w:rsidP="003C43A2">
      <w:pPr>
        <w:spacing w:after="0" w:line="360" w:lineRule="auto"/>
        <w:ind w:firstLine="1418"/>
        <w:jc w:val="both"/>
        <w:rPr>
          <w:rFonts w:ascii="Arial" w:hAnsi="Arial" w:cs="Arial"/>
          <w:iCs/>
          <w:sz w:val="24"/>
          <w:szCs w:val="24"/>
        </w:rPr>
      </w:pPr>
      <w:r>
        <w:t>Os embargos devem ser conhecidos e rejeitados.</w:t>
      </w:r>
    </w:p>
    <w:p w:rsidR="003C43A2" w:rsidRPr="00026932" w:rsidRDefault="003C43A2" w:rsidP="003C43A2">
      <w:pPr>
        <w:spacing w:after="0" w:line="360" w:lineRule="auto"/>
        <w:ind w:firstLine="1418"/>
        <w:jc w:val="both"/>
        <w:rPr>
          <w:rFonts w:ascii="Arial" w:hAnsi="Arial" w:cs="Arial"/>
          <w:iCs/>
          <w:sz w:val="24"/>
          <w:szCs w:val="24"/>
        </w:rPr>
      </w:pPr>
      <w:r>
        <w:t xml:space="preserve">Com efeito, o v. acórdão embargado apreciou os pontos expostos pelo apelante/embargante, negando provimento ao recurso. </w:t>
      </w:r>
    </w:p>
    <w:p w:rsidR="003C43A2" w:rsidRDefault="003C43A2" w:rsidP="003C43A2">
      <w:pPr>
        <w:spacing w:after="0" w:line="360" w:lineRule="auto"/>
        <w:ind w:firstLine="1418"/>
        <w:jc w:val="both"/>
        <w:rPr>
          <w:rFonts w:ascii="Arial" w:hAnsi="Arial"/>
          <w:sz w:val="24"/>
          <w:szCs w:val="24"/>
        </w:rPr>
      </w:pPr>
      <w:r>
        <w:t>O embargante opôs estes embargos declaratórios visando rediscutir teses que foram devidamente apreciadas no v. acórdão atacado, observando que a via processual escolhida não se presta a reexaminar matéria já apreciada, e não se verifica quaisquer das hipóteses elencadas no artigo 1.022 do Código de AUTOR(A), conforme segue:</w:t>
      </w:r>
    </w:p>
    <w:p w:rsidR="003C43A2" w:rsidRPr="00026932" w:rsidRDefault="003C43A2" w:rsidP="003C43A2">
      <w:pPr>
        <w:spacing w:after="0" w:line="360" w:lineRule="auto"/>
        <w:ind w:firstLine="1418"/>
        <w:jc w:val="both"/>
        <w:rPr>
          <w:rFonts w:ascii="Arial" w:hAnsi="Arial"/>
          <w:sz w:val="24"/>
          <w:szCs w:val="24"/>
        </w:rPr>
      </w:pPr>
      <w:r/>
    </w:p>
    <w:p w:rsidR="003C43A2" w:rsidRPr="00094490" w:rsidRDefault="003C43A2" w:rsidP="003C43A2">
      <w:pPr>
        <w:pStyle w:val="NormalWeb"/>
        <w:spacing w:before="0" w:beforeAutospacing="0" w:after="0" w:afterAutospacing="0" w:line="360" w:lineRule="auto"/>
        <w:ind w:left="1418"/>
        <w:jc w:val="both"/>
        <w:rPr>
          <w:b/>
          <w:color w:val="000000"/>
          <w:sz w:val="22"/>
          <w:szCs w:val="22"/>
        </w:rPr>
      </w:pPr>
      <w:r>
        <w:t>“Art. 1.022. Cabem embargos de declaração contra qualquer decisão judicial para:</w:t>
      </w:r>
    </w:p>
    <w:p w:rsidR="003C43A2" w:rsidRPr="00094490" w:rsidRDefault="003C43A2" w:rsidP="003C43A2">
      <w:pPr>
        <w:pStyle w:val="NormalWeb"/>
        <w:spacing w:before="0" w:beforeAutospacing="0" w:after="0" w:afterAutospacing="0" w:line="360" w:lineRule="auto"/>
        <w:ind w:left="1418"/>
        <w:jc w:val="both"/>
        <w:rPr>
          <w:b/>
          <w:color w:val="000000"/>
          <w:sz w:val="22"/>
          <w:szCs w:val="22"/>
        </w:rPr>
      </w:pPr>
      <w:r>
        <w:t>I - esclarecer obscuridade ou eliminar contradição;</w:t>
      </w:r>
    </w:p>
    <w:p w:rsidR="003C43A2" w:rsidRPr="00094490" w:rsidRDefault="003C43A2" w:rsidP="003C43A2">
      <w:pPr>
        <w:pStyle w:val="NormalWeb"/>
        <w:spacing w:before="0" w:beforeAutospacing="0" w:after="0" w:afterAutospacing="0" w:line="360" w:lineRule="auto"/>
        <w:ind w:left="1418"/>
        <w:jc w:val="both"/>
        <w:rPr>
          <w:b/>
          <w:color w:val="000000"/>
          <w:sz w:val="22"/>
          <w:szCs w:val="22"/>
        </w:rPr>
      </w:pPr>
      <w:r>
        <w:t>II - suprir omissão de ponto ou questão sobre o qual devia se pronunciar o juiz de ofício ou a requerimento;</w:t>
      </w:r>
    </w:p>
    <w:p w:rsidR="003C43A2" w:rsidRPr="00026932" w:rsidRDefault="003C43A2" w:rsidP="003C43A2">
      <w:pPr>
        <w:pStyle w:val="NormalWeb"/>
        <w:spacing w:before="0" w:beforeAutospacing="0" w:after="0" w:afterAutospacing="0" w:line="360" w:lineRule="auto"/>
        <w:ind w:left="1418"/>
        <w:jc w:val="both"/>
        <w:rPr>
          <w:b/>
          <w:color w:val="000000"/>
        </w:rPr>
      </w:pPr>
      <w:r>
        <w:t>III - corrigir erro material.”</w:t>
      </w:r>
    </w:p>
    <w:p w:rsidR="003C43A2" w:rsidRPr="00026932" w:rsidRDefault="003C43A2" w:rsidP="003C43A2">
      <w:pPr>
        <w:spacing w:after="0" w:line="360" w:lineRule="auto"/>
        <w:ind w:firstLine="1418"/>
        <w:jc w:val="both"/>
        <w:rPr>
          <w:rFonts w:ascii="Arial" w:hAnsi="Arial"/>
          <w:sz w:val="24"/>
          <w:szCs w:val="24"/>
        </w:rPr>
      </w:pPr>
      <w:r/>
    </w:p>
    <w:p w:rsidR="00640803" w:rsidRDefault="00640803" w:rsidP="00640803">
      <w:pPr>
        <w:spacing w:after="0" w:line="360" w:lineRule="auto"/>
        <w:ind w:firstLine="1418"/>
        <w:jc w:val="both"/>
        <w:rPr>
          <w:rFonts w:ascii="Arial" w:hAnsi="Arial"/>
          <w:sz w:val="24"/>
          <w:szCs w:val="24"/>
        </w:rPr>
      </w:pPr>
      <w:r>
        <w:t>A alegada omissão não se verifica. Isso porque o acórdão examinou, de forma suficiente, a responsabilidade da embargante quanto aos danos materiais, com base na prova pericial e demais elementos dos autos, concluindo pela procedência do pedido indenizatório. A individualização de cada item indenizável, como os mencionados recibos ou materiais, não era imprescindível, sobretudo diante da caracterização global do dano e da ampla análise fática constante do julgado.</w:t>
      </w:r>
    </w:p>
    <w:p w:rsidR="00976256" w:rsidRPr="00640803" w:rsidRDefault="00976256" w:rsidP="00640803">
      <w:pPr>
        <w:spacing w:after="0" w:line="360" w:lineRule="auto"/>
        <w:ind w:firstLine="1418"/>
        <w:jc w:val="both"/>
        <w:rPr>
          <w:rFonts w:ascii="Arial" w:hAnsi="Arial"/>
          <w:sz w:val="24"/>
          <w:szCs w:val="24"/>
        </w:rPr>
      </w:pPr>
      <w:r>
        <w:t>Em sede de embargos de declaração, não é possível revisitar fundamentos jurídicos ou probatórios já enfrentados na decisão embargada sob a roupagem de omissão.</w:t>
      </w:r>
    </w:p>
    <w:p w:rsidR="00640803" w:rsidRPr="00640803" w:rsidRDefault="00640803" w:rsidP="00640803">
      <w:pPr>
        <w:spacing w:after="0" w:line="360" w:lineRule="auto"/>
        <w:ind w:firstLine="1418"/>
        <w:jc w:val="both"/>
        <w:rPr>
          <w:rFonts w:ascii="Arial" w:hAnsi="Arial"/>
          <w:sz w:val="24"/>
          <w:szCs w:val="24"/>
        </w:rPr>
      </w:pPr>
      <w:r>
        <w:t>Reforço que os embargos de declaração têm função específica de esclarecer obscuridade, eliminar contradição, suprir omissão ou corrigir erro material na decisão embargada, nos termos do artigo 1.022 do Código de AUTOR(A), não se prestando à rediscussão da matéria nem à inovação recursal.</w:t>
      </w:r>
    </w:p>
    <w:p w:rsidR="00640803" w:rsidRPr="00640803" w:rsidRDefault="00640803" w:rsidP="00640803">
      <w:pPr>
        <w:spacing w:after="0" w:line="360" w:lineRule="auto"/>
        <w:ind w:firstLine="1418"/>
        <w:jc w:val="both"/>
        <w:rPr>
          <w:rFonts w:ascii="Arial" w:hAnsi="Arial"/>
          <w:sz w:val="24"/>
          <w:szCs w:val="24"/>
        </w:rPr>
      </w:pPr>
      <w:r>
        <w:t>Assim, não há qualquer omissão, contradição, obscuridade ou erro material a ser sanado, mas mera irresignação com o resultado do julgamento, sendo certo que a oposição de embargos de declaração não é a via adequada para tal finalidade.</w:t>
      </w:r>
    </w:p>
    <w:p w:rsidR="003C43A2" w:rsidRPr="00026932" w:rsidRDefault="00CD3716" w:rsidP="003C43A2">
      <w:pPr>
        <w:spacing w:after="0" w:line="360" w:lineRule="auto"/>
        <w:ind w:firstLine="1418"/>
        <w:jc w:val="both"/>
        <w:rPr>
          <w:rFonts w:ascii="Arial" w:hAnsi="Arial"/>
          <w:sz w:val="24"/>
          <w:szCs w:val="24"/>
        </w:rPr>
      </w:pPr>
      <w:r>
        <w:t xml:space="preserve">Anoto, por fim, que não se vislumbra no v. acórdão ofensas a dispositivos legais, para fins de prequestionamento. </w:t>
      </w:r>
    </w:p>
    <w:p w:rsidR="003C43A2" w:rsidRPr="00026932" w:rsidRDefault="003C43A2" w:rsidP="003C43A2">
      <w:pPr>
        <w:spacing w:after="0" w:line="360" w:lineRule="auto"/>
        <w:ind w:firstLine="1418"/>
        <w:jc w:val="both"/>
        <w:rPr>
          <w:rFonts w:ascii="Arial" w:hAnsi="Arial" w:cs="Arial"/>
          <w:iCs/>
          <w:sz w:val="24"/>
          <w:szCs w:val="24"/>
        </w:rPr>
      </w:pPr>
      <w:r/>
    </w:p>
    <w:p w:rsidR="003C43A2" w:rsidRPr="00026932" w:rsidRDefault="003C43A2" w:rsidP="003C43A2">
      <w:pPr>
        <w:spacing w:after="0" w:line="360" w:lineRule="auto"/>
        <w:ind w:firstLine="1418"/>
        <w:jc w:val="both"/>
        <w:rPr>
          <w:rFonts w:ascii="Arial" w:hAnsi="Arial" w:cs="Arial"/>
          <w:iCs/>
          <w:sz w:val="24"/>
          <w:szCs w:val="24"/>
        </w:rPr>
      </w:pPr>
      <w:r>
        <w:t>Nestes termos, pelo meu voto, rejeito os embargos de declaração.</w:t>
      </w:r>
    </w:p>
    <w:p w:rsidR="003C43A2" w:rsidRPr="000665B8" w:rsidRDefault="003C43A2" w:rsidP="003C43A2">
      <w:pPr>
        <w:spacing w:after="0" w:line="360" w:lineRule="auto"/>
        <w:jc w:val="both"/>
        <w:rPr>
          <w:rFonts w:ascii="Arial" w:hAnsi="Arial" w:cs="Arial"/>
          <w:iCs/>
          <w:sz w:val="24"/>
        </w:rPr>
      </w:pPr>
      <w:r/>
    </w:p>
    <w:p w:rsidR="003C43A2" w:rsidRPr="000665B8" w:rsidRDefault="003C43A2" w:rsidP="003C43A2">
      <w:pPr>
        <w:spacing w:after="0" w:line="360" w:lineRule="auto"/>
        <w:jc w:val="center"/>
        <w:rPr>
          <w:rFonts w:ascii="Arial" w:hAnsi="Arial"/>
          <w:b/>
          <w:sz w:val="24"/>
        </w:rPr>
      </w:pPr>
      <w:r>
        <w:tab/>
        <w:t>JOSÉ AUGUSTO GENOFRE MARTINS</w:t>
      </w:r>
    </w:p>
    <w:p w:rsidR="003C43A2" w:rsidRDefault="003C43A2" w:rsidP="003C43A2">
      <w:pPr>
        <w:spacing w:after="0" w:line="360" w:lineRule="auto"/>
        <w:jc w:val="center"/>
      </w:pPr>
      <w:r>
        <w:t xml:space="preserve">        Relator</w:t>
      </w:r>
    </w:p>
    <w:p w:rsidR="00CE51C9" w:rsidRDefault="00CE51C9" w:rsidP="003C43A2">
      <w:pPr>
        <w:pStyle w:val="Recuodecorpodetexto"/>
      </w:pPr>
      <w:r/>
    </w:p>
    <w:sectPr w:rsidR="00CE51C9">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9743C" w:rsidRDefault="00B9743C" w:rsidP="00657CE6">
      <w:pPr>
        <w:spacing w:after="0" w:line="240" w:lineRule="auto"/>
      </w:pPr>
      <w:r>
        <w:separator/>
      </w:r>
    </w:p>
  </w:endnote>
  <w:endnote w:type="continuationSeparator" w:id="0">
    <w:p w:rsidR="00B9743C" w:rsidRDefault="00B9743C" w:rsidP="00657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9743C" w:rsidRDefault="00B9743C" w:rsidP="00657CE6">
      <w:pPr>
        <w:spacing w:after="0" w:line="240" w:lineRule="auto"/>
      </w:pPr>
      <w:r>
        <w:separator/>
      </w:r>
    </w:p>
  </w:footnote>
  <w:footnote w:type="continuationSeparator" w:id="0">
    <w:p w:rsidR="00B9743C" w:rsidRDefault="00B9743C" w:rsidP="00657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47CF" w:rsidRPr="000665B8" w:rsidRDefault="00F347CF" w:rsidP="00F347CF">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F347CF" w:rsidRPr="000665B8" w:rsidTr="00F347CF">
      <w:trPr>
        <w:trHeight w:val="559"/>
      </w:trPr>
      <w:tc>
        <w:tcPr>
          <w:tcW w:w="2490" w:type="dxa"/>
          <w:tcBorders>
            <w:top w:val="nil"/>
            <w:left w:val="nil"/>
            <w:bottom w:val="nil"/>
            <w:right w:val="nil"/>
          </w:tcBorders>
          <w:vAlign w:val="center"/>
        </w:tcPr>
        <w:p w:rsidR="00F347CF" w:rsidRPr="000665B8" w:rsidRDefault="00F347CF" w:rsidP="00F347CF">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DC3F28" w:rsidRPr="00DC3F28">
            <w:rPr>
              <w:rFonts w:ascii="Times New Roman" w:hAnsi="Times New Roman"/>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90.75pt;height:59.25pt;visibility:visible">
                <v:imagedata r:id="rId1" o:title=""/>
              </v:shape>
            </w:pict>
          </w:r>
        </w:p>
      </w:tc>
      <w:tc>
        <w:tcPr>
          <w:tcW w:w="5870" w:type="dxa"/>
          <w:tcBorders>
            <w:top w:val="nil"/>
            <w:left w:val="nil"/>
            <w:bottom w:val="nil"/>
            <w:right w:val="nil"/>
          </w:tcBorders>
          <w:vAlign w:val="center"/>
        </w:tcPr>
        <w:p w:rsidR="00F347CF" w:rsidRPr="000665B8" w:rsidRDefault="00F347CF" w:rsidP="00F347CF">
          <w:pPr>
            <w:autoSpaceDE w:val="0"/>
            <w:autoSpaceDN w:val="0"/>
            <w:adjustRightInd w:val="0"/>
            <w:spacing w:after="120" w:line="240" w:lineRule="auto"/>
            <w:rPr>
              <w:rFonts w:ascii="Times New Roman" w:hAnsi="Times New Roman"/>
              <w:b/>
              <w:bCs/>
            </w:rPr>
          </w:pPr>
        </w:p>
        <w:p w:rsidR="00F347CF" w:rsidRPr="000665B8" w:rsidRDefault="00F347CF" w:rsidP="00F347CF">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F347CF" w:rsidRPr="000665B8" w:rsidRDefault="00F347CF" w:rsidP="00F347CF">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F347CF" w:rsidRPr="000665B8" w:rsidRDefault="00F347CF" w:rsidP="00F347CF">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0D59A1">
            <w:rPr>
              <w:rFonts w:ascii="Times New Roman" w:hAnsi="Times New Roman"/>
              <w:b/>
            </w:rPr>
            <w:t>29</w:t>
          </w:r>
          <w:r w:rsidRPr="000665B8">
            <w:rPr>
              <w:rFonts w:ascii="Times New Roman" w:hAnsi="Times New Roman"/>
              <w:b/>
            </w:rPr>
            <w:t>ª Câmara</w:t>
          </w:r>
        </w:p>
      </w:tc>
    </w:tr>
  </w:tbl>
  <w:p w:rsidR="00F347CF" w:rsidRPr="000665B8" w:rsidRDefault="00F347CF" w:rsidP="00F347CF">
    <w:pPr>
      <w:pStyle w:val="Cabealho"/>
      <w:spacing w:after="120" w:line="240" w:lineRule="auto"/>
      <w:rPr>
        <w:rFonts w:ascii="Times New Roman" w:hAnsi="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7CE6"/>
    <w:rsid w:val="0000549D"/>
    <w:rsid w:val="00026932"/>
    <w:rsid w:val="00035A7A"/>
    <w:rsid w:val="00045525"/>
    <w:rsid w:val="00050B62"/>
    <w:rsid w:val="00072FCD"/>
    <w:rsid w:val="0009273D"/>
    <w:rsid w:val="00094490"/>
    <w:rsid w:val="000A45B1"/>
    <w:rsid w:val="000D59A1"/>
    <w:rsid w:val="000F35DD"/>
    <w:rsid w:val="001230F6"/>
    <w:rsid w:val="001D7079"/>
    <w:rsid w:val="001E5948"/>
    <w:rsid w:val="0024500F"/>
    <w:rsid w:val="00251320"/>
    <w:rsid w:val="00256172"/>
    <w:rsid w:val="002600F3"/>
    <w:rsid w:val="00270485"/>
    <w:rsid w:val="003C43A2"/>
    <w:rsid w:val="003E503E"/>
    <w:rsid w:val="003F4037"/>
    <w:rsid w:val="00463C3A"/>
    <w:rsid w:val="004D20F2"/>
    <w:rsid w:val="004E4B0C"/>
    <w:rsid w:val="005130A5"/>
    <w:rsid w:val="00581A62"/>
    <w:rsid w:val="005B15AC"/>
    <w:rsid w:val="005D0ED6"/>
    <w:rsid w:val="00640803"/>
    <w:rsid w:val="00652824"/>
    <w:rsid w:val="00656946"/>
    <w:rsid w:val="00657CE6"/>
    <w:rsid w:val="00687CF9"/>
    <w:rsid w:val="0069563B"/>
    <w:rsid w:val="006D046F"/>
    <w:rsid w:val="006F42FC"/>
    <w:rsid w:val="00704ED2"/>
    <w:rsid w:val="00713BCB"/>
    <w:rsid w:val="00744F22"/>
    <w:rsid w:val="007674DE"/>
    <w:rsid w:val="007E433F"/>
    <w:rsid w:val="008073C2"/>
    <w:rsid w:val="0083077B"/>
    <w:rsid w:val="008B439A"/>
    <w:rsid w:val="00917847"/>
    <w:rsid w:val="00933540"/>
    <w:rsid w:val="00946FC3"/>
    <w:rsid w:val="00956A6C"/>
    <w:rsid w:val="00976256"/>
    <w:rsid w:val="00995568"/>
    <w:rsid w:val="009C1480"/>
    <w:rsid w:val="009F53E0"/>
    <w:rsid w:val="00A0106F"/>
    <w:rsid w:val="00A0591F"/>
    <w:rsid w:val="00A35568"/>
    <w:rsid w:val="00A6075A"/>
    <w:rsid w:val="00A851DE"/>
    <w:rsid w:val="00B161F1"/>
    <w:rsid w:val="00B45C3F"/>
    <w:rsid w:val="00B53A40"/>
    <w:rsid w:val="00B709FC"/>
    <w:rsid w:val="00B956A9"/>
    <w:rsid w:val="00B9743C"/>
    <w:rsid w:val="00BA0CA6"/>
    <w:rsid w:val="00BE5F67"/>
    <w:rsid w:val="00C17E2B"/>
    <w:rsid w:val="00C61B60"/>
    <w:rsid w:val="00CA43F9"/>
    <w:rsid w:val="00CC2FEE"/>
    <w:rsid w:val="00CD01B7"/>
    <w:rsid w:val="00CD3716"/>
    <w:rsid w:val="00CD5FF5"/>
    <w:rsid w:val="00CE51C9"/>
    <w:rsid w:val="00CF4E24"/>
    <w:rsid w:val="00D17D9F"/>
    <w:rsid w:val="00DA2134"/>
    <w:rsid w:val="00DC3F28"/>
    <w:rsid w:val="00E07FC7"/>
    <w:rsid w:val="00E5738E"/>
    <w:rsid w:val="00E80FCF"/>
    <w:rsid w:val="00E84DF5"/>
    <w:rsid w:val="00EC24AD"/>
    <w:rsid w:val="00F12A3B"/>
    <w:rsid w:val="00F347CF"/>
    <w:rsid w:val="00F93752"/>
    <w:rsid w:val="00F967E6"/>
    <w:rsid w:val="00FA33EC"/>
    <w:rsid w:val="00FB13D0"/>
    <w:rsid w:val="00FE5D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4A18904-16B7-4607-8AD0-B110A9F08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752"/>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57CE6"/>
    <w:pPr>
      <w:tabs>
        <w:tab w:val="center" w:pos="4252"/>
        <w:tab w:val="right" w:pos="8504"/>
      </w:tabs>
    </w:pPr>
  </w:style>
  <w:style w:type="character" w:customStyle="1" w:styleId="CabealhoChar">
    <w:name w:val="Cabeçalho Char"/>
    <w:link w:val="Cabealho"/>
    <w:uiPriority w:val="99"/>
    <w:rsid w:val="00657CE6"/>
    <w:rPr>
      <w:rFonts w:ascii="Calibri" w:eastAsia="Calibri" w:hAnsi="Calibri" w:cs="Times New Roman"/>
    </w:rPr>
  </w:style>
  <w:style w:type="paragraph" w:styleId="Recuodecorpodetexto">
    <w:name w:val="Body Text Indent"/>
    <w:basedOn w:val="Normal"/>
    <w:link w:val="RecuodecorpodetextoChar"/>
    <w:rsid w:val="00657CE6"/>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657CE6"/>
    <w:rPr>
      <w:rFonts w:ascii="Times New Roman" w:eastAsia="Times New Roman" w:hAnsi="Times New Roman" w:cs="Times New Roman"/>
      <w:b/>
      <w:iCs/>
      <w:sz w:val="20"/>
      <w:szCs w:val="20"/>
      <w:lang w:eastAsia="pt-BR"/>
    </w:rPr>
  </w:style>
  <w:style w:type="paragraph" w:styleId="NormalWeb">
    <w:name w:val="Normal (Web)"/>
    <w:basedOn w:val="Normal"/>
    <w:uiPriority w:val="99"/>
    <w:semiHidden/>
    <w:unhideWhenUsed/>
    <w:rsid w:val="00657CE6"/>
    <w:pPr>
      <w:spacing w:before="100" w:beforeAutospacing="1" w:after="100" w:afterAutospacing="1" w:line="240" w:lineRule="auto"/>
    </w:pPr>
    <w:rPr>
      <w:rFonts w:ascii="Times New Roman" w:eastAsia="Times New Roman" w:hAnsi="Times New Roman"/>
      <w:sz w:val="24"/>
      <w:szCs w:val="24"/>
      <w:lang w:eastAsia="pt-BR"/>
    </w:rPr>
  </w:style>
  <w:style w:type="paragraph" w:styleId="Rodap">
    <w:name w:val="footer"/>
    <w:basedOn w:val="Normal"/>
    <w:link w:val="RodapChar"/>
    <w:uiPriority w:val="99"/>
    <w:unhideWhenUsed/>
    <w:rsid w:val="00657CE6"/>
    <w:pPr>
      <w:tabs>
        <w:tab w:val="center" w:pos="4252"/>
        <w:tab w:val="right" w:pos="8504"/>
      </w:tabs>
      <w:spacing w:after="0" w:line="240" w:lineRule="auto"/>
    </w:pPr>
  </w:style>
  <w:style w:type="character" w:customStyle="1" w:styleId="RodapChar">
    <w:name w:val="Rodapé Char"/>
    <w:link w:val="Rodap"/>
    <w:uiPriority w:val="99"/>
    <w:rsid w:val="00657CE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090006">
      <w:bodyDiv w:val="1"/>
      <w:marLeft w:val="0"/>
      <w:marRight w:val="0"/>
      <w:marTop w:val="0"/>
      <w:marBottom w:val="0"/>
      <w:divBdr>
        <w:top w:val="none" w:sz="0" w:space="0" w:color="auto"/>
        <w:left w:val="none" w:sz="0" w:space="0" w:color="auto"/>
        <w:bottom w:val="none" w:sz="0" w:space="0" w:color="auto"/>
        <w:right w:val="none" w:sz="0" w:space="0" w:color="auto"/>
      </w:divBdr>
    </w:div>
    <w:div w:id="409615589">
      <w:bodyDiv w:val="1"/>
      <w:marLeft w:val="0"/>
      <w:marRight w:val="0"/>
      <w:marTop w:val="0"/>
      <w:marBottom w:val="0"/>
      <w:divBdr>
        <w:top w:val="none" w:sz="0" w:space="0" w:color="auto"/>
        <w:left w:val="none" w:sz="0" w:space="0" w:color="auto"/>
        <w:bottom w:val="none" w:sz="0" w:space="0" w:color="auto"/>
        <w:right w:val="none" w:sz="0" w:space="0" w:color="auto"/>
      </w:divBdr>
    </w:div>
    <w:div w:id="436293670">
      <w:bodyDiv w:val="1"/>
      <w:marLeft w:val="0"/>
      <w:marRight w:val="0"/>
      <w:marTop w:val="0"/>
      <w:marBottom w:val="0"/>
      <w:divBdr>
        <w:top w:val="none" w:sz="0" w:space="0" w:color="auto"/>
        <w:left w:val="none" w:sz="0" w:space="0" w:color="auto"/>
        <w:bottom w:val="none" w:sz="0" w:space="0" w:color="auto"/>
        <w:right w:val="none" w:sz="0" w:space="0" w:color="auto"/>
      </w:divBdr>
    </w:div>
    <w:div w:id="553077559">
      <w:bodyDiv w:val="1"/>
      <w:marLeft w:val="0"/>
      <w:marRight w:val="0"/>
      <w:marTop w:val="0"/>
      <w:marBottom w:val="0"/>
      <w:divBdr>
        <w:top w:val="none" w:sz="0" w:space="0" w:color="auto"/>
        <w:left w:val="none" w:sz="0" w:space="0" w:color="auto"/>
        <w:bottom w:val="none" w:sz="0" w:space="0" w:color="auto"/>
        <w:right w:val="none" w:sz="0" w:space="0" w:color="auto"/>
      </w:divBdr>
    </w:div>
    <w:div w:id="820191717">
      <w:bodyDiv w:val="1"/>
      <w:marLeft w:val="0"/>
      <w:marRight w:val="0"/>
      <w:marTop w:val="0"/>
      <w:marBottom w:val="0"/>
      <w:divBdr>
        <w:top w:val="none" w:sz="0" w:space="0" w:color="auto"/>
        <w:left w:val="none" w:sz="0" w:space="0" w:color="auto"/>
        <w:bottom w:val="none" w:sz="0" w:space="0" w:color="auto"/>
        <w:right w:val="none" w:sz="0" w:space="0" w:color="auto"/>
      </w:divBdr>
    </w:div>
    <w:div w:id="1000935395">
      <w:bodyDiv w:val="1"/>
      <w:marLeft w:val="0"/>
      <w:marRight w:val="0"/>
      <w:marTop w:val="0"/>
      <w:marBottom w:val="0"/>
      <w:divBdr>
        <w:top w:val="none" w:sz="0" w:space="0" w:color="auto"/>
        <w:left w:val="none" w:sz="0" w:space="0" w:color="auto"/>
        <w:bottom w:val="none" w:sz="0" w:space="0" w:color="auto"/>
        <w:right w:val="none" w:sz="0" w:space="0" w:color="auto"/>
      </w:divBdr>
    </w:div>
    <w:div w:id="1063916378">
      <w:bodyDiv w:val="1"/>
      <w:marLeft w:val="0"/>
      <w:marRight w:val="0"/>
      <w:marTop w:val="0"/>
      <w:marBottom w:val="0"/>
      <w:divBdr>
        <w:top w:val="none" w:sz="0" w:space="0" w:color="auto"/>
        <w:left w:val="none" w:sz="0" w:space="0" w:color="auto"/>
        <w:bottom w:val="none" w:sz="0" w:space="0" w:color="auto"/>
        <w:right w:val="none" w:sz="0" w:space="0" w:color="auto"/>
      </w:divBdr>
    </w:div>
    <w:div w:id="1220050437">
      <w:bodyDiv w:val="1"/>
      <w:marLeft w:val="0"/>
      <w:marRight w:val="0"/>
      <w:marTop w:val="0"/>
      <w:marBottom w:val="0"/>
      <w:divBdr>
        <w:top w:val="none" w:sz="0" w:space="0" w:color="auto"/>
        <w:left w:val="none" w:sz="0" w:space="0" w:color="auto"/>
        <w:bottom w:val="none" w:sz="0" w:space="0" w:color="auto"/>
        <w:right w:val="none" w:sz="0" w:space="0" w:color="auto"/>
      </w:divBdr>
    </w:div>
    <w:div w:id="1455952398">
      <w:bodyDiv w:val="1"/>
      <w:marLeft w:val="0"/>
      <w:marRight w:val="0"/>
      <w:marTop w:val="0"/>
      <w:marBottom w:val="0"/>
      <w:divBdr>
        <w:top w:val="none" w:sz="0" w:space="0" w:color="auto"/>
        <w:left w:val="none" w:sz="0" w:space="0" w:color="auto"/>
        <w:bottom w:val="none" w:sz="0" w:space="0" w:color="auto"/>
        <w:right w:val="none" w:sz="0" w:space="0" w:color="auto"/>
      </w:divBdr>
    </w:div>
    <w:div w:id="1530146219">
      <w:bodyDiv w:val="1"/>
      <w:marLeft w:val="0"/>
      <w:marRight w:val="0"/>
      <w:marTop w:val="0"/>
      <w:marBottom w:val="0"/>
      <w:divBdr>
        <w:top w:val="none" w:sz="0" w:space="0" w:color="auto"/>
        <w:left w:val="none" w:sz="0" w:space="0" w:color="auto"/>
        <w:bottom w:val="none" w:sz="0" w:space="0" w:color="auto"/>
        <w:right w:val="none" w:sz="0" w:space="0" w:color="auto"/>
      </w:divBdr>
    </w:div>
    <w:div w:id="1817990689">
      <w:bodyDiv w:val="1"/>
      <w:marLeft w:val="0"/>
      <w:marRight w:val="0"/>
      <w:marTop w:val="0"/>
      <w:marBottom w:val="0"/>
      <w:divBdr>
        <w:top w:val="none" w:sz="0" w:space="0" w:color="auto"/>
        <w:left w:val="none" w:sz="0" w:space="0" w:color="auto"/>
        <w:bottom w:val="none" w:sz="0" w:space="0" w:color="auto"/>
        <w:right w:val="none" w:sz="0" w:space="0" w:color="auto"/>
      </w:divBdr>
    </w:div>
    <w:div w:id="200778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D77A0-1FFC-4515-A33E-77FE819B9F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0BC4B9-57A1-419D-9239-0E5425EECBA7}">
  <ds:schemaRefs>
    <ds:schemaRef ds:uri="http://schemas.microsoft.com/sharepoint/v3/contenttype/forms"/>
  </ds:schemaRefs>
</ds:datastoreItem>
</file>

<file path=customXml/itemProps3.xml><?xml version="1.0" encoding="utf-8"?>
<ds:datastoreItem xmlns:ds="http://schemas.openxmlformats.org/officeDocument/2006/customXml" ds:itemID="{443489B0-5610-4346-8932-4A88671D0C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540</Words>
  <Characters>2918</Characters>
  <Application>Microsoft Office Word</Application>
  <DocSecurity>4</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LIN HUI WANG</dc:creator>
  <cp:keywords/>
  <cp:lastModifiedBy>DENISE OLIVEIRA DOS SANTOS</cp:lastModifiedBy>
  <cp:revision>2</cp:revision>
  <dcterms:created xsi:type="dcterms:W3CDTF">2025-06-11T23:26:00Z</dcterms:created>
  <dcterms:modified xsi:type="dcterms:W3CDTF">2025-06-11T23:26:00Z</dcterms:modified>
</cp:coreProperties>
</file>