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209" w:rsidRPr="00675566" w:rsidRDefault="00E03209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APELAÇÃO N° 0000000-00.0000.0.00.0000</w:t>
      </w:r>
    </w:p>
    <w:p w:rsidR="00E03209" w:rsidRPr="00675566" w:rsidRDefault="00BA67BB" w:rsidP="008C72FD">
      <w:pPr>
        <w:spacing w:line="360" w:lineRule="auto"/>
        <w:jc w:val="both"/>
        <w:rPr>
          <w:rFonts w:ascii="Arial" w:hAnsi="Arial" w:cs="Arial"/>
          <w:b/>
          <w:szCs w:val="20"/>
        </w:rPr>
      </w:pPr>
      <w:r>
        <w:t>2ª VARA CÍVEL DA COMARCA DE BARRETOS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Cs w:val="20"/>
        </w:rPr>
      </w:pPr>
      <w:r>
        <w:t>Apelante: [APELANTE]</w:t>
      </w:r>
    </w:p>
    <w:p w:rsidR="00BA67BB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b/>
          <w:bCs/>
          <w:szCs w:val="20"/>
        </w:rPr>
      </w:pPr>
      <w:r>
        <w:t>Apelado: [APELADO]</w:t>
      </w:r>
    </w:p>
    <w:p w:rsidR="00E03209" w:rsidRPr="003863DF" w:rsidRDefault="0082520E" w:rsidP="008C72FD">
      <w:pPr>
        <w:tabs>
          <w:tab w:val="left" w:pos="1276"/>
        </w:tabs>
        <w:spacing w:line="360" w:lineRule="auto"/>
        <w:jc w:val="both"/>
        <w:rPr>
          <w:rFonts w:ascii="Arial" w:hAnsi="Arial" w:cs="Arial"/>
          <w:sz w:val="28"/>
          <w:szCs w:val="20"/>
        </w:rPr>
      </w:pPr>
      <w:r>
        <w:t>AUTOR(A): AUTOR(A)</w:t>
      </w:r>
    </w:p>
    <w:p w:rsidR="0082520E" w:rsidRPr="000C4EC3" w:rsidRDefault="0082520E" w:rsidP="0082520E">
      <w:pPr>
        <w:spacing w:line="360" w:lineRule="auto"/>
        <w:jc w:val="both"/>
        <w:rPr>
          <w:rFonts w:ascii="Arial" w:hAnsi="Arial" w:cs="Arial"/>
          <w:b/>
        </w:rPr>
      </w:pPr>
      <w:r>
        <w:t>Relator(a): JOSÉ AUGUSTO GENOFRE MARTINS</w:t>
      </w:r>
    </w:p>
    <w:p w:rsidR="0082520E" w:rsidRDefault="0082520E" w:rsidP="001A7649">
      <w:pPr>
        <w:spacing w:line="360" w:lineRule="auto"/>
        <w:jc w:val="both"/>
        <w:rPr>
          <w:rFonts w:ascii="Arial" w:hAnsi="Arial" w:cs="Arial"/>
          <w:b/>
        </w:rPr>
      </w:pPr>
      <w:r>
        <w:t>Órgão Julgador: 28ª Câmara de AUTOR(A)</w:t>
      </w:r>
    </w:p>
    <w:p w:rsidR="001A7649" w:rsidRPr="001A7649" w:rsidRDefault="001A7649" w:rsidP="001A7649">
      <w:pPr>
        <w:spacing w:line="360" w:lineRule="auto"/>
        <w:jc w:val="both"/>
        <w:rPr>
          <w:rFonts w:ascii="Arial" w:hAnsi="Arial" w:cs="Arial"/>
          <w:b/>
        </w:rPr>
      </w:pPr>
      <w:r/>
    </w:p>
    <w:p w:rsidR="00C24FB4" w:rsidRPr="00675566" w:rsidRDefault="00675566" w:rsidP="008C72FD">
      <w:pPr>
        <w:spacing w:line="360" w:lineRule="auto"/>
        <w:rPr>
          <w:rFonts w:ascii="Arial" w:hAnsi="Arial" w:cs="Arial"/>
        </w:rPr>
      </w:pPr>
      <w:r>
        <w:t>VOTO Nº 8199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594832" w:rsidRDefault="00594832" w:rsidP="0026347E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007607" w:rsidRDefault="00E1739E" w:rsidP="0026347E">
      <w:pPr>
        <w:pStyle w:val="Recuodecorpodetexto"/>
        <w:rPr>
          <w:rFonts w:ascii="Arial" w:hAnsi="Arial" w:cs="Arial"/>
          <w:sz w:val="22"/>
          <w:szCs w:val="22"/>
        </w:rPr>
      </w:pPr>
      <w:r>
        <w:t>AÇÃO DE INDENIZAÇÃO POR DANOS MATERIAIS E MORAIS – PRESTAÇÃO DE SERVIÇOS – MANDATO – Requerido apresentou representação perante o órgão de classe alegando que não recebeu valores devidos ventilando a ocorrência de apropriação indébita pelo autor – Sentença que julgou os pedidos procedentes – Insurgência do requerido – Pretensão recursal voltada à improcedência dos pedidos, aduzindo ter agido em regular exercício de direito de petição – Configurada a conduta desproporcional e representação com fulcro em fatos inverídicos – Dever de indenizar configurado - Manutenção da Sentença – Recurso improvido.</w:t>
      </w:r>
    </w:p>
    <w:p w:rsidR="0026347E" w:rsidRDefault="0026347E" w:rsidP="0026347E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FD348B" w:rsidRPr="00AF3AF7" w:rsidRDefault="00FD348B" w:rsidP="008C72FD">
      <w:pPr>
        <w:pStyle w:val="Recuodecorpodetexto"/>
        <w:rPr>
          <w:rFonts w:ascii="Arial" w:hAnsi="Arial" w:cs="Arial"/>
          <w:bCs/>
          <w:sz w:val="22"/>
          <w:szCs w:val="22"/>
        </w:rPr>
      </w:pPr>
      <w:r/>
    </w:p>
    <w:p w:rsidR="005B2EE3" w:rsidRDefault="005B2EE3" w:rsidP="008C72FD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Vistos.</w:t>
      </w:r>
    </w:p>
    <w:p w:rsid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AF3AF7" w:rsidRPr="00AF3AF7" w:rsidRDefault="00AF3AF7" w:rsidP="00AF3AF7">
      <w:pPr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780FEC" w:rsidRDefault="00CC679E" w:rsidP="00BA67BB">
      <w:pPr>
        <w:spacing w:line="360" w:lineRule="auto"/>
        <w:ind w:firstLine="1418"/>
        <w:jc w:val="both"/>
        <w:rPr>
          <w:rFonts w:ascii="Arial" w:hAnsi="Arial" w:cs="Arial"/>
        </w:rPr>
      </w:pPr>
      <w:r>
        <w:t>Trata-se de ação de indenização por danos materiais e morais ajuizada por AUTOR(A) em face de AUTOR(A), julgada procedente pela r. sentença de fls. 195/199, condenando o requerido a pagar ao autor a quantia de R$5.000,00 a título de danos de danos morais, acrescida de correção monetária a partir da prolação da sentença e juros de mora de 1% ao mês a partir da citação; bem como a quantia de R$ 574,81 a título de danos materiais, acrescida de correção monetária desde a propositura da ação e juros de mora de 1% ao mês a partir da citação. Condenou o réu, ainda, a arcar com as custas, despesas processuais e honorários advocatícios, estes arbitrados em 10% sobre o valor da condenação, observada a gratuidade judiciária concedida ao requerido.</w:t>
      </w:r>
    </w:p>
    <w:p w:rsidR="007A203B" w:rsidRDefault="00CC679E" w:rsidP="005D330F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Inconformado, recorre o requerido (fls. 202/212), buscando a reforma do julgado. Aduz, em síntese, que contratou os serviços do autor para representá-lo em ação trabalhista e que este não lhe prestou a assistência adequada, razão pela qual ajuizou processo disciplinar perante a Comissão de Ética e Disciplina da 7ª Subseção da OAB/SP. Sustenta que a conduta do apelado enquanto seu representante na ação trabalhista parecia suspeita, posto que aparentava omitir diversas informações. Afirma que se o apelado tivesse esclarecido as dúvidas do apelante, não teria procurado o Presidente da OAB para orientação e não teria representado junto à Comissão de Ética. Assegura que não houve dolo, má-fé nem ação caluniosa, de modo que não pode ser responsabilizado e que, ausente a responsabilidade exclusiva, não há dever de indenizar. Defende que a situação descrita pelo apelado se trata de mero dissabor. Pugna, ao fim, para que seja dado provimento ao recurso para reformar a sentença integralmente, julgando o pedido totalmente improcedente. </w:t>
      </w:r>
    </w:p>
    <w:p w:rsidR="00CC679E" w:rsidRPr="00F77130" w:rsidRDefault="00CC679E" w:rsidP="00F77130">
      <w:pPr>
        <w:spacing w:line="360" w:lineRule="auto"/>
        <w:ind w:firstLine="1418"/>
        <w:jc w:val="both"/>
        <w:rPr>
          <w:rFonts w:ascii="Arial" w:hAnsi="Arial" w:cs="Arial"/>
        </w:rPr>
      </w:pPr>
      <w:r>
        <w:t>Recurso tempestivo, isento de preparo em razão da gratuidade judiciária concedida à autora (fls. 36) e regularmente processado.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 xml:space="preserve">Contrarrazões pelo improvimento recursal (fls. 216/218). 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>
        <w:t>Ausente manifestação de oposição ao julgamento virtual.</w:t>
      </w:r>
    </w:p>
    <w:p w:rsidR="00CC679E" w:rsidRDefault="00CC679E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color w:val="000000"/>
        </w:rPr>
      </w:pPr>
      <w:r/>
    </w:p>
    <w:p w:rsidR="00FF458C" w:rsidRDefault="00FF458C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>
        <w:t>É o relatório. DECIDO.</w:t>
      </w:r>
    </w:p>
    <w:p w:rsidR="008C72FD" w:rsidRPr="00FF458C" w:rsidRDefault="008C72FD" w:rsidP="008C72FD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b/>
          <w:bCs/>
        </w:rPr>
      </w:pPr>
      <w:r/>
    </w:p>
    <w:p w:rsidR="00063925" w:rsidRDefault="005B2EE3" w:rsidP="001A764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Respeitados os argumentos expostos nas razões recursais, irretocável é a sentença, que deve ser mantida.</w:t>
      </w:r>
    </w:p>
    <w:p w:rsidR="00B07921" w:rsidRDefault="00063925" w:rsidP="0006392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Narra o autor que foi contratado pelo Réu para representá-lo em uma reclamação trabalhista. No entanto, antes do término da referida ação, o réu iniciou um processo disciplinar perante a Comissão de Ética e Disciplina da OAB/SP. No referido procedimento apuratório, o requerido afirmou que o autor havia sacado e retido indevidamente três valores depositados na execução trabalhista, no importe de R$ 1.841,36, R$ 1.862,92 e R$ 1.884,56, respectivamente. Contudo, restou evidenciado que o réu havia procedido ao levantamento de todos esses valores previamente (fl. 04). Aduz que tal denúncia falsa causou abalo moral, de modo que enseja em indenização por danos morais e materiais. </w:t>
      </w:r>
    </w:p>
    <w:p w:rsidR="003D0F9E" w:rsidRDefault="00B07921" w:rsidP="001F5D2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O apelante, por sua vez, afirma que o apelado agiu de forma suspeita quando o procurava para prestação de contas acerca do andamento da ação trabalhista em que figurava, entendendo que o apelado omitia informações importantes quanto ao levantamento de valores oriundos da referida ação. Insiste que somente representou perante a OAB por entender que estava sendo lesado, e ainda, mediante orientação do próprio presidente da subseção. Assevera que, após a referida orientação, ainda tentou contatar o apelado visando esclarecer suas dúvidas e, diante das tentativas infrutíferas, não lhe restou alternativa a não ser representar perante a OAB.</w:t>
      </w:r>
    </w:p>
    <w:p w:rsidR="003D0F9E" w:rsidRDefault="003D0F9E" w:rsidP="001F5D2D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Pois bem.</w:t>
      </w:r>
    </w:p>
    <w:p w:rsidR="006D2426" w:rsidRDefault="006D2426" w:rsidP="001A7649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Restou superada a condenação por danos materiais, eis que a matéria não foi suscitada em sede recursal. A controvérsia versa tão somente quanto à condenação em danos morais.</w:t>
      </w:r>
    </w:p>
    <w:p w:rsidR="003D0F9E" w:rsidRDefault="003D0F9E" w:rsidP="003D0F9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Da análise do conjunto probatório dos autos, não é possível inferir, de forma inequívoca, que o apelante apenas exerceu regular exercício de direito. Conforme bem pontuado pelo magistrado de 1º grau, a representação apresentada pelo apelante não menciona a suposta falha na prestação de contas e assistência. Distante disso, o apelante afirmou categoricamente que não havia recebido os valores que lhe eram devidos, ventilando a hipótese de que o apelado indevidamente levantou e reteve os referidos valores.</w:t>
      </w:r>
    </w:p>
    <w:p w:rsidR="00871F1B" w:rsidRDefault="00871F1B" w:rsidP="00871F1B">
      <w:pPr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Pelo o que consta dos autos, é incontroverso que o próprio apelante levantou os valores que foram objeto da representação perante a Comissão de Ética e Disciplina da OAB, consoante se verifica dos documentos acostados na inicial (40/43). </w:t>
      </w:r>
    </w:p>
    <w:p w:rsidR="00871F1B" w:rsidRDefault="00871F1B" w:rsidP="00871F1B">
      <w:pPr>
        <w:spacing w:line="360" w:lineRule="auto"/>
        <w:ind w:firstLine="1418"/>
        <w:jc w:val="both"/>
        <w:rPr>
          <w:rFonts w:ascii="Arial" w:hAnsi="Arial" w:cs="Arial"/>
        </w:rPr>
      </w:pPr>
      <w:r>
        <w:t>Conforme bem observado pelo juízo de primeira instância em sua r. sentença (fl. 197), “(...) os levantamentos impugnados referiam-se às contas discriminadas às fls. 97. Os comprovantes de levantamento estão juntados às fls. 88, 89 e 90. E em todos eles verifica-se que os levantamentos foram efetuados pelo próprio requerido, constando expressamente seu CPF como o “sacador”. A guia de levantamento foi expedida em maio de 2016 e o requerido levantou os valores em 24/11/2016. Tal, inclusive, foi reconhecido pelo próprio E. Magistrado da E. Vara do Trabalho (fls. 83), que apontou que foi o próprio requerido quem levantou tais valores”.</w:t>
      </w:r>
    </w:p>
    <w:p w:rsidR="000A6675" w:rsidRDefault="00871F1B" w:rsidP="00362171">
      <w:pPr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Sem adentrar no tema de denunciação caluniosa, é pouco crível que o apelante não se lembre de levantar tais valores (fl. 206), posto que verificar seu extrato bancário é expediente de fácil aferição por ele mesmo. Não obstante, quando foi intimado a se manifestar perante a Comissão de Ética a respeito dos levantamentos realizados (fl. 40/44), insistiu que não tinha ciência e que tais valores não foram repassados a ele (fl. 47). </w:t>
      </w:r>
    </w:p>
    <w:p w:rsidR="006D2426" w:rsidRPr="001A7649" w:rsidRDefault="00362171" w:rsidP="001A7649">
      <w:pPr>
        <w:spacing w:line="360" w:lineRule="auto"/>
        <w:ind w:firstLine="1418"/>
        <w:jc w:val="both"/>
        <w:rPr>
          <w:rFonts w:ascii="Arial" w:hAnsi="Arial" w:cs="Arial"/>
        </w:rPr>
      </w:pPr>
      <w:r>
        <w:t>Muito embora seja reconhecido o direito de todo cidadão de representar perante a OAB, amparado pelo direito de petição, é inquestionável que, no caso em tela, o réu excedeu os limites no exercício desse direito, configurando verdadeiro abuso, conforme preceitua o artigo 187 do Código Civil.</w:t>
      </w:r>
    </w:p>
    <w:p w:rsidR="006D2426" w:rsidRDefault="006D2426" w:rsidP="003D0F9E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Sobre o tema, confira-se:</w:t>
      </w:r>
    </w:p>
    <w:p w:rsidR="006D2426" w:rsidRDefault="006D2426" w:rsidP="006D242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color w:val="000000"/>
        </w:rPr>
      </w:pPr>
      <w:r/>
    </w:p>
    <w:p w:rsidR="006D2426" w:rsidRDefault="006D2426" w:rsidP="006D242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“APELAÇÃO - REPARAÇÃO DE DANOS MORAIS – RECLAMAÇÃO PERANTE A OAB LOCAL – REPRESENTAÇÕES INFUDADAS – OFENSA À HONRA DO AUTOR - Representação feita por outro escritório de advocacia perante a OAB - os argumentos e fatos ali indicados não são respaldados, denotando a intenção de difamar e prejudicar o autor; - Exposição perante Comissão Processante, em razão de representação infundada, o que gera o dever de indenizar. RECURSO PROVIDO.” (TJSP; Apelação Cível 0000000-00.0000.0.00.0000; Relator (a): Maria Lúcia Pizzotti; Órgão Julgador: 30ª Câmara de AUTOR(A); AUTOR(A) Cível - [VARA]; Data do Julgamento: 09/10/2019; Data de Registro: 11/10/2019)</w:t>
      </w:r>
    </w:p>
    <w:p w:rsidR="00871F1B" w:rsidRDefault="00871F1B" w:rsidP="006D2426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/>
    </w:p>
    <w:p w:rsidR="00871F1B" w:rsidRDefault="00871F1B" w:rsidP="00871F1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>“APELAÇÃO – Mandato – Indenização por dano moral – Representação infundada por meio da qual se noticiou à autoridade policial a apropriação indébita do valor levantado pelo patrono, apesar da retenção integral encontrar amparo no contrato entabulado entre as partes – Sentença de procedência, em parte, arbitrado o quantum indenizatório em R$5.000,00 (cinco mil reais) – Inconformismo apenas do autor – Impugnação recursal limitada ao quantum indenizatório – Não cabimento – Adequação à luz dos princípios da razoabilidade e da proporcionalidade, das circunstâncias do caso e da jurisprudência desta C. Câmara – Reforma de ofício quanto ao termo inicial dos juros de mora, que deve ser o fato lesivo, não o decurso do prazo para pagamento voluntário – Responsabilidade extracontratual – Súmula 54 do STJ – Recurso não provido, majorados os honorários e modificado de ofício o termo inicial dos juros moratórios.” (TJSP; Apelação Cível 0000000-00.0000.0.00.0000; Relator (a): Jayme de Oliveira; Órgão Julgador: 29ª Câmara de AUTOR(A); Foro de Tremembé - 1ª Vara; Data do Julgamento: 31/03/2021; Data de Registro: 31/03/2021)</w:t>
      </w:r>
    </w:p>
    <w:p w:rsidR="000F1A7B" w:rsidRPr="000F1A7B" w:rsidRDefault="00B07921" w:rsidP="000F1A7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Cs/>
          <w:color w:val="000000"/>
        </w:rPr>
      </w:pPr>
      <w:r>
        <w:t xml:space="preserve"> </w:t>
      </w:r>
    </w:p>
    <w:p w:rsidR="00A87E4D" w:rsidRDefault="000F1A7B" w:rsidP="001A7649">
      <w:pPr>
        <w:spacing w:line="360" w:lineRule="auto"/>
        <w:ind w:firstLine="1418"/>
        <w:jc w:val="both"/>
        <w:rPr>
          <w:rFonts w:ascii="Arial" w:hAnsi="Arial" w:cs="Arial"/>
        </w:rPr>
      </w:pPr>
      <w:r>
        <w:t xml:space="preserve">Cumpre ressaltar que a conduta desproporcional do apelante causou ao apelado um abalo que vai além de um singelo aborrecimento. A imputação de uma falta grave que sabia ser inverídica perante o órgão de classe constitui uma ofensa à honra do apelado, cuja consequência vai muito além de um mero dissabor comum à vida cotidiana. </w:t>
      </w:r>
    </w:p>
    <w:p w:rsidR="00A87E4D" w:rsidRDefault="00904CB9" w:rsidP="001A7649">
      <w:pPr>
        <w:spacing w:line="360" w:lineRule="auto"/>
        <w:ind w:firstLine="1418"/>
        <w:jc w:val="both"/>
        <w:rPr>
          <w:rFonts w:ascii="Arial" w:hAnsi="Arial" w:cs="Arial"/>
        </w:rPr>
      </w:pPr>
      <w:r>
        <w:t>Desse modo, no meu sentir, resta evidente o dever de indenizar.</w:t>
      </w:r>
    </w:p>
    <w:p w:rsidR="00C13DC9" w:rsidRPr="0067693B" w:rsidRDefault="00C13DC9" w:rsidP="00C13DC9">
      <w:pPr>
        <w:spacing w:line="360" w:lineRule="auto"/>
        <w:ind w:firstLine="1418"/>
        <w:jc w:val="both"/>
        <w:rPr>
          <w:rFonts w:ascii="Arial" w:hAnsi="Arial"/>
          <w:iCs/>
        </w:rPr>
      </w:pPr>
      <w:r>
        <w:t>Por todo o exposto, a hipótese é de manutenção da r. sentença pelos seus próprios, jurídicos e bem lançados fundamentos.</w:t>
      </w:r>
    </w:p>
    <w:p w:rsidR="00C13DC9" w:rsidRPr="0067693B" w:rsidRDefault="00C13DC9" w:rsidP="00C13DC9">
      <w:pPr>
        <w:spacing w:line="360" w:lineRule="auto"/>
        <w:ind w:firstLine="1418"/>
        <w:jc w:val="both"/>
        <w:rPr>
          <w:rFonts w:ascii="Arial" w:hAnsi="Arial" w:cs="Arial"/>
          <w:color w:val="000000"/>
          <w:lang w:val="x-none"/>
        </w:rPr>
      </w:pPr>
      <w:r>
        <w:t>Por derradeiro, de rigor a majoração dos honorários sucumbenciais devidos pelo apelante, ante o desprovimento de seu apelo, nos termos do art. 85, §11º, do CPC, razão pela qual majoro verba honorária devida para 12% sobre o valor da causa, ressalvada a gratuidade judiciária concedida ao apelante.</w:t>
      </w:r>
    </w:p>
    <w:p w:rsidR="00E17210" w:rsidRDefault="00C03ECD" w:rsidP="008C72FD">
      <w:pPr>
        <w:spacing w:line="360" w:lineRule="auto"/>
        <w:ind w:firstLine="1418"/>
        <w:jc w:val="both"/>
        <w:rPr>
          <w:rFonts w:ascii="Arial" w:hAnsi="Arial" w:cs="Arial"/>
        </w:rPr>
      </w:pPr>
      <w:r>
        <w:t>Considera-se prequestionada a matéria constitucional e infraconstitucional, desnecessária a citação numérica dos dispositivos legais, bastando a decisão da questão posta (EDROMS 18205/SP, Min. AUTOR(A)). Desnecessária, também, a interposição de embargos de declaração exclusivamente para tal finalidade (prequestionamento).</w:t>
      </w:r>
    </w:p>
    <w:p w:rsidR="00C03ECD" w:rsidRDefault="00C03ECD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5B2EE3" w:rsidRDefault="00E17210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>
        <w:t xml:space="preserve">Ante o , pelo  , NEGO PROVIMENTO ao recurso. </w:t>
      </w:r>
    </w:p>
    <w:p w:rsidR="005B2EE3" w:rsidRPr="002A7FEC" w:rsidRDefault="005B2EE3" w:rsidP="008C72FD">
      <w:pPr>
        <w:spacing w:line="360" w:lineRule="auto"/>
        <w:ind w:firstLine="1418"/>
        <w:jc w:val="both"/>
        <w:rPr>
          <w:rFonts w:ascii="Arial" w:hAnsi="Arial" w:cs="Arial"/>
          <w:bCs/>
        </w:rPr>
      </w:pPr>
      <w:r/>
    </w:p>
    <w:p w:rsidR="008C2E14" w:rsidRDefault="008C2E14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/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>
        <w:t xml:space="preserve">JOSÉ AUGUSTO GENOFRE MARTINS </w:t>
      </w:r>
    </w:p>
    <w:p w:rsidR="00E03209" w:rsidRPr="00675566" w:rsidRDefault="00E03209" w:rsidP="008C72F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>
        <w:t>Relator</w:t>
      </w:r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p w:rsidR="00E03209" w:rsidRPr="00675566" w:rsidRDefault="00E03209" w:rsidP="008C72FD">
      <w:pPr>
        <w:spacing w:line="360" w:lineRule="auto"/>
        <w:rPr>
          <w:rFonts w:ascii="Arial" w:hAnsi="Arial" w:cs="Arial"/>
        </w:rPr>
      </w:pPr>
      <w:r/>
    </w:p>
    <w:sectPr w:rsidR="00E03209" w:rsidRPr="0067556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475A" w:rsidRDefault="00C1475A">
      <w:r>
        <w:separator/>
      </w:r>
    </w:p>
  </w:endnote>
  <w:endnote w:type="continuationSeparator" w:id="0">
    <w:p w:rsidR="00C1475A" w:rsidRDefault="00C1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3A46" w:rsidRPr="00BB3A46" w:rsidRDefault="00675566">
    <w:pPr>
      <w:pStyle w:val="Rodap"/>
      <w:jc w:val="right"/>
      <w:rPr>
        <w:sz w:val="20"/>
        <w:szCs w:val="20"/>
      </w:rPr>
    </w:pPr>
    <w:r w:rsidRPr="00675566">
      <w:rPr>
        <w:sz w:val="18"/>
        <w:szCs w:val="18"/>
      </w:rPr>
      <w:t xml:space="preserve">VOTO Nº </w:t>
    </w:r>
    <w:r w:rsidR="00AF3AF7">
      <w:rPr>
        <w:sz w:val="18"/>
        <w:szCs w:val="18"/>
      </w:rPr>
      <w:t>819</w:t>
    </w:r>
    <w:r w:rsidR="00A740A8">
      <w:rPr>
        <w:sz w:val="18"/>
        <w:szCs w:val="18"/>
      </w:rPr>
      <w:t>9</w:t>
    </w:r>
    <w:r>
      <w:rPr>
        <w:sz w:val="20"/>
        <w:szCs w:val="20"/>
      </w:rPr>
      <w:t xml:space="preserve">                                                                                                                           </w:t>
    </w:r>
    <w:r w:rsidR="00BB3A46" w:rsidRPr="00BB3A46">
      <w:rPr>
        <w:sz w:val="20"/>
        <w:szCs w:val="20"/>
      </w:rPr>
      <w:fldChar w:fldCharType="begin"/>
    </w:r>
    <w:r w:rsidR="00BB3A46" w:rsidRPr="00BB3A46">
      <w:rPr>
        <w:sz w:val="20"/>
        <w:szCs w:val="20"/>
      </w:rPr>
      <w:instrText>PAGE   \* MERGEFORMAT</w:instrText>
    </w:r>
    <w:r w:rsidR="00BB3A46" w:rsidRPr="00BB3A46">
      <w:rPr>
        <w:sz w:val="20"/>
        <w:szCs w:val="20"/>
      </w:rPr>
      <w:fldChar w:fldCharType="separate"/>
    </w:r>
    <w:r w:rsidR="00BB3A46" w:rsidRPr="00BB3A46">
      <w:rPr>
        <w:sz w:val="20"/>
        <w:szCs w:val="20"/>
      </w:rPr>
      <w:t>2</w:t>
    </w:r>
    <w:r w:rsidR="00BB3A46" w:rsidRPr="00BB3A46">
      <w:rPr>
        <w:sz w:val="20"/>
        <w:szCs w:val="20"/>
      </w:rPr>
      <w:fldChar w:fldCharType="end"/>
    </w:r>
  </w:p>
  <w:p w:rsidR="00D020DF" w:rsidRPr="00BB3A46" w:rsidRDefault="00D020D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475A" w:rsidRDefault="00C1475A">
      <w:r>
        <w:separator/>
      </w:r>
    </w:p>
  </w:footnote>
  <w:footnote w:type="continuationSeparator" w:id="0">
    <w:p w:rsidR="00C1475A" w:rsidRDefault="00C1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48" w:type="dxa"/>
      <w:tblLayout w:type="fixed"/>
      <w:tblLook w:val="0000" w:firstRow="0" w:lastRow="0" w:firstColumn="0" w:lastColumn="0" w:noHBand="0" w:noVBand="0"/>
    </w:tblPr>
    <w:tblGrid>
      <w:gridCol w:w="2665"/>
      <w:gridCol w:w="6283"/>
    </w:tblGrid>
    <w:tr w:rsidR="005D6AC7" w:rsidRPr="00FE63C7" w:rsidTr="00BE6986">
      <w:tblPrEx>
        <w:tblCellMar>
          <w:top w:w="0" w:type="dxa"/>
          <w:bottom w:w="0" w:type="dxa"/>
        </w:tblCellMar>
      </w:tblPrEx>
      <w:trPr>
        <w:trHeight w:val="1546"/>
      </w:trPr>
      <w:tc>
        <w:tcPr>
          <w:tcW w:w="26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Default="00BB3A46" w:rsidP="00FE63C7">
          <w:pPr>
            <w:autoSpaceDE w:val="0"/>
            <w:autoSpaceDN w:val="0"/>
            <w:adjustRightInd w:val="0"/>
            <w:ind w:left="567"/>
            <w:jc w:val="center"/>
          </w:pPr>
          <w:r>
            <w:object w:dxaOrig="2700" w:dyaOrig="14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2.75pt;height:54pt">
                <v:imagedata r:id="rId1" o:title=""/>
              </v:shape>
              <o:OLEObject Type="Embed" ProgID="MSPhotoEd.3" ShapeID="_x0000_i1025" DrawAspect="Content" ObjectID="_1811179067" r:id="rId2"/>
            </w:object>
          </w:r>
        </w:p>
      </w:tc>
      <w:tc>
        <w:tcPr>
          <w:tcW w:w="628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</w:p>
        <w:p w:rsidR="005D6AC7" w:rsidRPr="00FE63C7" w:rsidRDefault="005D6AC7" w:rsidP="00FE63C7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PODER JUDICIÁRIO</w:t>
          </w:r>
        </w:p>
        <w:p w:rsidR="005D6AC7" w:rsidRPr="00FE63C7" w:rsidRDefault="005D6AC7" w:rsidP="00FE63C7">
          <w:pPr>
            <w:tabs>
              <w:tab w:val="left" w:pos="1905"/>
            </w:tabs>
            <w:autoSpaceDE w:val="0"/>
            <w:autoSpaceDN w:val="0"/>
            <w:adjustRightInd w:val="0"/>
            <w:spacing w:line="360" w:lineRule="auto"/>
            <w:jc w:val="center"/>
            <w:rPr>
              <w:b/>
              <w:bCs/>
              <w:sz w:val="22"/>
              <w:szCs w:val="22"/>
            </w:rPr>
          </w:pPr>
          <w:r w:rsidRPr="00FE63C7">
            <w:rPr>
              <w:b/>
              <w:bCs/>
              <w:sz w:val="22"/>
              <w:szCs w:val="22"/>
            </w:rPr>
            <w:t>TRIBUNAL DE JUSTIÇA DO ESTADO DE SÃO PAULO</w:t>
          </w:r>
        </w:p>
        <w:p w:rsidR="0074638C" w:rsidRDefault="00FE63C7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 w:val="22"/>
              <w:szCs w:val="22"/>
            </w:rPr>
          </w:pPr>
          <w:r w:rsidRPr="00FE63C7">
            <w:rPr>
              <w:b/>
              <w:sz w:val="22"/>
              <w:szCs w:val="22"/>
            </w:rPr>
            <w:t>Seção de Direito Privado</w:t>
          </w:r>
          <w:r w:rsidR="00843640">
            <w:rPr>
              <w:b/>
              <w:sz w:val="22"/>
              <w:szCs w:val="22"/>
            </w:rPr>
            <w:t xml:space="preserve"> – 2</w:t>
          </w:r>
          <w:r w:rsidR="0045308A">
            <w:rPr>
              <w:b/>
              <w:sz w:val="22"/>
              <w:szCs w:val="22"/>
            </w:rPr>
            <w:t>8</w:t>
          </w:r>
          <w:r w:rsidR="00843640">
            <w:rPr>
              <w:b/>
              <w:sz w:val="22"/>
              <w:szCs w:val="22"/>
            </w:rPr>
            <w:t>ª Câmara</w:t>
          </w:r>
        </w:p>
        <w:p w:rsidR="0074638C" w:rsidRPr="00FE63C7" w:rsidRDefault="0074638C" w:rsidP="0074638C">
          <w:pPr>
            <w:autoSpaceDE w:val="0"/>
            <w:autoSpaceDN w:val="0"/>
            <w:adjustRightInd w:val="0"/>
            <w:spacing w:line="360" w:lineRule="auto"/>
            <w:jc w:val="center"/>
            <w:rPr>
              <w:sz w:val="22"/>
              <w:szCs w:val="22"/>
            </w:rPr>
          </w:pPr>
        </w:p>
      </w:tc>
    </w:tr>
  </w:tbl>
  <w:p w:rsidR="005D6AC7" w:rsidRDefault="005D6A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986"/>
    <w:rsid w:val="000051CF"/>
    <w:rsid w:val="000070CF"/>
    <w:rsid w:val="00007607"/>
    <w:rsid w:val="00014D45"/>
    <w:rsid w:val="0001671E"/>
    <w:rsid w:val="00023A81"/>
    <w:rsid w:val="00024BCE"/>
    <w:rsid w:val="00035BC4"/>
    <w:rsid w:val="00050C76"/>
    <w:rsid w:val="00053F10"/>
    <w:rsid w:val="00063925"/>
    <w:rsid w:val="000644CF"/>
    <w:rsid w:val="00064FF0"/>
    <w:rsid w:val="000975CB"/>
    <w:rsid w:val="000A2260"/>
    <w:rsid w:val="000A2FB0"/>
    <w:rsid w:val="000A6675"/>
    <w:rsid w:val="000C0275"/>
    <w:rsid w:val="000C3BF9"/>
    <w:rsid w:val="000E4E0A"/>
    <w:rsid w:val="000E7B7B"/>
    <w:rsid w:val="000F1A7B"/>
    <w:rsid w:val="00104275"/>
    <w:rsid w:val="001052A4"/>
    <w:rsid w:val="001152D5"/>
    <w:rsid w:val="00117D33"/>
    <w:rsid w:val="001279DF"/>
    <w:rsid w:val="0014229B"/>
    <w:rsid w:val="00146407"/>
    <w:rsid w:val="00151B7B"/>
    <w:rsid w:val="001549B2"/>
    <w:rsid w:val="00156225"/>
    <w:rsid w:val="0016021A"/>
    <w:rsid w:val="00164A6D"/>
    <w:rsid w:val="00177F71"/>
    <w:rsid w:val="00183C63"/>
    <w:rsid w:val="001870C2"/>
    <w:rsid w:val="00190D51"/>
    <w:rsid w:val="001974CA"/>
    <w:rsid w:val="001A30AC"/>
    <w:rsid w:val="001A7649"/>
    <w:rsid w:val="001B2F54"/>
    <w:rsid w:val="001B6DDA"/>
    <w:rsid w:val="001E0792"/>
    <w:rsid w:val="001F5D2D"/>
    <w:rsid w:val="002246B2"/>
    <w:rsid w:val="0023199E"/>
    <w:rsid w:val="00232999"/>
    <w:rsid w:val="002362F8"/>
    <w:rsid w:val="0024195F"/>
    <w:rsid w:val="00254C76"/>
    <w:rsid w:val="00257D80"/>
    <w:rsid w:val="0026347E"/>
    <w:rsid w:val="00266B2C"/>
    <w:rsid w:val="00273FF0"/>
    <w:rsid w:val="00275E15"/>
    <w:rsid w:val="002A0E53"/>
    <w:rsid w:val="002B3F8D"/>
    <w:rsid w:val="002E0D87"/>
    <w:rsid w:val="002E759F"/>
    <w:rsid w:val="002E7F4C"/>
    <w:rsid w:val="002F0F20"/>
    <w:rsid w:val="002F2D29"/>
    <w:rsid w:val="002F3D04"/>
    <w:rsid w:val="003014C9"/>
    <w:rsid w:val="003046F4"/>
    <w:rsid w:val="00304A73"/>
    <w:rsid w:val="00306AA9"/>
    <w:rsid w:val="003467F5"/>
    <w:rsid w:val="00347233"/>
    <w:rsid w:val="0035070C"/>
    <w:rsid w:val="00356F23"/>
    <w:rsid w:val="00362171"/>
    <w:rsid w:val="00381ED7"/>
    <w:rsid w:val="003863DF"/>
    <w:rsid w:val="00393E45"/>
    <w:rsid w:val="003C6A15"/>
    <w:rsid w:val="003D0F9E"/>
    <w:rsid w:val="003D1618"/>
    <w:rsid w:val="003D4C47"/>
    <w:rsid w:val="003D6E11"/>
    <w:rsid w:val="003E06DD"/>
    <w:rsid w:val="003E6395"/>
    <w:rsid w:val="003E6CA3"/>
    <w:rsid w:val="003E7F3F"/>
    <w:rsid w:val="003F298F"/>
    <w:rsid w:val="003F5D19"/>
    <w:rsid w:val="003F6DE8"/>
    <w:rsid w:val="004101CB"/>
    <w:rsid w:val="00414B91"/>
    <w:rsid w:val="00423C84"/>
    <w:rsid w:val="004276A1"/>
    <w:rsid w:val="00436C67"/>
    <w:rsid w:val="00443BC7"/>
    <w:rsid w:val="00444E1E"/>
    <w:rsid w:val="00451196"/>
    <w:rsid w:val="00452648"/>
    <w:rsid w:val="0045308A"/>
    <w:rsid w:val="00453828"/>
    <w:rsid w:val="00457052"/>
    <w:rsid w:val="00467D9A"/>
    <w:rsid w:val="004832A0"/>
    <w:rsid w:val="00484A5F"/>
    <w:rsid w:val="00490D17"/>
    <w:rsid w:val="004A1052"/>
    <w:rsid w:val="004A4B68"/>
    <w:rsid w:val="004B2878"/>
    <w:rsid w:val="004D3A0E"/>
    <w:rsid w:val="004E48B5"/>
    <w:rsid w:val="004E55C5"/>
    <w:rsid w:val="004F0AF0"/>
    <w:rsid w:val="004F27F5"/>
    <w:rsid w:val="00501CE9"/>
    <w:rsid w:val="005020BF"/>
    <w:rsid w:val="005141C7"/>
    <w:rsid w:val="00527ADD"/>
    <w:rsid w:val="00535760"/>
    <w:rsid w:val="00540200"/>
    <w:rsid w:val="005447B2"/>
    <w:rsid w:val="005618DB"/>
    <w:rsid w:val="005715D4"/>
    <w:rsid w:val="00577265"/>
    <w:rsid w:val="005828CA"/>
    <w:rsid w:val="005849AC"/>
    <w:rsid w:val="0058736E"/>
    <w:rsid w:val="00590C1E"/>
    <w:rsid w:val="005915CB"/>
    <w:rsid w:val="00594832"/>
    <w:rsid w:val="00596359"/>
    <w:rsid w:val="005A2D71"/>
    <w:rsid w:val="005A306D"/>
    <w:rsid w:val="005A6CAB"/>
    <w:rsid w:val="005B2EE3"/>
    <w:rsid w:val="005B6859"/>
    <w:rsid w:val="005C3B40"/>
    <w:rsid w:val="005D330F"/>
    <w:rsid w:val="005D5369"/>
    <w:rsid w:val="005D6AC7"/>
    <w:rsid w:val="005E74DB"/>
    <w:rsid w:val="005E796B"/>
    <w:rsid w:val="005F2EA0"/>
    <w:rsid w:val="005F58AB"/>
    <w:rsid w:val="006009A0"/>
    <w:rsid w:val="00610BAE"/>
    <w:rsid w:val="00613950"/>
    <w:rsid w:val="006174A4"/>
    <w:rsid w:val="00621006"/>
    <w:rsid w:val="006303F0"/>
    <w:rsid w:val="00651BA1"/>
    <w:rsid w:val="00666C99"/>
    <w:rsid w:val="006677E8"/>
    <w:rsid w:val="00675566"/>
    <w:rsid w:val="0067760D"/>
    <w:rsid w:val="00683EF2"/>
    <w:rsid w:val="0068460F"/>
    <w:rsid w:val="006852A8"/>
    <w:rsid w:val="006855B2"/>
    <w:rsid w:val="00686F12"/>
    <w:rsid w:val="006B0F81"/>
    <w:rsid w:val="006B7436"/>
    <w:rsid w:val="006C13F3"/>
    <w:rsid w:val="006C4839"/>
    <w:rsid w:val="006D2426"/>
    <w:rsid w:val="006D48C7"/>
    <w:rsid w:val="006D6D9E"/>
    <w:rsid w:val="006D7FAA"/>
    <w:rsid w:val="006E282F"/>
    <w:rsid w:val="006E7715"/>
    <w:rsid w:val="006E797E"/>
    <w:rsid w:val="006F2D3B"/>
    <w:rsid w:val="0071014B"/>
    <w:rsid w:val="00715993"/>
    <w:rsid w:val="0072210F"/>
    <w:rsid w:val="00726EFE"/>
    <w:rsid w:val="0074638C"/>
    <w:rsid w:val="007573C5"/>
    <w:rsid w:val="00757D2E"/>
    <w:rsid w:val="00761D16"/>
    <w:rsid w:val="007677A0"/>
    <w:rsid w:val="00772DD2"/>
    <w:rsid w:val="00775D60"/>
    <w:rsid w:val="0077706E"/>
    <w:rsid w:val="00780FEC"/>
    <w:rsid w:val="007854E9"/>
    <w:rsid w:val="007864E6"/>
    <w:rsid w:val="007922B4"/>
    <w:rsid w:val="00794E76"/>
    <w:rsid w:val="007A203B"/>
    <w:rsid w:val="007A2A35"/>
    <w:rsid w:val="007A62D0"/>
    <w:rsid w:val="007A6EF9"/>
    <w:rsid w:val="007B1331"/>
    <w:rsid w:val="007B1CA9"/>
    <w:rsid w:val="007D0293"/>
    <w:rsid w:val="007D4E15"/>
    <w:rsid w:val="007D6F44"/>
    <w:rsid w:val="007E4F5C"/>
    <w:rsid w:val="007F713F"/>
    <w:rsid w:val="00800BC9"/>
    <w:rsid w:val="0080132A"/>
    <w:rsid w:val="00801D52"/>
    <w:rsid w:val="00807BAB"/>
    <w:rsid w:val="00821D52"/>
    <w:rsid w:val="00824204"/>
    <w:rsid w:val="0082488B"/>
    <w:rsid w:val="0082520E"/>
    <w:rsid w:val="00831125"/>
    <w:rsid w:val="00832713"/>
    <w:rsid w:val="00843640"/>
    <w:rsid w:val="00844D6A"/>
    <w:rsid w:val="00850B44"/>
    <w:rsid w:val="00856A19"/>
    <w:rsid w:val="00861523"/>
    <w:rsid w:val="00871F1B"/>
    <w:rsid w:val="008823A3"/>
    <w:rsid w:val="0089272D"/>
    <w:rsid w:val="00896006"/>
    <w:rsid w:val="008960B0"/>
    <w:rsid w:val="0089689A"/>
    <w:rsid w:val="008A781B"/>
    <w:rsid w:val="008B3AD8"/>
    <w:rsid w:val="008C002E"/>
    <w:rsid w:val="008C2E14"/>
    <w:rsid w:val="008C72FD"/>
    <w:rsid w:val="008C74A4"/>
    <w:rsid w:val="008D2C44"/>
    <w:rsid w:val="008E18D4"/>
    <w:rsid w:val="008F3626"/>
    <w:rsid w:val="009014AA"/>
    <w:rsid w:val="00902A49"/>
    <w:rsid w:val="009047D7"/>
    <w:rsid w:val="00904970"/>
    <w:rsid w:val="00904CB9"/>
    <w:rsid w:val="0090663A"/>
    <w:rsid w:val="009207F7"/>
    <w:rsid w:val="0092556F"/>
    <w:rsid w:val="009324E4"/>
    <w:rsid w:val="00971ED1"/>
    <w:rsid w:val="00980413"/>
    <w:rsid w:val="009829F8"/>
    <w:rsid w:val="00984D06"/>
    <w:rsid w:val="009A272C"/>
    <w:rsid w:val="009B2F7F"/>
    <w:rsid w:val="009C14E0"/>
    <w:rsid w:val="009D38FE"/>
    <w:rsid w:val="009E286F"/>
    <w:rsid w:val="009F1548"/>
    <w:rsid w:val="009F3263"/>
    <w:rsid w:val="00A103D5"/>
    <w:rsid w:val="00A12B61"/>
    <w:rsid w:val="00A2086A"/>
    <w:rsid w:val="00A21C8D"/>
    <w:rsid w:val="00A21CFC"/>
    <w:rsid w:val="00A308DE"/>
    <w:rsid w:val="00A32A13"/>
    <w:rsid w:val="00A36E3F"/>
    <w:rsid w:val="00A40545"/>
    <w:rsid w:val="00A43AA4"/>
    <w:rsid w:val="00A623A4"/>
    <w:rsid w:val="00A67C11"/>
    <w:rsid w:val="00A740A8"/>
    <w:rsid w:val="00A87E4D"/>
    <w:rsid w:val="00A97699"/>
    <w:rsid w:val="00AA2B35"/>
    <w:rsid w:val="00AB059C"/>
    <w:rsid w:val="00AB639D"/>
    <w:rsid w:val="00AC0077"/>
    <w:rsid w:val="00AC7EAC"/>
    <w:rsid w:val="00AD2664"/>
    <w:rsid w:val="00AF3AF7"/>
    <w:rsid w:val="00AF5645"/>
    <w:rsid w:val="00AF56D6"/>
    <w:rsid w:val="00B040DF"/>
    <w:rsid w:val="00B07921"/>
    <w:rsid w:val="00B11E27"/>
    <w:rsid w:val="00B21995"/>
    <w:rsid w:val="00B3071F"/>
    <w:rsid w:val="00B36391"/>
    <w:rsid w:val="00B40242"/>
    <w:rsid w:val="00B41F15"/>
    <w:rsid w:val="00B41F93"/>
    <w:rsid w:val="00B429DB"/>
    <w:rsid w:val="00B44E33"/>
    <w:rsid w:val="00B500C4"/>
    <w:rsid w:val="00B51ECF"/>
    <w:rsid w:val="00B64BEB"/>
    <w:rsid w:val="00B708A1"/>
    <w:rsid w:val="00B71CA7"/>
    <w:rsid w:val="00B809B5"/>
    <w:rsid w:val="00B86821"/>
    <w:rsid w:val="00B9287D"/>
    <w:rsid w:val="00BA27E5"/>
    <w:rsid w:val="00BA4C0D"/>
    <w:rsid w:val="00BA67BB"/>
    <w:rsid w:val="00BB3A46"/>
    <w:rsid w:val="00BB3F9B"/>
    <w:rsid w:val="00BC12A6"/>
    <w:rsid w:val="00BD281E"/>
    <w:rsid w:val="00BD2A4E"/>
    <w:rsid w:val="00BD4CEB"/>
    <w:rsid w:val="00BE63AB"/>
    <w:rsid w:val="00BE6986"/>
    <w:rsid w:val="00BF007F"/>
    <w:rsid w:val="00BF1F96"/>
    <w:rsid w:val="00BF4E1E"/>
    <w:rsid w:val="00C03ECD"/>
    <w:rsid w:val="00C07BA2"/>
    <w:rsid w:val="00C13DC9"/>
    <w:rsid w:val="00C1475A"/>
    <w:rsid w:val="00C151C8"/>
    <w:rsid w:val="00C216CE"/>
    <w:rsid w:val="00C23997"/>
    <w:rsid w:val="00C24FB4"/>
    <w:rsid w:val="00C25FFF"/>
    <w:rsid w:val="00C40DF0"/>
    <w:rsid w:val="00C435A7"/>
    <w:rsid w:val="00C5006B"/>
    <w:rsid w:val="00C50D9A"/>
    <w:rsid w:val="00C51924"/>
    <w:rsid w:val="00C529F6"/>
    <w:rsid w:val="00C53E0F"/>
    <w:rsid w:val="00C57140"/>
    <w:rsid w:val="00C73CB5"/>
    <w:rsid w:val="00C74683"/>
    <w:rsid w:val="00C775D2"/>
    <w:rsid w:val="00C92542"/>
    <w:rsid w:val="00C9509B"/>
    <w:rsid w:val="00C9675B"/>
    <w:rsid w:val="00CB024D"/>
    <w:rsid w:val="00CB0F8C"/>
    <w:rsid w:val="00CC1F33"/>
    <w:rsid w:val="00CC4969"/>
    <w:rsid w:val="00CC5382"/>
    <w:rsid w:val="00CC679E"/>
    <w:rsid w:val="00CD2F67"/>
    <w:rsid w:val="00CE459D"/>
    <w:rsid w:val="00CF294C"/>
    <w:rsid w:val="00CF6CF2"/>
    <w:rsid w:val="00D020DF"/>
    <w:rsid w:val="00D03890"/>
    <w:rsid w:val="00D15D16"/>
    <w:rsid w:val="00D16D64"/>
    <w:rsid w:val="00D204CC"/>
    <w:rsid w:val="00D242A2"/>
    <w:rsid w:val="00D25719"/>
    <w:rsid w:val="00D25D01"/>
    <w:rsid w:val="00D33066"/>
    <w:rsid w:val="00D34CC5"/>
    <w:rsid w:val="00D350B1"/>
    <w:rsid w:val="00D403CD"/>
    <w:rsid w:val="00D62506"/>
    <w:rsid w:val="00D71C84"/>
    <w:rsid w:val="00D7237C"/>
    <w:rsid w:val="00D7500F"/>
    <w:rsid w:val="00D8741C"/>
    <w:rsid w:val="00D9290F"/>
    <w:rsid w:val="00D9626B"/>
    <w:rsid w:val="00DA262F"/>
    <w:rsid w:val="00DA6513"/>
    <w:rsid w:val="00DB0A16"/>
    <w:rsid w:val="00DC0341"/>
    <w:rsid w:val="00DC761D"/>
    <w:rsid w:val="00DD5F7F"/>
    <w:rsid w:val="00DD797F"/>
    <w:rsid w:val="00DE46A5"/>
    <w:rsid w:val="00E03209"/>
    <w:rsid w:val="00E07924"/>
    <w:rsid w:val="00E1416C"/>
    <w:rsid w:val="00E141EA"/>
    <w:rsid w:val="00E15512"/>
    <w:rsid w:val="00E160CD"/>
    <w:rsid w:val="00E17210"/>
    <w:rsid w:val="00E1739E"/>
    <w:rsid w:val="00E214FC"/>
    <w:rsid w:val="00E226AD"/>
    <w:rsid w:val="00E43F8B"/>
    <w:rsid w:val="00E44ECC"/>
    <w:rsid w:val="00E47228"/>
    <w:rsid w:val="00E553F9"/>
    <w:rsid w:val="00E570D5"/>
    <w:rsid w:val="00E60B27"/>
    <w:rsid w:val="00E61555"/>
    <w:rsid w:val="00E643D1"/>
    <w:rsid w:val="00E64AD6"/>
    <w:rsid w:val="00E67958"/>
    <w:rsid w:val="00E715A0"/>
    <w:rsid w:val="00EA02B6"/>
    <w:rsid w:val="00EA2CDC"/>
    <w:rsid w:val="00EA5288"/>
    <w:rsid w:val="00EB2605"/>
    <w:rsid w:val="00EB305F"/>
    <w:rsid w:val="00EB4F32"/>
    <w:rsid w:val="00EB618D"/>
    <w:rsid w:val="00EB6BC3"/>
    <w:rsid w:val="00EC3999"/>
    <w:rsid w:val="00EC72E6"/>
    <w:rsid w:val="00ED62EB"/>
    <w:rsid w:val="00EE2B9D"/>
    <w:rsid w:val="00EF04DB"/>
    <w:rsid w:val="00F050BB"/>
    <w:rsid w:val="00F105FA"/>
    <w:rsid w:val="00F159C2"/>
    <w:rsid w:val="00F2568F"/>
    <w:rsid w:val="00F45D4A"/>
    <w:rsid w:val="00F55E9B"/>
    <w:rsid w:val="00F66257"/>
    <w:rsid w:val="00F72D15"/>
    <w:rsid w:val="00F77130"/>
    <w:rsid w:val="00F85D0F"/>
    <w:rsid w:val="00F94E31"/>
    <w:rsid w:val="00F952F5"/>
    <w:rsid w:val="00FB03E1"/>
    <w:rsid w:val="00FC6AEA"/>
    <w:rsid w:val="00FD348B"/>
    <w:rsid w:val="00FD76CF"/>
    <w:rsid w:val="00FE63C7"/>
    <w:rsid w:val="00FE6B0F"/>
    <w:rsid w:val="00FE72F8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5A4679BE-9447-4855-AFEC-1D029D5B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4FB4"/>
    <w:pPr>
      <w:keepNext/>
      <w:spacing w:line="360" w:lineRule="auto"/>
      <w:jc w:val="both"/>
      <w:outlineLvl w:val="0"/>
    </w:pPr>
    <w:rPr>
      <w:b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BE698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BE6986"/>
    <w:pPr>
      <w:tabs>
        <w:tab w:val="center" w:pos="4252"/>
        <w:tab w:val="right" w:pos="8504"/>
      </w:tabs>
    </w:pPr>
  </w:style>
  <w:style w:type="character" w:customStyle="1" w:styleId="Ttulo1Char">
    <w:name w:val="Título 1 Char"/>
    <w:link w:val="Ttulo1"/>
    <w:rsid w:val="00C24FB4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FE63C7"/>
    <w:pPr>
      <w:spacing w:line="360" w:lineRule="auto"/>
      <w:ind w:left="2268"/>
      <w:jc w:val="both"/>
    </w:pPr>
    <w:rPr>
      <w:b/>
      <w:iCs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FE63C7"/>
    <w:rPr>
      <w:b/>
      <w:iCs/>
    </w:rPr>
  </w:style>
  <w:style w:type="character" w:styleId="nfase">
    <w:name w:val="Emphasis"/>
    <w:uiPriority w:val="20"/>
    <w:qFormat/>
    <w:rsid w:val="009C14E0"/>
    <w:rPr>
      <w:b/>
      <w:bCs/>
      <w:i/>
      <w:iCs/>
      <w:color w:val="2878AF"/>
      <w:shd w:val="clear" w:color="auto" w:fill="BEDCF0"/>
    </w:rPr>
  </w:style>
  <w:style w:type="paragraph" w:styleId="Textodebalo">
    <w:name w:val="Balloon Text"/>
    <w:basedOn w:val="Normal"/>
    <w:link w:val="TextodebaloChar"/>
    <w:rsid w:val="00E214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214FC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020D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A27E5"/>
    <w:pPr>
      <w:spacing w:before="100" w:beforeAutospacing="1" w:after="100" w:afterAutospacing="1"/>
    </w:pPr>
  </w:style>
  <w:style w:type="paragraph" w:styleId="Textoembloco">
    <w:name w:val="Block Text"/>
    <w:basedOn w:val="Normal"/>
    <w:rsid w:val="002E759F"/>
    <w:pPr>
      <w:spacing w:line="360" w:lineRule="auto"/>
      <w:ind w:left="1701" w:right="283"/>
      <w:jc w:val="both"/>
    </w:pPr>
    <w:rPr>
      <w:rFonts w:ascii="Courier New" w:hAnsi="Courier New"/>
      <w:sz w:val="28"/>
      <w:szCs w:val="20"/>
    </w:rPr>
  </w:style>
  <w:style w:type="paragraph" w:styleId="Textodenotaderodap">
    <w:name w:val="footnote text"/>
    <w:basedOn w:val="Normal"/>
    <w:link w:val="TextodenotaderodapChar"/>
    <w:rsid w:val="002E759F"/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link w:val="Textodenotaderodap"/>
    <w:rsid w:val="002E759F"/>
    <w:rPr>
      <w:rFonts w:ascii="Arial" w:hAnsi="Arial"/>
    </w:rPr>
  </w:style>
  <w:style w:type="character" w:styleId="Refdenotaderodap">
    <w:name w:val="footnote reference"/>
    <w:rsid w:val="002E7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329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80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61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3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757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0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0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45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63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2835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53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44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0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909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62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96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795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186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5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772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940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73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93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501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520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785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01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93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0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967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83C6C-EC2F-4190-9FDB-4C0091FFE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508C76-A01C-4923-A439-4D8CE6DF4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0732F-4C5E-4BE6-BBEF-BC9BD6EE7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EE3D12-9669-4B26-847B-2C2D6986C7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1526</Words>
  <Characters>8246</Characters>
  <Application>Microsoft Office Word</Application>
  <DocSecurity>4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10 de outubro de 2014</vt:lpstr>
    </vt:vector>
  </TitlesOfParts>
  <Company>TJSP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10 de outubro de 2014</dc:title>
  <dc:subject/>
  <dc:creator>prescrim</dc:creator>
  <cp:keywords/>
  <cp:lastModifiedBy>DENISE OLIVEIRA DOS SANTOS</cp:lastModifiedBy>
  <cp:revision>2</cp:revision>
  <cp:lastPrinted>2017-05-24T17:15:00Z</cp:lastPrinted>
  <dcterms:created xsi:type="dcterms:W3CDTF">2025-06-11T23:28:00Z</dcterms:created>
  <dcterms:modified xsi:type="dcterms:W3CDTF">2025-06-11T23:28:00Z</dcterms:modified>
</cp:coreProperties>
</file>