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3209" w:rsidRPr="00675566" w:rsidRDefault="00E03209" w:rsidP="008C72FD">
      <w:pPr>
        <w:spacing w:line="360" w:lineRule="auto"/>
        <w:jc w:val="both"/>
        <w:rPr>
          <w:rFonts w:ascii="Arial" w:hAnsi="Arial" w:cs="Arial"/>
          <w:b/>
          <w:szCs w:val="20"/>
        </w:rPr>
      </w:pPr>
      <w:r>
        <w:t>APELAÇÃO N° 0000000-00.0000.0.00.0000</w:t>
      </w:r>
    </w:p>
    <w:p w:rsidR="00E03209" w:rsidRPr="00675566" w:rsidRDefault="00922544" w:rsidP="008C72FD">
      <w:pPr>
        <w:spacing w:line="360" w:lineRule="auto"/>
        <w:jc w:val="both"/>
        <w:rPr>
          <w:rFonts w:ascii="Arial" w:hAnsi="Arial" w:cs="Arial"/>
          <w:b/>
          <w:szCs w:val="20"/>
        </w:rPr>
      </w:pPr>
      <w:r>
        <w:t>7ª VARA CÍVEL DO FORO REGIONAL DE SANTANA</w:t>
      </w:r>
    </w:p>
    <w:p w:rsidR="00E03209" w:rsidRPr="003863DF" w:rsidRDefault="0082520E" w:rsidP="008C72FD">
      <w:pPr>
        <w:tabs>
          <w:tab w:val="left" w:pos="1276"/>
        </w:tabs>
        <w:spacing w:line="360" w:lineRule="auto"/>
        <w:jc w:val="both"/>
        <w:rPr>
          <w:rFonts w:ascii="Arial" w:hAnsi="Arial" w:cs="Arial"/>
          <w:szCs w:val="20"/>
        </w:rPr>
      </w:pPr>
      <w:r>
        <w:t>Apelante: [APELANTE]</w:t>
      </w:r>
    </w:p>
    <w:p w:rsidR="00BA67BB" w:rsidRDefault="0082520E" w:rsidP="00F60B5E">
      <w:pPr>
        <w:tabs>
          <w:tab w:val="left" w:pos="1276"/>
        </w:tabs>
        <w:spacing w:line="360" w:lineRule="auto"/>
        <w:jc w:val="both"/>
        <w:rPr>
          <w:rFonts w:ascii="Arial" w:hAnsi="Arial" w:cs="Arial"/>
          <w:b/>
          <w:bCs/>
          <w:szCs w:val="20"/>
        </w:rPr>
      </w:pPr>
      <w:r>
        <w:t>Apelada: AUTOR(A) e outros</w:t>
      </w:r>
    </w:p>
    <w:p w:rsidR="00E03209" w:rsidRPr="003863DF" w:rsidRDefault="0082520E" w:rsidP="008C72FD">
      <w:pPr>
        <w:tabs>
          <w:tab w:val="left" w:pos="1276"/>
        </w:tabs>
        <w:spacing w:line="360" w:lineRule="auto"/>
        <w:jc w:val="both"/>
        <w:rPr>
          <w:rFonts w:ascii="Arial" w:hAnsi="Arial" w:cs="Arial"/>
          <w:sz w:val="28"/>
          <w:szCs w:val="20"/>
        </w:rPr>
      </w:pPr>
      <w:r>
        <w:t>AUTOR(A): José Carlos de França AUTOR(A)</w:t>
      </w:r>
    </w:p>
    <w:p w:rsidR="0082520E" w:rsidRPr="000C4EC3" w:rsidRDefault="0082520E" w:rsidP="0082520E">
      <w:pPr>
        <w:spacing w:line="360" w:lineRule="auto"/>
        <w:jc w:val="both"/>
        <w:rPr>
          <w:rFonts w:ascii="Arial" w:hAnsi="Arial" w:cs="Arial"/>
          <w:b/>
        </w:rPr>
      </w:pPr>
      <w:r>
        <w:t>Relator(a): JOSÉ AUGUSTO GENOFRE MARTINS</w:t>
      </w:r>
    </w:p>
    <w:p w:rsidR="00FF2A4F" w:rsidRPr="00F92DB3" w:rsidRDefault="0082520E" w:rsidP="00F92DB3">
      <w:pPr>
        <w:spacing w:line="360" w:lineRule="auto"/>
        <w:jc w:val="both"/>
        <w:rPr>
          <w:rFonts w:ascii="Arial" w:hAnsi="Arial" w:cs="Arial"/>
          <w:b/>
        </w:rPr>
      </w:pPr>
      <w:r>
        <w:t>Órgão Julgador: 32ª Câmara de AUTOR(A)</w:t>
      </w:r>
    </w:p>
    <w:p w:rsidR="00C24FB4" w:rsidRPr="00675566" w:rsidRDefault="00675566" w:rsidP="008C72FD">
      <w:pPr>
        <w:spacing w:line="360" w:lineRule="auto"/>
        <w:rPr>
          <w:rFonts w:ascii="Arial" w:hAnsi="Arial" w:cs="Arial"/>
        </w:rPr>
      </w:pPr>
      <w:r>
        <w:t>VOTO Nº 9.461</w:t>
      </w:r>
    </w:p>
    <w:p w:rsidR="00E03209" w:rsidRDefault="00E03209" w:rsidP="008C72FD">
      <w:pPr>
        <w:spacing w:line="360" w:lineRule="auto"/>
        <w:rPr>
          <w:rFonts w:ascii="Arial" w:hAnsi="Arial" w:cs="Arial"/>
        </w:rPr>
      </w:pPr>
      <w:r/>
    </w:p>
    <w:p w:rsidR="00D768BE" w:rsidRPr="00675566" w:rsidRDefault="00D768BE" w:rsidP="008C72FD">
      <w:pPr>
        <w:spacing w:line="360" w:lineRule="auto"/>
        <w:rPr>
          <w:rFonts w:ascii="Arial" w:hAnsi="Arial" w:cs="Arial"/>
        </w:rPr>
      </w:pPr>
      <w:r/>
    </w:p>
    <w:p w:rsidR="00594832" w:rsidRPr="009E7B62" w:rsidRDefault="00594832" w:rsidP="00884511">
      <w:pPr>
        <w:pStyle w:val="Recuodecorpodetexto"/>
        <w:ind w:left="0"/>
        <w:rPr>
          <w:rFonts w:ascii="Arial" w:hAnsi="Arial" w:cs="Arial"/>
          <w:sz w:val="22"/>
          <w:szCs w:val="22"/>
        </w:rPr>
      </w:pPr>
      <w:r/>
    </w:p>
    <w:p w:rsidR="002E759F" w:rsidRPr="009E7B62" w:rsidRDefault="00884511" w:rsidP="008C72FD">
      <w:pPr>
        <w:pStyle w:val="Recuodecorpodetexto"/>
        <w:rPr>
          <w:rFonts w:ascii="Arial" w:hAnsi="Arial" w:cs="Arial"/>
          <w:sz w:val="22"/>
          <w:szCs w:val="22"/>
        </w:rPr>
      </w:pPr>
      <w:r>
        <w:t>APELAÇÃO CÍVEL. COBRANÇA DE ALUGUEL. Sentença que condenou as rés ao pagamento de R$ 29.860,92, acrescidos de correção monetária e juros de mora, bem como das diferenças de valores recolhidos a menor após o ajuizamento da ação, a serem apurados em cumprimento de sentença – Insurgência das rés visando a reforma da sentença para instauração de liquidação de sentença – Alegação de que a sentença é parcialmente ilíquida e que há necessidade de dilação probatória para apuração dos valores. Foi realizada perícia nos autos e já restou incontroverso que os valores devidos a título de aluguel foram pagos a menor. É possível a apuração dos valores relativos aos aluguéis vincendos mediante simples cálculo aritmético em sede de cumprimento de sentença. Inteligência do artigo 509, §2º do CPC. Sentença mantida. Recurso improvido.</w:t>
      </w:r>
    </w:p>
    <w:p w:rsidR="00CC679E" w:rsidRDefault="00CC679E" w:rsidP="008C72FD">
      <w:pPr>
        <w:pStyle w:val="Recuodecorpodetexto"/>
        <w:rPr>
          <w:rFonts w:ascii="Arial" w:hAnsi="Arial" w:cs="Arial"/>
          <w:sz w:val="22"/>
          <w:szCs w:val="22"/>
        </w:rPr>
      </w:pPr>
      <w:r/>
    </w:p>
    <w:p w:rsidR="00FD348B" w:rsidRPr="00AF3AF7" w:rsidRDefault="00FD348B" w:rsidP="008C72FD">
      <w:pPr>
        <w:pStyle w:val="Recuodecorpodetexto"/>
        <w:rPr>
          <w:rFonts w:ascii="Arial" w:hAnsi="Arial" w:cs="Arial"/>
          <w:bCs/>
          <w:sz w:val="22"/>
          <w:szCs w:val="22"/>
        </w:rPr>
      </w:pPr>
      <w:r/>
    </w:p>
    <w:p w:rsidR="005B2EE3" w:rsidRDefault="005B2EE3" w:rsidP="008C72FD">
      <w:pPr>
        <w:spacing w:line="360" w:lineRule="auto"/>
        <w:ind w:firstLine="1418"/>
        <w:jc w:val="both"/>
        <w:rPr>
          <w:rFonts w:ascii="Arial" w:hAnsi="Arial" w:cs="Arial"/>
          <w:b/>
          <w:bCs/>
        </w:rPr>
      </w:pPr>
      <w:r>
        <w:t>Vistos.</w:t>
      </w:r>
    </w:p>
    <w:p w:rsidR="00AF3AF7" w:rsidRDefault="00AF3AF7" w:rsidP="00AF3AF7">
      <w:pPr>
        <w:spacing w:line="360" w:lineRule="auto"/>
        <w:ind w:firstLine="1418"/>
        <w:jc w:val="both"/>
        <w:rPr>
          <w:rFonts w:ascii="Arial" w:hAnsi="Arial" w:cs="Arial"/>
          <w:b/>
          <w:bCs/>
        </w:rPr>
      </w:pPr>
      <w:r/>
    </w:p>
    <w:p w:rsidR="00AF3AF7" w:rsidRPr="00AF3AF7" w:rsidRDefault="00AF3AF7" w:rsidP="00AF3AF7">
      <w:pPr>
        <w:spacing w:line="360" w:lineRule="auto"/>
        <w:ind w:firstLine="1418"/>
        <w:jc w:val="both"/>
        <w:rPr>
          <w:rFonts w:ascii="Arial" w:hAnsi="Arial" w:cs="Arial"/>
          <w:b/>
          <w:bCs/>
        </w:rPr>
      </w:pPr>
      <w:r/>
    </w:p>
    <w:p w:rsidR="00922544" w:rsidRDefault="00CC679E" w:rsidP="00922544">
      <w:pPr>
        <w:spacing w:line="360" w:lineRule="auto"/>
        <w:ind w:firstLine="1418"/>
        <w:jc w:val="both"/>
        <w:rPr>
          <w:rFonts w:ascii="Arial" w:hAnsi="Arial" w:cs="Arial"/>
        </w:rPr>
      </w:pPr>
      <w:r>
        <w:t>Trata-se de ação de cobrança de aluguéis ajuizada por AUTOR(A) e outros em face de Americanas S.a. e outro, julgada procedente pela r. sentença de fls. 579/582, condenando as requeridas solidariamente ao pagamento do montante de R$ 29.860,92, acrescidos de correção monetária e juros de mora de 1% ao mês desde a citação, bem como das diferenças dos valores recolhidos a menor após o ajuizamento da ação, a serem apurados no cumprimento de sentença.</w:t>
      </w:r>
    </w:p>
    <w:p w:rsidR="00685534" w:rsidRDefault="00CC679E" w:rsidP="0026404C">
      <w:pPr>
        <w:spacing w:line="360" w:lineRule="auto"/>
        <w:ind w:firstLine="1418"/>
        <w:jc w:val="both"/>
        <w:rPr>
          <w:rFonts w:ascii="Arial" w:hAnsi="Arial" w:cs="Arial"/>
        </w:rPr>
      </w:pPr>
      <w:r>
        <w:t xml:space="preserve">Inconformadas, recorrem as requeridas (fls. 597/604), buscando a reforma do julgado. Aduzem, em síntese, que a r. sentença incorreu em equívoco ao determinar que o pagamento dos valores de alugueres e demais encargos vincendos no decorrer da ação seja apurado em sede de cumprimento de sentença. Assevera que a r. sentença é parcialmente ilíquida, de modo que atrai a incidência da instauração de liquidação de sentença nos termos do art. 509, II, do CPC e, ainda, que entende que há a necessidade de dilação probatória no que tange aos valores das parcelas e demais encargos vencidos no curso desta ação.   </w:t>
      </w:r>
    </w:p>
    <w:p w:rsidR="00CC679E" w:rsidRPr="00F77130" w:rsidRDefault="00CC679E" w:rsidP="00F77130">
      <w:pPr>
        <w:spacing w:line="360" w:lineRule="auto"/>
        <w:ind w:firstLine="1418"/>
        <w:jc w:val="both"/>
        <w:rPr>
          <w:rFonts w:ascii="Arial" w:hAnsi="Arial" w:cs="Arial"/>
        </w:rPr>
      </w:pPr>
      <w:r>
        <w:t>Recurso tempestivo, devidamente preparado (fls. 605/606) e regularmente processado.</w:t>
      </w:r>
    </w:p>
    <w:p w:rsidR="00CC679E" w:rsidRDefault="00CC679E" w:rsidP="008C72FD">
      <w:pPr>
        <w:autoSpaceDE w:val="0"/>
        <w:autoSpaceDN w:val="0"/>
        <w:adjustRightInd w:val="0"/>
        <w:spacing w:line="360" w:lineRule="auto"/>
        <w:ind w:firstLine="1418"/>
        <w:jc w:val="both"/>
        <w:rPr>
          <w:rFonts w:ascii="Arial" w:hAnsi="Arial" w:cs="Arial"/>
          <w:color w:val="000000"/>
        </w:rPr>
      </w:pPr>
      <w:r>
        <w:t xml:space="preserve">Contrarrazões pelo improvimento recursal (fls. 610/612). </w:t>
      </w:r>
    </w:p>
    <w:p w:rsidR="00CC679E" w:rsidRDefault="00CC679E" w:rsidP="008C72FD">
      <w:pPr>
        <w:autoSpaceDE w:val="0"/>
        <w:autoSpaceDN w:val="0"/>
        <w:adjustRightInd w:val="0"/>
        <w:spacing w:line="360" w:lineRule="auto"/>
        <w:ind w:firstLine="1418"/>
        <w:jc w:val="both"/>
        <w:rPr>
          <w:rFonts w:ascii="Arial" w:hAnsi="Arial" w:cs="Arial"/>
          <w:color w:val="000000"/>
        </w:rPr>
      </w:pPr>
      <w:r>
        <w:t>Ausente manifestação de oposição ao julgamento virtual.</w:t>
      </w:r>
    </w:p>
    <w:p w:rsidR="00CC679E" w:rsidRDefault="00CC679E" w:rsidP="008C72FD">
      <w:pPr>
        <w:autoSpaceDE w:val="0"/>
        <w:autoSpaceDN w:val="0"/>
        <w:adjustRightInd w:val="0"/>
        <w:spacing w:line="360" w:lineRule="auto"/>
        <w:ind w:firstLine="1418"/>
        <w:jc w:val="both"/>
        <w:rPr>
          <w:rFonts w:ascii="Arial" w:hAnsi="Arial" w:cs="Arial"/>
          <w:color w:val="000000"/>
        </w:rPr>
      </w:pPr>
      <w:r/>
    </w:p>
    <w:p w:rsidR="00FF458C" w:rsidRDefault="00FF458C" w:rsidP="008C72FD">
      <w:pPr>
        <w:autoSpaceDE w:val="0"/>
        <w:autoSpaceDN w:val="0"/>
        <w:adjustRightInd w:val="0"/>
        <w:spacing w:line="360" w:lineRule="auto"/>
        <w:ind w:firstLine="1418"/>
        <w:jc w:val="both"/>
        <w:rPr>
          <w:rFonts w:ascii="Arial" w:hAnsi="Arial" w:cs="Arial"/>
          <w:b/>
          <w:bCs/>
        </w:rPr>
      </w:pPr>
      <w:r>
        <w:t xml:space="preserve">É o relatório. </w:t>
      </w:r>
    </w:p>
    <w:p w:rsidR="008C72FD" w:rsidRPr="00FF458C" w:rsidRDefault="008C72FD" w:rsidP="008C72FD">
      <w:pPr>
        <w:autoSpaceDE w:val="0"/>
        <w:autoSpaceDN w:val="0"/>
        <w:adjustRightInd w:val="0"/>
        <w:spacing w:line="360" w:lineRule="auto"/>
        <w:ind w:firstLine="1418"/>
        <w:jc w:val="both"/>
        <w:rPr>
          <w:rFonts w:ascii="Arial" w:hAnsi="Arial" w:cs="Arial"/>
          <w:b/>
          <w:bCs/>
        </w:rPr>
      </w:pPr>
      <w:r/>
    </w:p>
    <w:p w:rsidR="00D16D64" w:rsidRDefault="005B2EE3" w:rsidP="00FC6AEA">
      <w:pPr>
        <w:tabs>
          <w:tab w:val="center" w:pos="4961"/>
        </w:tabs>
        <w:spacing w:line="360" w:lineRule="auto"/>
        <w:ind w:firstLine="1418"/>
        <w:jc w:val="both"/>
        <w:rPr>
          <w:rFonts w:ascii="Arial" w:hAnsi="Arial" w:cs="Arial"/>
          <w:bCs/>
          <w:color w:val="000000"/>
        </w:rPr>
      </w:pPr>
      <w:r>
        <w:t>Respeitados os argumentos expostos nas razões recursais, pelo meu voto, nego provimento ao recurso.</w:t>
      </w:r>
    </w:p>
    <w:p w:rsidR="004F0AF0" w:rsidRDefault="005B2EE3" w:rsidP="008C72FD">
      <w:pPr>
        <w:tabs>
          <w:tab w:val="center" w:pos="4961"/>
        </w:tabs>
        <w:spacing w:line="360" w:lineRule="auto"/>
        <w:ind w:firstLine="1418"/>
        <w:jc w:val="both"/>
        <w:rPr>
          <w:rFonts w:ascii="Arial" w:hAnsi="Arial" w:cs="Arial"/>
          <w:bCs/>
          <w:color w:val="000000"/>
        </w:rPr>
      </w:pPr>
      <w:r>
        <w:t xml:space="preserve">A insurgência recursal das requeridas cinge-se tão somente à pretensão de afastar a instauração de cumprimento de sentença e instaurar procedimento de liquidação de sentença. </w:t>
      </w:r>
    </w:p>
    <w:p w:rsidR="00FA5A9D" w:rsidRDefault="00FA5A9D" w:rsidP="002C6325">
      <w:pPr>
        <w:tabs>
          <w:tab w:val="center" w:pos="4961"/>
        </w:tabs>
        <w:spacing w:line="360" w:lineRule="auto"/>
        <w:ind w:firstLine="1418"/>
        <w:jc w:val="both"/>
        <w:rPr>
          <w:rFonts w:ascii="Arial" w:hAnsi="Arial" w:cs="Arial"/>
          <w:bCs/>
          <w:color w:val="000000"/>
        </w:rPr>
      </w:pPr>
      <w:r>
        <w:t>Inicialmente, cumpre destacar que, diante da controvérsia relativa ao pagamento da contraprestação devida em razão da locação de imóvel, houve determinação de perícia contábil nos autos.</w:t>
      </w:r>
    </w:p>
    <w:p w:rsidR="00601FC0" w:rsidRPr="00601FC0" w:rsidRDefault="003C586C" w:rsidP="00601FC0">
      <w:pPr>
        <w:tabs>
          <w:tab w:val="center" w:pos="4961"/>
        </w:tabs>
        <w:spacing w:line="360" w:lineRule="auto"/>
        <w:ind w:firstLine="1418"/>
        <w:jc w:val="both"/>
        <w:rPr>
          <w:rFonts w:ascii="Arial" w:hAnsi="Arial" w:cs="Arial"/>
          <w:b/>
          <w:color w:val="000000"/>
          <w:sz w:val="22"/>
          <w:szCs w:val="22"/>
        </w:rPr>
      </w:pPr>
      <w:r>
        <w:t>Consoante pontuado na r. sentença proferida pelo juízo a quo, “o perito procedeu à atualização das diferenças apuradas, até o mês de abril/2023, conforme os índices previstos no contrato de locação, com acréscimo de multa e juros e afirmou que o saldo devido é de R$ 29.860,92.</w:t>
      </w:r>
    </w:p>
    <w:p w:rsidR="00601FC0" w:rsidRPr="00601FC0" w:rsidRDefault="00601FC0" w:rsidP="00601FC0">
      <w:pPr>
        <w:tabs>
          <w:tab w:val="center" w:pos="4961"/>
        </w:tabs>
        <w:spacing w:line="360" w:lineRule="auto"/>
        <w:ind w:firstLine="1418"/>
        <w:jc w:val="both"/>
        <w:rPr>
          <w:rFonts w:ascii="Arial" w:hAnsi="Arial" w:cs="Arial"/>
          <w:b/>
          <w:color w:val="000000"/>
          <w:sz w:val="22"/>
          <w:szCs w:val="22"/>
        </w:rPr>
      </w:pPr>
      <w:r>
        <w:t>Houve concordância parcial dos autores com as conclusões periciais (fls. 533/535) e impugnação das rés quanto ao resultado apontado no laudo (fls. 536/555).</w:t>
      </w:r>
    </w:p>
    <w:p w:rsidR="00601FC0" w:rsidRPr="00601FC0" w:rsidRDefault="00601FC0" w:rsidP="00601FC0">
      <w:pPr>
        <w:tabs>
          <w:tab w:val="center" w:pos="4961"/>
        </w:tabs>
        <w:spacing w:line="360" w:lineRule="auto"/>
        <w:ind w:firstLine="1418"/>
        <w:jc w:val="both"/>
        <w:rPr>
          <w:rFonts w:ascii="Arial" w:hAnsi="Arial" w:cs="Arial"/>
          <w:b/>
          <w:color w:val="000000"/>
          <w:sz w:val="22"/>
          <w:szCs w:val="22"/>
        </w:rPr>
      </w:pPr>
      <w:r>
        <w:t>Intimado a prestar esclarecimentos, o expert ratificou seu trabalho (fls. 560/565), refutando a tese das rés de que a perícia deveria se basear no valor líquido devido a cada um dos autores, uma vez que o critério pleiteado pelas requeridas resultaria na transferência da obrigação de retenção do imposto de renda aos requerentes.</w:t>
      </w:r>
    </w:p>
    <w:p w:rsidR="00601FC0" w:rsidRPr="00601FC0" w:rsidRDefault="00601FC0" w:rsidP="00601FC0">
      <w:pPr>
        <w:tabs>
          <w:tab w:val="center" w:pos="4961"/>
        </w:tabs>
        <w:spacing w:line="360" w:lineRule="auto"/>
        <w:ind w:firstLine="1418"/>
        <w:jc w:val="both"/>
        <w:rPr>
          <w:rFonts w:ascii="Arial" w:hAnsi="Arial" w:cs="Arial"/>
          <w:b/>
          <w:color w:val="000000"/>
          <w:sz w:val="22"/>
          <w:szCs w:val="22"/>
        </w:rPr>
      </w:pPr>
      <w:r>
        <w:t>Ainda, o perito salientou que as rés mantiveram equivocadamente o valor bruto do aluguel em R$ 17.000,00, o que impactou na retenção do imposto de renda, além de restar em aberto o valor de R$ 2.000,00 a ser pago mensalmente aos autores, conforme já mencionado.</w:t>
      </w:r>
    </w:p>
    <w:p w:rsidR="00601FC0" w:rsidRPr="00601FC0" w:rsidRDefault="00601FC0" w:rsidP="00601FC0">
      <w:pPr>
        <w:tabs>
          <w:tab w:val="center" w:pos="4961"/>
        </w:tabs>
        <w:spacing w:line="360" w:lineRule="auto"/>
        <w:ind w:firstLine="1418"/>
        <w:jc w:val="both"/>
        <w:rPr>
          <w:rFonts w:ascii="Arial" w:hAnsi="Arial" w:cs="Arial"/>
          <w:b/>
          <w:color w:val="000000"/>
          <w:sz w:val="22"/>
          <w:szCs w:val="22"/>
        </w:rPr>
      </w:pPr>
      <w:r>
        <w:t>Dessarte, diante das provas documental e pericial produzida nos autos, é possível concluir que o total devido pelas rés aos autores até abril/2023 é de R$ 29.860,92 (fls. 499).</w:t>
      </w:r>
    </w:p>
    <w:p w:rsidR="0057324B" w:rsidRPr="002C6325" w:rsidRDefault="00601FC0" w:rsidP="002C6325">
      <w:pPr>
        <w:tabs>
          <w:tab w:val="center" w:pos="4961"/>
        </w:tabs>
        <w:spacing w:line="360" w:lineRule="auto"/>
        <w:ind w:firstLine="1418"/>
        <w:jc w:val="both"/>
        <w:rPr>
          <w:rFonts w:ascii="Arial" w:hAnsi="Arial" w:cs="Arial"/>
          <w:b/>
          <w:color w:val="000000"/>
          <w:sz w:val="22"/>
          <w:szCs w:val="22"/>
        </w:rPr>
      </w:pPr>
      <w:r>
        <w:t>No tocante ao requerimento dos autores referente aos valores de alugueres e demais encargos vincendos no decorrer da ação, o perito efetuou os cálculos considerando-se a planilha de cálculo colacionada aos autos na exordial, de modo que a atualização das parcelas posteriormente vencidas poderá ser realizada na fase de cumprimento de sentença.”</w:t>
      </w:r>
    </w:p>
    <w:p w:rsidR="0057324B" w:rsidRDefault="00015D15" w:rsidP="002C6325">
      <w:pPr>
        <w:tabs>
          <w:tab w:val="center" w:pos="4961"/>
        </w:tabs>
        <w:spacing w:line="360" w:lineRule="auto"/>
        <w:ind w:firstLine="1418"/>
        <w:jc w:val="both"/>
        <w:rPr>
          <w:rFonts w:ascii="Arial" w:hAnsi="Arial" w:cs="Arial"/>
          <w:bCs/>
          <w:color w:val="000000"/>
        </w:rPr>
      </w:pPr>
      <w:r>
        <w:t>Pois bem.</w:t>
      </w:r>
    </w:p>
    <w:p w:rsidR="0066754D" w:rsidRDefault="008D5B36" w:rsidP="008D5B36">
      <w:pPr>
        <w:tabs>
          <w:tab w:val="center" w:pos="4961"/>
        </w:tabs>
        <w:spacing w:line="360" w:lineRule="auto"/>
        <w:ind w:firstLine="1418"/>
        <w:jc w:val="both"/>
        <w:rPr>
          <w:rFonts w:ascii="Arial" w:hAnsi="Arial" w:cs="Arial"/>
          <w:bCs/>
          <w:color w:val="000000"/>
        </w:rPr>
      </w:pPr>
      <w:r>
        <w:t>Como é cediço, a finalidade da liquidação de sentença é determinar o valor exato ou especificar o objeto da condenação quando esses elementos não estão definidos na sentença. Importante frisar que não é cabível a instauração da fase de liquidação se o valor for determinável mediante cálculo aritmético.</w:t>
      </w:r>
    </w:p>
    <w:p w:rsidR="0066754D" w:rsidRDefault="0066754D" w:rsidP="008D5B36">
      <w:pPr>
        <w:tabs>
          <w:tab w:val="center" w:pos="4961"/>
        </w:tabs>
        <w:spacing w:line="360" w:lineRule="auto"/>
        <w:ind w:firstLine="1418"/>
        <w:jc w:val="both"/>
        <w:rPr>
          <w:rFonts w:ascii="Arial" w:hAnsi="Arial" w:cs="Arial"/>
          <w:bCs/>
          <w:color w:val="000000"/>
        </w:rPr>
      </w:pPr>
      <w:r>
        <w:t xml:space="preserve">Na hipótese dos autos, tenho que o perito realizou o referido cálculo (fl. 499), de modo que o montante a ser apurado é determinável por meio de cálculo aritmético. Nesse sentido, ainda que a perícia tenha contabilizado tão somente o período relativo ao ano de 2022, não vislumbro a necessidade de instaurar incidente de liquidação de sentença para apurar o que é efetivamente devido, mormente o valor que consta no dispositivo da r. sentença ora guerreada, a saber: </w:t>
      </w:r>
    </w:p>
    <w:p w:rsidR="00E63478" w:rsidRDefault="00E63478" w:rsidP="008D5B36">
      <w:pPr>
        <w:tabs>
          <w:tab w:val="center" w:pos="4961"/>
        </w:tabs>
        <w:spacing w:line="360" w:lineRule="auto"/>
        <w:ind w:firstLine="1418"/>
        <w:jc w:val="both"/>
        <w:rPr>
          <w:rFonts w:ascii="Arial" w:hAnsi="Arial" w:cs="Arial"/>
          <w:bCs/>
          <w:color w:val="000000"/>
        </w:rPr>
      </w:pPr>
      <w:r/>
    </w:p>
    <w:p w:rsidR="00F27A62" w:rsidRPr="00F27A62" w:rsidRDefault="00F27A62" w:rsidP="008D5B36">
      <w:pPr>
        <w:tabs>
          <w:tab w:val="center" w:pos="4961"/>
        </w:tabs>
        <w:spacing w:line="360" w:lineRule="auto"/>
        <w:ind w:firstLine="1418"/>
        <w:jc w:val="both"/>
        <w:rPr>
          <w:rFonts w:ascii="Arial" w:hAnsi="Arial" w:cs="Arial"/>
          <w:b/>
          <w:color w:val="000000"/>
          <w:sz w:val="22"/>
          <w:szCs w:val="22"/>
        </w:rPr>
      </w:pPr>
      <w:r>
        <w:t>“(...) Ante ao exposto, JULGO PROCEDENTE o pedido desta ação para condenar as rés solidariamente ao pagamento do montante de R$ 29.860,92, acrescidos de correção monetária e juros de mora de 1% ao mês desde a citação, bem como das diferenças dos valores recolhidos a menor após o ajuizamento da ação, a serem apurados no cumprimento de sentença.”</w:t>
      </w:r>
    </w:p>
    <w:p w:rsidR="00943CD7" w:rsidRDefault="00943CD7" w:rsidP="002C6325">
      <w:pPr>
        <w:tabs>
          <w:tab w:val="center" w:pos="4961"/>
        </w:tabs>
        <w:spacing w:line="360" w:lineRule="auto"/>
        <w:ind w:firstLine="1418"/>
        <w:jc w:val="both"/>
        <w:rPr>
          <w:rFonts w:ascii="Arial" w:hAnsi="Arial" w:cs="Arial"/>
          <w:bCs/>
          <w:color w:val="000000"/>
        </w:rPr>
      </w:pPr>
      <w:r/>
    </w:p>
    <w:p w:rsidR="00E63478" w:rsidRDefault="00FF7988" w:rsidP="00260AAB">
      <w:pPr>
        <w:tabs>
          <w:tab w:val="center" w:pos="4961"/>
        </w:tabs>
        <w:spacing w:line="360" w:lineRule="auto"/>
        <w:ind w:firstLine="1418"/>
        <w:jc w:val="both"/>
        <w:rPr>
          <w:rFonts w:ascii="Arial" w:hAnsi="Arial" w:cs="Arial"/>
          <w:bCs/>
          <w:i/>
          <w:iCs/>
          <w:color w:val="000000"/>
        </w:rPr>
      </w:pPr>
      <w:r>
        <w:t>No que tange à condenação ao pagamento das diferenças dos valores recolhidos a menor após o ajuizamento da ação, entendo que o cálculo a ser realizado também se trata de cálculo aritmético simples, de modo que atrai a incidência do disposto no art. 509, § 2º do CPC, in verbis:</w:t>
      </w:r>
    </w:p>
    <w:p w:rsidR="00E63478" w:rsidRDefault="00E63478" w:rsidP="00260AAB">
      <w:pPr>
        <w:tabs>
          <w:tab w:val="center" w:pos="4961"/>
        </w:tabs>
        <w:spacing w:line="360" w:lineRule="auto"/>
        <w:ind w:firstLine="1418"/>
        <w:jc w:val="both"/>
        <w:rPr>
          <w:rFonts w:ascii="Arial" w:hAnsi="Arial" w:cs="Arial"/>
          <w:bCs/>
          <w:i/>
          <w:iCs/>
          <w:color w:val="000000"/>
        </w:rPr>
      </w:pPr>
      <w:r/>
    </w:p>
    <w:p w:rsidR="00E63478" w:rsidRPr="00E63478" w:rsidRDefault="00E63478" w:rsidP="00260AAB">
      <w:pPr>
        <w:tabs>
          <w:tab w:val="center" w:pos="4961"/>
        </w:tabs>
        <w:spacing w:line="360" w:lineRule="auto"/>
        <w:ind w:firstLine="1418"/>
        <w:jc w:val="both"/>
        <w:rPr>
          <w:rFonts w:ascii="Arial" w:hAnsi="Arial" w:cs="Arial"/>
          <w:b/>
          <w:color w:val="000000"/>
          <w:sz w:val="22"/>
          <w:szCs w:val="22"/>
        </w:rPr>
      </w:pPr>
      <w:r>
        <w:t>“Art. 509. Quando a sentença condenar ao pagamento de quantia ilíquida, proceder-se-á à sua liquidação, a requerimento do credor ou do devedor:</w:t>
      </w:r>
    </w:p>
    <w:p w:rsidR="00E63478" w:rsidRPr="00E63478" w:rsidRDefault="00E63478" w:rsidP="00260AAB">
      <w:pPr>
        <w:tabs>
          <w:tab w:val="center" w:pos="4961"/>
        </w:tabs>
        <w:spacing w:line="360" w:lineRule="auto"/>
        <w:ind w:firstLine="1418"/>
        <w:jc w:val="both"/>
        <w:rPr>
          <w:rFonts w:ascii="Arial" w:hAnsi="Arial" w:cs="Arial"/>
          <w:b/>
          <w:color w:val="000000"/>
          <w:sz w:val="22"/>
          <w:szCs w:val="22"/>
        </w:rPr>
      </w:pPr>
      <w:r>
        <w:t>(...)</w:t>
      </w:r>
    </w:p>
    <w:p w:rsidR="00E63478" w:rsidRPr="00E63478" w:rsidRDefault="00E63478" w:rsidP="00260AAB">
      <w:pPr>
        <w:tabs>
          <w:tab w:val="center" w:pos="4961"/>
        </w:tabs>
        <w:spacing w:line="360" w:lineRule="auto"/>
        <w:ind w:firstLine="1418"/>
        <w:jc w:val="both"/>
        <w:rPr>
          <w:rFonts w:ascii="Arial" w:hAnsi="Arial" w:cs="Arial"/>
          <w:b/>
          <w:color w:val="000000"/>
          <w:sz w:val="22"/>
          <w:szCs w:val="22"/>
        </w:rPr>
      </w:pPr>
      <w:r>
        <w:t>§ 2º Quando a apuração do valor depender apenas de cálculo aritmético, o credor poderá promover, desde logo, o cumprimento da sentença”.</w:t>
      </w:r>
    </w:p>
    <w:p w:rsidR="00E63478" w:rsidRDefault="00E63478" w:rsidP="00260AAB">
      <w:pPr>
        <w:tabs>
          <w:tab w:val="center" w:pos="4961"/>
        </w:tabs>
        <w:spacing w:line="360" w:lineRule="auto"/>
        <w:ind w:firstLine="1418"/>
        <w:jc w:val="both"/>
        <w:rPr>
          <w:rFonts w:ascii="Arial" w:hAnsi="Arial" w:cs="Arial"/>
          <w:bCs/>
          <w:color w:val="000000"/>
        </w:rPr>
      </w:pPr>
      <w:r/>
    </w:p>
    <w:p w:rsidR="00625DF8" w:rsidRDefault="004A64FF" w:rsidP="00625DF8">
      <w:pPr>
        <w:tabs>
          <w:tab w:val="center" w:pos="4961"/>
        </w:tabs>
        <w:spacing w:line="360" w:lineRule="auto"/>
        <w:ind w:firstLine="1418"/>
        <w:jc w:val="both"/>
        <w:rPr>
          <w:rFonts w:ascii="Arial" w:hAnsi="Arial" w:cs="Arial"/>
          <w:bCs/>
          <w:color w:val="000000"/>
        </w:rPr>
      </w:pPr>
      <w:r>
        <w:t>No mais, a apelante referiu que há a necessidade de dilação probatória de forma genérica. A decisão de conceder a dilação probatória cabe ao juiz, que deve avaliar a necessidade e a relevância das provas solicitadas para a resolução da controvérsia. No caso em tela, restou incontroverso que o pagamento dos encargos locatícios foi feito a menor.</w:t>
      </w:r>
    </w:p>
    <w:p w:rsidR="00625DF8" w:rsidRDefault="00625DF8" w:rsidP="003D50A1">
      <w:pPr>
        <w:tabs>
          <w:tab w:val="center" w:pos="4961"/>
        </w:tabs>
        <w:spacing w:line="360" w:lineRule="auto"/>
        <w:ind w:firstLine="1418"/>
        <w:jc w:val="both"/>
        <w:rPr>
          <w:rFonts w:ascii="Arial" w:hAnsi="Arial" w:cs="Arial"/>
          <w:bCs/>
          <w:color w:val="000000"/>
        </w:rPr>
      </w:pPr>
      <w:r>
        <w:t>Salvo melhor juízo, a documentação a ser eventualmente apresentada nos autos se trata apenas de comprovantes de pagamento pela apelante a fim de viabilizar o cálculo aritmético do efetivo valor pago a menor, devidamente corrigido e com incidência de juros, dos aluguéis vincendos. Assim, a demonstração do valor pago conforme o entabulado entre as partes ou pago a menor não tem o condão de alterar o convencimento de que os encargos locatícios devem ser pagos na forma pactuada no contrato de locação.</w:t>
      </w:r>
    </w:p>
    <w:p w:rsidR="00805CFE" w:rsidRDefault="00E63478" w:rsidP="00260AAB">
      <w:pPr>
        <w:tabs>
          <w:tab w:val="center" w:pos="4961"/>
        </w:tabs>
        <w:spacing w:line="360" w:lineRule="auto"/>
        <w:ind w:firstLine="1418"/>
        <w:jc w:val="both"/>
        <w:rPr>
          <w:rFonts w:ascii="Arial" w:hAnsi="Arial" w:cs="Arial"/>
          <w:bCs/>
          <w:color w:val="000000"/>
        </w:rPr>
      </w:pPr>
      <w:r>
        <w:t>Frise-se que, na remota hipótese de impossibilidade de efetivar os cálculos, há a possibilidade de conversão do incidente de cumprimento de sentença em liquidação. Assim já decidiu este e. Tribunal:</w:t>
      </w:r>
    </w:p>
    <w:p w:rsidR="00E63478" w:rsidRDefault="00E63478" w:rsidP="00260AAB">
      <w:pPr>
        <w:tabs>
          <w:tab w:val="center" w:pos="4961"/>
        </w:tabs>
        <w:spacing w:line="360" w:lineRule="auto"/>
        <w:ind w:firstLine="1418"/>
        <w:jc w:val="both"/>
        <w:rPr>
          <w:rFonts w:ascii="Arial" w:hAnsi="Arial" w:cs="Arial"/>
          <w:bCs/>
          <w:color w:val="000000"/>
        </w:rPr>
      </w:pPr>
      <w:r/>
    </w:p>
    <w:p w:rsidR="00E63478" w:rsidRPr="00E63478" w:rsidRDefault="00E63478" w:rsidP="00260AAB">
      <w:pPr>
        <w:tabs>
          <w:tab w:val="center" w:pos="4961"/>
        </w:tabs>
        <w:spacing w:line="360" w:lineRule="auto"/>
        <w:ind w:firstLine="1418"/>
        <w:jc w:val="both"/>
        <w:rPr>
          <w:rFonts w:ascii="Arial" w:hAnsi="Arial" w:cs="Arial"/>
          <w:bCs/>
          <w:color w:val="000000"/>
        </w:rPr>
      </w:pPr>
      <w:r>
        <w:t>“Locação de imóvel não residencial. Ação de despejo c.c. cobrança. É descabida a extinção parcial do cumprimento de sentença, sendo possível a sua conversão em liquidação, em observância aos princípios constitucionais da celeridade e economia processual e razoável duração do processo, de modo que não há falar em honorários sucumbenciais por ausência de previsão contratual. Precedentes desta C. Corte. Decisão mantida com fundamento no art. 252 do AUTOR(A) deste E. Tribunal de Justiça. Recurso improvido.” (TJSP; Agravo de Instrumento 0000000-00.0000.0.00.0000; Relator (a): Gomes Varjão; Órgão Julgador: 34ª Câmara de AUTOR(A); AUTOR(A) X - Ipiranga - [VARA]; Data do Julgamento: 28/08/2023; Data de Registro: 29/08/2023).</w:t>
      </w:r>
    </w:p>
    <w:p w:rsidR="00805CFE" w:rsidRPr="00943CD7" w:rsidRDefault="00805CFE" w:rsidP="00E63478">
      <w:pPr>
        <w:tabs>
          <w:tab w:val="center" w:pos="4961"/>
        </w:tabs>
        <w:spacing w:line="360" w:lineRule="auto"/>
        <w:jc w:val="both"/>
        <w:rPr>
          <w:rFonts w:ascii="Arial" w:hAnsi="Arial" w:cs="Arial"/>
          <w:bCs/>
          <w:color w:val="000000"/>
        </w:rPr>
      </w:pPr>
      <w:r/>
    </w:p>
    <w:p w:rsidR="003D50A1" w:rsidRPr="003D50A1" w:rsidRDefault="003D50A1" w:rsidP="003D50A1">
      <w:pPr>
        <w:tabs>
          <w:tab w:val="center" w:pos="4961"/>
        </w:tabs>
        <w:spacing w:line="360" w:lineRule="auto"/>
        <w:ind w:firstLine="1418"/>
        <w:jc w:val="both"/>
        <w:rPr>
          <w:rFonts w:ascii="Arial" w:hAnsi="Arial" w:cs="Arial"/>
          <w:bCs/>
          <w:color w:val="000000"/>
        </w:rPr>
      </w:pPr>
      <w:r>
        <w:t xml:space="preserve">Assim, considerando que não se faz necessária a dilação probatória para verificar se são devidas as diferenças dos valores pagos, tenho que o valor relativo aos aluguéis vencidos a partir de janeiro de 2023 pode ser apurado mediante simples cálculo aritmético, de modo que é perfeitamente possível, de início, a apuração em sede de cumprimento de sentença. </w:t>
      </w:r>
    </w:p>
    <w:p w:rsidR="003D50A1" w:rsidRDefault="003D50A1" w:rsidP="00943CD7">
      <w:pPr>
        <w:spacing w:line="360" w:lineRule="auto"/>
        <w:ind w:firstLine="1418"/>
        <w:jc w:val="both"/>
        <w:rPr>
          <w:rFonts w:ascii="Arial" w:hAnsi="Arial" w:cs="Arial"/>
        </w:rPr>
      </w:pPr>
      <w:r/>
    </w:p>
    <w:p w:rsidR="00E63478" w:rsidRDefault="004235B3" w:rsidP="00943CD7">
      <w:pPr>
        <w:spacing w:line="360" w:lineRule="auto"/>
        <w:ind w:firstLine="1418"/>
        <w:jc w:val="both"/>
        <w:rPr>
          <w:rFonts w:ascii="Arial" w:hAnsi="Arial" w:cs="Arial"/>
        </w:rPr>
      </w:pPr>
      <w:r>
        <w:t>A hipótese, assim, é de manutenção da r. sentença proferida por seus próprios e bem lançados fundamentos jurídicos.</w:t>
      </w:r>
    </w:p>
    <w:p w:rsidR="00E63478" w:rsidRDefault="00E63478" w:rsidP="00C03ECD">
      <w:pPr>
        <w:spacing w:line="360" w:lineRule="auto"/>
        <w:ind w:firstLine="1418"/>
        <w:jc w:val="both"/>
        <w:rPr>
          <w:rFonts w:ascii="Arial" w:hAnsi="Arial" w:cs="Arial"/>
        </w:rPr>
      </w:pPr>
      <w:r/>
    </w:p>
    <w:p w:rsidR="003D50A1" w:rsidRDefault="003D50A1" w:rsidP="003D50A1">
      <w:pPr>
        <w:spacing w:line="360" w:lineRule="auto"/>
        <w:ind w:firstLine="1418"/>
        <w:jc w:val="both"/>
        <w:rPr>
          <w:rFonts w:ascii="Arial" w:hAnsi="Arial" w:cs="Arial"/>
        </w:rPr>
      </w:pPr>
      <w:r>
        <w:t>Considerando o improvimento recursal, de rigor a majoração dos honorários advocatícios sucumbenciais devidos pela apelante, que fixo em 12% sobre o valor da condenação.</w:t>
      </w:r>
    </w:p>
    <w:p w:rsidR="003D50A1" w:rsidRPr="00C529F6" w:rsidRDefault="003D50A1" w:rsidP="003D50A1">
      <w:pPr>
        <w:spacing w:line="360" w:lineRule="auto"/>
        <w:ind w:firstLine="1418"/>
        <w:jc w:val="both"/>
        <w:rPr>
          <w:rFonts w:ascii="Arial" w:hAnsi="Arial" w:cs="Arial"/>
        </w:rPr>
      </w:pPr>
      <w:r/>
    </w:p>
    <w:p w:rsidR="00E17210" w:rsidRDefault="00C03ECD" w:rsidP="008C72FD">
      <w:pPr>
        <w:spacing w:line="360" w:lineRule="auto"/>
        <w:ind w:firstLine="1418"/>
        <w:jc w:val="both"/>
        <w:rPr>
          <w:rFonts w:ascii="Arial" w:hAnsi="Arial" w:cs="Arial"/>
        </w:rPr>
      </w:pPr>
      <w:r>
        <w:t>Considera-se prequestionada a matéria constitucional e infraconstitucional, desnecessária a citação numérica dos dispositivos legais, bastando a decisão da questão posta (EDROMS 18205/SP, Min. AUTOR(A)). Desnecessária, também, a interposição de embargos de declaração exclusivamente para tal finalidade (prequestionamento).</w:t>
      </w:r>
    </w:p>
    <w:p w:rsidR="00C03ECD" w:rsidRDefault="00C03ECD" w:rsidP="008C72FD">
      <w:pPr>
        <w:spacing w:line="360" w:lineRule="auto"/>
        <w:ind w:firstLine="1418"/>
        <w:jc w:val="both"/>
        <w:rPr>
          <w:rFonts w:ascii="Arial" w:hAnsi="Arial" w:cs="Arial"/>
          <w:bCs/>
        </w:rPr>
      </w:pPr>
      <w:r/>
    </w:p>
    <w:p w:rsidR="005B2EE3" w:rsidRDefault="00E17210" w:rsidP="008C72FD">
      <w:pPr>
        <w:spacing w:line="360" w:lineRule="auto"/>
        <w:ind w:firstLine="1418"/>
        <w:jc w:val="both"/>
        <w:rPr>
          <w:rFonts w:ascii="Arial" w:hAnsi="Arial" w:cs="Arial"/>
          <w:bCs/>
        </w:rPr>
      </w:pPr>
      <w:r>
        <w:t xml:space="preserve">Ante o , pelo  , NEGO PROVIMENTO ao recurso. </w:t>
      </w:r>
    </w:p>
    <w:p w:rsidR="005B2EE3" w:rsidRPr="002A7FEC" w:rsidRDefault="005B2EE3" w:rsidP="008C72FD">
      <w:pPr>
        <w:spacing w:line="360" w:lineRule="auto"/>
        <w:ind w:firstLine="1418"/>
        <w:jc w:val="both"/>
        <w:rPr>
          <w:rFonts w:ascii="Arial" w:hAnsi="Arial" w:cs="Arial"/>
          <w:bCs/>
        </w:rPr>
      </w:pPr>
      <w:r/>
    </w:p>
    <w:p w:rsidR="008C2E14" w:rsidRDefault="008C2E14" w:rsidP="008C72FD">
      <w:pPr>
        <w:autoSpaceDE w:val="0"/>
        <w:autoSpaceDN w:val="0"/>
        <w:adjustRightInd w:val="0"/>
        <w:spacing w:line="360" w:lineRule="auto"/>
        <w:jc w:val="center"/>
        <w:rPr>
          <w:rFonts w:ascii="Arial" w:hAnsi="Arial" w:cs="Arial"/>
          <w:b/>
          <w:bCs/>
        </w:rPr>
      </w:pPr>
      <w:r/>
    </w:p>
    <w:p w:rsidR="00E03209" w:rsidRPr="00675566" w:rsidRDefault="00E03209" w:rsidP="008C72FD">
      <w:pPr>
        <w:autoSpaceDE w:val="0"/>
        <w:autoSpaceDN w:val="0"/>
        <w:adjustRightInd w:val="0"/>
        <w:spacing w:line="360" w:lineRule="auto"/>
        <w:jc w:val="center"/>
        <w:rPr>
          <w:rFonts w:ascii="Arial" w:hAnsi="Arial" w:cs="Arial"/>
          <w:b/>
          <w:bCs/>
        </w:rPr>
      </w:pPr>
      <w:r>
        <w:t xml:space="preserve">JOSÉ AUGUSTO GENOFRE MARTINS </w:t>
      </w:r>
    </w:p>
    <w:p w:rsidR="00E03209" w:rsidRPr="00675566" w:rsidRDefault="00E03209" w:rsidP="008C72FD">
      <w:pPr>
        <w:autoSpaceDE w:val="0"/>
        <w:autoSpaceDN w:val="0"/>
        <w:adjustRightInd w:val="0"/>
        <w:spacing w:line="360" w:lineRule="auto"/>
        <w:jc w:val="center"/>
        <w:rPr>
          <w:rFonts w:ascii="Arial" w:hAnsi="Arial" w:cs="Arial"/>
        </w:rPr>
      </w:pPr>
      <w:r>
        <w:t>Relator</w:t>
      </w:r>
    </w:p>
    <w:p w:rsidR="00E03209" w:rsidRPr="00675566" w:rsidRDefault="00E03209" w:rsidP="008C72FD">
      <w:pPr>
        <w:spacing w:line="360" w:lineRule="auto"/>
        <w:rPr>
          <w:rFonts w:ascii="Arial" w:hAnsi="Arial" w:cs="Arial"/>
        </w:rPr>
      </w:pPr>
      <w:r/>
    </w:p>
    <w:p w:rsidR="00E03209" w:rsidRPr="00675566" w:rsidRDefault="00E03209" w:rsidP="008C72FD">
      <w:pPr>
        <w:spacing w:line="360" w:lineRule="auto"/>
        <w:rPr>
          <w:rFonts w:ascii="Arial" w:hAnsi="Arial" w:cs="Arial"/>
        </w:rPr>
      </w:pPr>
      <w:r/>
    </w:p>
    <w:sectPr w:rsidR="00E03209" w:rsidRPr="0067556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203F" w:rsidRDefault="001A203F">
      <w:r>
        <w:separator/>
      </w:r>
    </w:p>
  </w:endnote>
  <w:endnote w:type="continuationSeparator" w:id="0">
    <w:p w:rsidR="001A203F" w:rsidRDefault="001A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3A46" w:rsidRPr="00BB3A46" w:rsidRDefault="00675566">
    <w:pPr>
      <w:pStyle w:val="Rodap"/>
      <w:jc w:val="right"/>
      <w:rPr>
        <w:sz w:val="20"/>
        <w:szCs w:val="20"/>
      </w:rPr>
    </w:pPr>
    <w:r w:rsidRPr="00675566">
      <w:rPr>
        <w:sz w:val="18"/>
        <w:szCs w:val="18"/>
      </w:rPr>
      <w:t xml:space="preserve">VOTO Nº </w:t>
    </w:r>
    <w:r w:rsidR="00E21A30">
      <w:rPr>
        <w:sz w:val="18"/>
        <w:szCs w:val="18"/>
      </w:rPr>
      <w:t>946</w:t>
    </w:r>
    <w:r w:rsidR="0026404C">
      <w:rPr>
        <w:sz w:val="18"/>
        <w:szCs w:val="18"/>
      </w:rPr>
      <w:t>1</w:t>
    </w:r>
    <w:r>
      <w:rPr>
        <w:sz w:val="20"/>
        <w:szCs w:val="20"/>
      </w:rPr>
      <w:t xml:space="preserve">                                                                                                                           </w:t>
    </w:r>
    <w:r w:rsidR="00BB3A46" w:rsidRPr="00BB3A46">
      <w:rPr>
        <w:sz w:val="20"/>
        <w:szCs w:val="20"/>
      </w:rPr>
      <w:fldChar w:fldCharType="begin"/>
    </w:r>
    <w:r w:rsidR="00BB3A46" w:rsidRPr="00BB3A46">
      <w:rPr>
        <w:sz w:val="20"/>
        <w:szCs w:val="20"/>
      </w:rPr>
      <w:instrText>PAGE   \* MERGEFORMAT</w:instrText>
    </w:r>
    <w:r w:rsidR="00BB3A46" w:rsidRPr="00BB3A46">
      <w:rPr>
        <w:sz w:val="20"/>
        <w:szCs w:val="20"/>
      </w:rPr>
      <w:fldChar w:fldCharType="separate"/>
    </w:r>
    <w:r w:rsidR="00BB3A46" w:rsidRPr="00BB3A46">
      <w:rPr>
        <w:sz w:val="20"/>
        <w:szCs w:val="20"/>
      </w:rPr>
      <w:t>2</w:t>
    </w:r>
    <w:r w:rsidR="00BB3A46" w:rsidRPr="00BB3A46">
      <w:rPr>
        <w:sz w:val="20"/>
        <w:szCs w:val="20"/>
      </w:rPr>
      <w:fldChar w:fldCharType="end"/>
    </w:r>
  </w:p>
  <w:p w:rsidR="00D020DF" w:rsidRPr="00BB3A46" w:rsidRDefault="00D020DF">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203F" w:rsidRDefault="001A203F">
      <w:r>
        <w:separator/>
      </w:r>
    </w:p>
  </w:footnote>
  <w:footnote w:type="continuationSeparator" w:id="0">
    <w:p w:rsidR="001A203F" w:rsidRDefault="001A2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48" w:type="dxa"/>
      <w:tblLayout w:type="fixed"/>
      <w:tblLook w:val="0000" w:firstRow="0" w:lastRow="0" w:firstColumn="0" w:lastColumn="0" w:noHBand="0" w:noVBand="0"/>
    </w:tblPr>
    <w:tblGrid>
      <w:gridCol w:w="2665"/>
      <w:gridCol w:w="6283"/>
    </w:tblGrid>
    <w:tr w:rsidR="005D6AC7" w:rsidRPr="00FE63C7" w:rsidTr="00BE6986">
      <w:tblPrEx>
        <w:tblCellMar>
          <w:top w:w="0" w:type="dxa"/>
          <w:bottom w:w="0" w:type="dxa"/>
        </w:tblCellMar>
      </w:tblPrEx>
      <w:trPr>
        <w:trHeight w:val="1546"/>
      </w:trPr>
      <w:tc>
        <w:tcPr>
          <w:tcW w:w="2665" w:type="dxa"/>
          <w:tcBorders>
            <w:top w:val="nil"/>
            <w:left w:val="nil"/>
            <w:bottom w:val="nil"/>
            <w:right w:val="nil"/>
          </w:tcBorders>
          <w:vAlign w:val="center"/>
        </w:tcPr>
        <w:p w:rsidR="005D6AC7" w:rsidRDefault="00BB3A46" w:rsidP="00FE63C7">
          <w:pPr>
            <w:autoSpaceDE w:val="0"/>
            <w:autoSpaceDN w:val="0"/>
            <w:adjustRightInd w:val="0"/>
            <w:ind w:left="567"/>
            <w:jc w:val="center"/>
          </w:pPr>
          <w:r>
            <w:object w:dxaOrig="27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54pt">
                <v:imagedata r:id="rId1" o:title=""/>
              </v:shape>
              <o:OLEObject Type="Embed" ProgID="MSPhotoEd.3" ShapeID="_x0000_i1025" DrawAspect="Content" ObjectID="_1811179203" r:id="rId2"/>
            </w:object>
          </w:r>
        </w:p>
      </w:tc>
      <w:tc>
        <w:tcPr>
          <w:tcW w:w="6283" w:type="dxa"/>
          <w:tcBorders>
            <w:top w:val="nil"/>
            <w:left w:val="nil"/>
            <w:bottom w:val="nil"/>
            <w:right w:val="nil"/>
          </w:tcBorders>
          <w:vAlign w:val="center"/>
        </w:tcPr>
        <w:p w:rsidR="005D6AC7" w:rsidRPr="00FE63C7" w:rsidRDefault="005D6AC7" w:rsidP="00FE63C7">
          <w:pPr>
            <w:autoSpaceDE w:val="0"/>
            <w:autoSpaceDN w:val="0"/>
            <w:adjustRightInd w:val="0"/>
            <w:spacing w:line="360" w:lineRule="auto"/>
            <w:jc w:val="center"/>
            <w:rPr>
              <w:b/>
              <w:bCs/>
              <w:sz w:val="22"/>
              <w:szCs w:val="22"/>
            </w:rPr>
          </w:pPr>
        </w:p>
        <w:p w:rsidR="005D6AC7" w:rsidRPr="00FE63C7" w:rsidRDefault="005D6AC7" w:rsidP="00FE63C7">
          <w:pPr>
            <w:autoSpaceDE w:val="0"/>
            <w:autoSpaceDN w:val="0"/>
            <w:adjustRightInd w:val="0"/>
            <w:spacing w:line="360" w:lineRule="auto"/>
            <w:jc w:val="center"/>
            <w:rPr>
              <w:b/>
              <w:bCs/>
              <w:sz w:val="22"/>
              <w:szCs w:val="22"/>
            </w:rPr>
          </w:pPr>
          <w:r w:rsidRPr="00FE63C7">
            <w:rPr>
              <w:b/>
              <w:bCs/>
              <w:sz w:val="22"/>
              <w:szCs w:val="22"/>
            </w:rPr>
            <w:t>PODER JUDICIÁRIO</w:t>
          </w:r>
        </w:p>
        <w:p w:rsidR="005D6AC7" w:rsidRPr="00FE63C7" w:rsidRDefault="005D6AC7" w:rsidP="00FE63C7">
          <w:pPr>
            <w:tabs>
              <w:tab w:val="left" w:pos="1905"/>
            </w:tabs>
            <w:autoSpaceDE w:val="0"/>
            <w:autoSpaceDN w:val="0"/>
            <w:adjustRightInd w:val="0"/>
            <w:spacing w:line="360" w:lineRule="auto"/>
            <w:jc w:val="center"/>
            <w:rPr>
              <w:b/>
              <w:bCs/>
              <w:sz w:val="22"/>
              <w:szCs w:val="22"/>
            </w:rPr>
          </w:pPr>
          <w:r w:rsidRPr="00FE63C7">
            <w:rPr>
              <w:b/>
              <w:bCs/>
              <w:sz w:val="22"/>
              <w:szCs w:val="22"/>
            </w:rPr>
            <w:t>TRIBUNAL DE JUSTIÇA DO ESTADO DE SÃO PAULO</w:t>
          </w:r>
        </w:p>
        <w:p w:rsidR="0074638C" w:rsidRDefault="00FE63C7" w:rsidP="0074638C">
          <w:pPr>
            <w:autoSpaceDE w:val="0"/>
            <w:autoSpaceDN w:val="0"/>
            <w:adjustRightInd w:val="0"/>
            <w:spacing w:line="360" w:lineRule="auto"/>
            <w:jc w:val="center"/>
            <w:rPr>
              <w:b/>
              <w:sz w:val="22"/>
              <w:szCs w:val="22"/>
            </w:rPr>
          </w:pPr>
          <w:r w:rsidRPr="00FE63C7">
            <w:rPr>
              <w:b/>
              <w:sz w:val="22"/>
              <w:szCs w:val="22"/>
            </w:rPr>
            <w:t>Seção de Direito Privado</w:t>
          </w:r>
          <w:r w:rsidR="00843640">
            <w:rPr>
              <w:b/>
              <w:sz w:val="22"/>
              <w:szCs w:val="22"/>
            </w:rPr>
            <w:t xml:space="preserve"> – </w:t>
          </w:r>
          <w:r w:rsidR="00E21A30">
            <w:rPr>
              <w:b/>
              <w:sz w:val="22"/>
              <w:szCs w:val="22"/>
            </w:rPr>
            <w:t>32</w:t>
          </w:r>
          <w:r w:rsidR="00843640">
            <w:rPr>
              <w:b/>
              <w:sz w:val="22"/>
              <w:szCs w:val="22"/>
            </w:rPr>
            <w:t>ª Câmara</w:t>
          </w:r>
        </w:p>
        <w:p w:rsidR="0074638C" w:rsidRPr="00FE63C7" w:rsidRDefault="0074638C" w:rsidP="0074638C">
          <w:pPr>
            <w:autoSpaceDE w:val="0"/>
            <w:autoSpaceDN w:val="0"/>
            <w:adjustRightInd w:val="0"/>
            <w:spacing w:line="360" w:lineRule="auto"/>
            <w:jc w:val="center"/>
            <w:rPr>
              <w:sz w:val="22"/>
              <w:szCs w:val="22"/>
            </w:rPr>
          </w:pPr>
        </w:p>
      </w:tc>
    </w:tr>
  </w:tbl>
  <w:p w:rsidR="005D6AC7" w:rsidRDefault="005D6AC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986"/>
    <w:rsid w:val="000051CF"/>
    <w:rsid w:val="000070CF"/>
    <w:rsid w:val="00014D45"/>
    <w:rsid w:val="00015D15"/>
    <w:rsid w:val="0001671E"/>
    <w:rsid w:val="00023A81"/>
    <w:rsid w:val="00024BCE"/>
    <w:rsid w:val="00035BC4"/>
    <w:rsid w:val="00043C89"/>
    <w:rsid w:val="00050C76"/>
    <w:rsid w:val="00053F10"/>
    <w:rsid w:val="00083BE0"/>
    <w:rsid w:val="000A2260"/>
    <w:rsid w:val="000A2FB0"/>
    <w:rsid w:val="000A537D"/>
    <w:rsid w:val="000C0275"/>
    <w:rsid w:val="000C3BF9"/>
    <w:rsid w:val="000E4E0A"/>
    <w:rsid w:val="001052A4"/>
    <w:rsid w:val="001152D5"/>
    <w:rsid w:val="00117D33"/>
    <w:rsid w:val="001279DF"/>
    <w:rsid w:val="00140860"/>
    <w:rsid w:val="0014229B"/>
    <w:rsid w:val="00146407"/>
    <w:rsid w:val="00151B7B"/>
    <w:rsid w:val="001549B2"/>
    <w:rsid w:val="00156225"/>
    <w:rsid w:val="0016021A"/>
    <w:rsid w:val="00164A6D"/>
    <w:rsid w:val="001651B4"/>
    <w:rsid w:val="00177F71"/>
    <w:rsid w:val="00183C63"/>
    <w:rsid w:val="001870C2"/>
    <w:rsid w:val="00190D51"/>
    <w:rsid w:val="001964A7"/>
    <w:rsid w:val="001974CA"/>
    <w:rsid w:val="001A203F"/>
    <w:rsid w:val="001A30AC"/>
    <w:rsid w:val="001B21C5"/>
    <w:rsid w:val="001B2F54"/>
    <w:rsid w:val="001E0792"/>
    <w:rsid w:val="00206176"/>
    <w:rsid w:val="002069A9"/>
    <w:rsid w:val="0020756C"/>
    <w:rsid w:val="002246B2"/>
    <w:rsid w:val="0023199E"/>
    <w:rsid w:val="00232999"/>
    <w:rsid w:val="002362F8"/>
    <w:rsid w:val="0024195F"/>
    <w:rsid w:val="00254C76"/>
    <w:rsid w:val="00260AAB"/>
    <w:rsid w:val="0026404C"/>
    <w:rsid w:val="00266B2C"/>
    <w:rsid w:val="00273FF0"/>
    <w:rsid w:val="00275E15"/>
    <w:rsid w:val="00285E20"/>
    <w:rsid w:val="002A0E53"/>
    <w:rsid w:val="002A7395"/>
    <w:rsid w:val="002B198E"/>
    <w:rsid w:val="002B3F8D"/>
    <w:rsid w:val="002C58FF"/>
    <w:rsid w:val="002C6325"/>
    <w:rsid w:val="002E0D87"/>
    <w:rsid w:val="002E759F"/>
    <w:rsid w:val="002E7F4C"/>
    <w:rsid w:val="002F0F20"/>
    <w:rsid w:val="002F2D29"/>
    <w:rsid w:val="002F3D04"/>
    <w:rsid w:val="003014C9"/>
    <w:rsid w:val="00303EF5"/>
    <w:rsid w:val="003046F4"/>
    <w:rsid w:val="00304A73"/>
    <w:rsid w:val="00306AA9"/>
    <w:rsid w:val="003467F5"/>
    <w:rsid w:val="00347233"/>
    <w:rsid w:val="003474C8"/>
    <w:rsid w:val="0034756E"/>
    <w:rsid w:val="0035070C"/>
    <w:rsid w:val="0035405C"/>
    <w:rsid w:val="00356F23"/>
    <w:rsid w:val="00381ED7"/>
    <w:rsid w:val="003863DF"/>
    <w:rsid w:val="00391829"/>
    <w:rsid w:val="00393E45"/>
    <w:rsid w:val="003C586C"/>
    <w:rsid w:val="003C6A15"/>
    <w:rsid w:val="003D1618"/>
    <w:rsid w:val="003D2A9E"/>
    <w:rsid w:val="003D4C47"/>
    <w:rsid w:val="003D50A1"/>
    <w:rsid w:val="003D6E11"/>
    <w:rsid w:val="003E6395"/>
    <w:rsid w:val="003E6CA3"/>
    <w:rsid w:val="003E7F3F"/>
    <w:rsid w:val="003F298F"/>
    <w:rsid w:val="003F5D19"/>
    <w:rsid w:val="003F6786"/>
    <w:rsid w:val="003F6DE8"/>
    <w:rsid w:val="004101CB"/>
    <w:rsid w:val="00414B91"/>
    <w:rsid w:val="004235B3"/>
    <w:rsid w:val="00423C84"/>
    <w:rsid w:val="004276A1"/>
    <w:rsid w:val="00436C67"/>
    <w:rsid w:val="0044177A"/>
    <w:rsid w:val="00443BC7"/>
    <w:rsid w:val="00444E1E"/>
    <w:rsid w:val="00451196"/>
    <w:rsid w:val="00452648"/>
    <w:rsid w:val="0045308A"/>
    <w:rsid w:val="00453828"/>
    <w:rsid w:val="00457052"/>
    <w:rsid w:val="00467D9A"/>
    <w:rsid w:val="004832A0"/>
    <w:rsid w:val="00484A5F"/>
    <w:rsid w:val="00487D7D"/>
    <w:rsid w:val="00490D17"/>
    <w:rsid w:val="004A1052"/>
    <w:rsid w:val="004A4B68"/>
    <w:rsid w:val="004A64FF"/>
    <w:rsid w:val="004D3A0E"/>
    <w:rsid w:val="004E48B5"/>
    <w:rsid w:val="004E55C5"/>
    <w:rsid w:val="004F0AF0"/>
    <w:rsid w:val="004F27F5"/>
    <w:rsid w:val="00500A29"/>
    <w:rsid w:val="00501CE9"/>
    <w:rsid w:val="005020BF"/>
    <w:rsid w:val="005141C7"/>
    <w:rsid w:val="00527ADD"/>
    <w:rsid w:val="00533C4E"/>
    <w:rsid w:val="00540200"/>
    <w:rsid w:val="005618DB"/>
    <w:rsid w:val="005715D4"/>
    <w:rsid w:val="0057324B"/>
    <w:rsid w:val="00577265"/>
    <w:rsid w:val="005849AC"/>
    <w:rsid w:val="0058736E"/>
    <w:rsid w:val="005915CB"/>
    <w:rsid w:val="00592E1C"/>
    <w:rsid w:val="00594832"/>
    <w:rsid w:val="00596359"/>
    <w:rsid w:val="005A2D71"/>
    <w:rsid w:val="005A306D"/>
    <w:rsid w:val="005A6CAB"/>
    <w:rsid w:val="005B2EE3"/>
    <w:rsid w:val="005B6859"/>
    <w:rsid w:val="005C03CE"/>
    <w:rsid w:val="005C355E"/>
    <w:rsid w:val="005C3B40"/>
    <w:rsid w:val="005D0B94"/>
    <w:rsid w:val="005D330F"/>
    <w:rsid w:val="005D5369"/>
    <w:rsid w:val="005D6AC7"/>
    <w:rsid w:val="005E74DB"/>
    <w:rsid w:val="005E796B"/>
    <w:rsid w:val="005F2EA0"/>
    <w:rsid w:val="005F58AB"/>
    <w:rsid w:val="006009A0"/>
    <w:rsid w:val="00601FC0"/>
    <w:rsid w:val="00610BAE"/>
    <w:rsid w:val="00613950"/>
    <w:rsid w:val="006174A4"/>
    <w:rsid w:val="00621006"/>
    <w:rsid w:val="00625DF8"/>
    <w:rsid w:val="006303F0"/>
    <w:rsid w:val="00651BA1"/>
    <w:rsid w:val="00660910"/>
    <w:rsid w:val="006657C2"/>
    <w:rsid w:val="00666C99"/>
    <w:rsid w:val="0066754D"/>
    <w:rsid w:val="006677E8"/>
    <w:rsid w:val="00675566"/>
    <w:rsid w:val="0067760D"/>
    <w:rsid w:val="00683EF2"/>
    <w:rsid w:val="0068460F"/>
    <w:rsid w:val="006852A8"/>
    <w:rsid w:val="00685534"/>
    <w:rsid w:val="006855B2"/>
    <w:rsid w:val="00686F12"/>
    <w:rsid w:val="006948A9"/>
    <w:rsid w:val="006B0F81"/>
    <w:rsid w:val="006B7436"/>
    <w:rsid w:val="006C13F3"/>
    <w:rsid w:val="006C4839"/>
    <w:rsid w:val="006D4876"/>
    <w:rsid w:val="006D48C7"/>
    <w:rsid w:val="006D6D9E"/>
    <w:rsid w:val="006D7FAA"/>
    <w:rsid w:val="006E282F"/>
    <w:rsid w:val="006E7715"/>
    <w:rsid w:val="006E797E"/>
    <w:rsid w:val="006F2D3B"/>
    <w:rsid w:val="00704F09"/>
    <w:rsid w:val="0071014B"/>
    <w:rsid w:val="00714D02"/>
    <w:rsid w:val="00715993"/>
    <w:rsid w:val="0072210F"/>
    <w:rsid w:val="00726EFE"/>
    <w:rsid w:val="0074638C"/>
    <w:rsid w:val="007573C5"/>
    <w:rsid w:val="00757BF1"/>
    <w:rsid w:val="00757D2E"/>
    <w:rsid w:val="00761D16"/>
    <w:rsid w:val="007677A0"/>
    <w:rsid w:val="00772DD2"/>
    <w:rsid w:val="00775D60"/>
    <w:rsid w:val="0077706E"/>
    <w:rsid w:val="007854E9"/>
    <w:rsid w:val="007864E6"/>
    <w:rsid w:val="00791653"/>
    <w:rsid w:val="00794308"/>
    <w:rsid w:val="00794E76"/>
    <w:rsid w:val="007A62D0"/>
    <w:rsid w:val="007A6EF9"/>
    <w:rsid w:val="007B1331"/>
    <w:rsid w:val="007B1CA9"/>
    <w:rsid w:val="007D0293"/>
    <w:rsid w:val="007D4E15"/>
    <w:rsid w:val="007D5F36"/>
    <w:rsid w:val="007E4F5C"/>
    <w:rsid w:val="007F043B"/>
    <w:rsid w:val="007F713F"/>
    <w:rsid w:val="007F7DCD"/>
    <w:rsid w:val="00800BC9"/>
    <w:rsid w:val="0080132A"/>
    <w:rsid w:val="00801D52"/>
    <w:rsid w:val="00805CFE"/>
    <w:rsid w:val="00807BAB"/>
    <w:rsid w:val="00821D52"/>
    <w:rsid w:val="008231E6"/>
    <w:rsid w:val="00824204"/>
    <w:rsid w:val="0082488B"/>
    <w:rsid w:val="0082520E"/>
    <w:rsid w:val="00831125"/>
    <w:rsid w:val="00832713"/>
    <w:rsid w:val="00843640"/>
    <w:rsid w:val="00844D6A"/>
    <w:rsid w:val="00850B44"/>
    <w:rsid w:val="00856A19"/>
    <w:rsid w:val="008823A3"/>
    <w:rsid w:val="00884511"/>
    <w:rsid w:val="00896006"/>
    <w:rsid w:val="008960B0"/>
    <w:rsid w:val="0089689A"/>
    <w:rsid w:val="008A781B"/>
    <w:rsid w:val="008B3AD8"/>
    <w:rsid w:val="008C002E"/>
    <w:rsid w:val="008C2E14"/>
    <w:rsid w:val="008C72FD"/>
    <w:rsid w:val="008C74A4"/>
    <w:rsid w:val="008D2C44"/>
    <w:rsid w:val="008D5B36"/>
    <w:rsid w:val="008E18D4"/>
    <w:rsid w:val="008F3626"/>
    <w:rsid w:val="009014AA"/>
    <w:rsid w:val="00902A49"/>
    <w:rsid w:val="009047D7"/>
    <w:rsid w:val="00904970"/>
    <w:rsid w:val="0090663A"/>
    <w:rsid w:val="009207F7"/>
    <w:rsid w:val="00922544"/>
    <w:rsid w:val="0092556F"/>
    <w:rsid w:val="00931C92"/>
    <w:rsid w:val="009324E4"/>
    <w:rsid w:val="00943CD7"/>
    <w:rsid w:val="00980413"/>
    <w:rsid w:val="009829F8"/>
    <w:rsid w:val="00984D06"/>
    <w:rsid w:val="009A272C"/>
    <w:rsid w:val="009B2F7F"/>
    <w:rsid w:val="009B33BA"/>
    <w:rsid w:val="009C14E0"/>
    <w:rsid w:val="009D38FE"/>
    <w:rsid w:val="009E286F"/>
    <w:rsid w:val="009E7B62"/>
    <w:rsid w:val="009F1548"/>
    <w:rsid w:val="009F3263"/>
    <w:rsid w:val="009F35F9"/>
    <w:rsid w:val="00A103D5"/>
    <w:rsid w:val="00A12B61"/>
    <w:rsid w:val="00A21C8D"/>
    <w:rsid w:val="00A21CFC"/>
    <w:rsid w:val="00A308DE"/>
    <w:rsid w:val="00A32A13"/>
    <w:rsid w:val="00A368BD"/>
    <w:rsid w:val="00A36E3F"/>
    <w:rsid w:val="00A40545"/>
    <w:rsid w:val="00A43AA4"/>
    <w:rsid w:val="00A623A4"/>
    <w:rsid w:val="00A67C11"/>
    <w:rsid w:val="00A718BC"/>
    <w:rsid w:val="00A97699"/>
    <w:rsid w:val="00AA2B35"/>
    <w:rsid w:val="00AB059C"/>
    <w:rsid w:val="00AB639D"/>
    <w:rsid w:val="00AC0077"/>
    <w:rsid w:val="00AC3D35"/>
    <w:rsid w:val="00AC7EAC"/>
    <w:rsid w:val="00AD2664"/>
    <w:rsid w:val="00AF3AF7"/>
    <w:rsid w:val="00AF5645"/>
    <w:rsid w:val="00B040DF"/>
    <w:rsid w:val="00B11E27"/>
    <w:rsid w:val="00B21995"/>
    <w:rsid w:val="00B3071F"/>
    <w:rsid w:val="00B36391"/>
    <w:rsid w:val="00B40242"/>
    <w:rsid w:val="00B41F15"/>
    <w:rsid w:val="00B41F93"/>
    <w:rsid w:val="00B429DB"/>
    <w:rsid w:val="00B44E33"/>
    <w:rsid w:val="00B500C4"/>
    <w:rsid w:val="00B51ECF"/>
    <w:rsid w:val="00B64BEB"/>
    <w:rsid w:val="00B708A1"/>
    <w:rsid w:val="00B71CA7"/>
    <w:rsid w:val="00B809B5"/>
    <w:rsid w:val="00B86821"/>
    <w:rsid w:val="00B9287D"/>
    <w:rsid w:val="00BA27E5"/>
    <w:rsid w:val="00BA4C0D"/>
    <w:rsid w:val="00BA67BB"/>
    <w:rsid w:val="00BB3A46"/>
    <w:rsid w:val="00BB3F9B"/>
    <w:rsid w:val="00BC12A6"/>
    <w:rsid w:val="00BD281E"/>
    <w:rsid w:val="00BD2A4E"/>
    <w:rsid w:val="00BD4CEB"/>
    <w:rsid w:val="00BE63AB"/>
    <w:rsid w:val="00BE6986"/>
    <w:rsid w:val="00BF007F"/>
    <w:rsid w:val="00BF1F96"/>
    <w:rsid w:val="00BF4E1E"/>
    <w:rsid w:val="00C03ECD"/>
    <w:rsid w:val="00C07BA2"/>
    <w:rsid w:val="00C151C8"/>
    <w:rsid w:val="00C216CE"/>
    <w:rsid w:val="00C21B15"/>
    <w:rsid w:val="00C23997"/>
    <w:rsid w:val="00C24FB4"/>
    <w:rsid w:val="00C25FFF"/>
    <w:rsid w:val="00C40DF0"/>
    <w:rsid w:val="00C435A7"/>
    <w:rsid w:val="00C43B92"/>
    <w:rsid w:val="00C5006B"/>
    <w:rsid w:val="00C504BD"/>
    <w:rsid w:val="00C50D9A"/>
    <w:rsid w:val="00C51924"/>
    <w:rsid w:val="00C529F6"/>
    <w:rsid w:val="00C57140"/>
    <w:rsid w:val="00C74683"/>
    <w:rsid w:val="00C775D2"/>
    <w:rsid w:val="00C92542"/>
    <w:rsid w:val="00C9509B"/>
    <w:rsid w:val="00C9675B"/>
    <w:rsid w:val="00CA499A"/>
    <w:rsid w:val="00CB024D"/>
    <w:rsid w:val="00CB0F8C"/>
    <w:rsid w:val="00CC1F33"/>
    <w:rsid w:val="00CC4969"/>
    <w:rsid w:val="00CC5382"/>
    <w:rsid w:val="00CC679E"/>
    <w:rsid w:val="00CD2F67"/>
    <w:rsid w:val="00CD7643"/>
    <w:rsid w:val="00CE459D"/>
    <w:rsid w:val="00CF294C"/>
    <w:rsid w:val="00CF6CF2"/>
    <w:rsid w:val="00D020DF"/>
    <w:rsid w:val="00D03890"/>
    <w:rsid w:val="00D15D16"/>
    <w:rsid w:val="00D16D64"/>
    <w:rsid w:val="00D204CC"/>
    <w:rsid w:val="00D242A2"/>
    <w:rsid w:val="00D25719"/>
    <w:rsid w:val="00D31D10"/>
    <w:rsid w:val="00D33066"/>
    <w:rsid w:val="00D347B7"/>
    <w:rsid w:val="00D34CC5"/>
    <w:rsid w:val="00D350B1"/>
    <w:rsid w:val="00D403CD"/>
    <w:rsid w:val="00D42E1F"/>
    <w:rsid w:val="00D5267F"/>
    <w:rsid w:val="00D57D41"/>
    <w:rsid w:val="00D62506"/>
    <w:rsid w:val="00D71C84"/>
    <w:rsid w:val="00D7237C"/>
    <w:rsid w:val="00D7500F"/>
    <w:rsid w:val="00D768BE"/>
    <w:rsid w:val="00D8741C"/>
    <w:rsid w:val="00D9290F"/>
    <w:rsid w:val="00D9626B"/>
    <w:rsid w:val="00DA262F"/>
    <w:rsid w:val="00DA6513"/>
    <w:rsid w:val="00DB5DC5"/>
    <w:rsid w:val="00DC0341"/>
    <w:rsid w:val="00DC761D"/>
    <w:rsid w:val="00DD0F25"/>
    <w:rsid w:val="00DD5F7F"/>
    <w:rsid w:val="00DD797F"/>
    <w:rsid w:val="00DE46A5"/>
    <w:rsid w:val="00DE7DFC"/>
    <w:rsid w:val="00DF2F9B"/>
    <w:rsid w:val="00E03209"/>
    <w:rsid w:val="00E07924"/>
    <w:rsid w:val="00E1416C"/>
    <w:rsid w:val="00E141EA"/>
    <w:rsid w:val="00E15512"/>
    <w:rsid w:val="00E160CD"/>
    <w:rsid w:val="00E17210"/>
    <w:rsid w:val="00E214FC"/>
    <w:rsid w:val="00E21A30"/>
    <w:rsid w:val="00E226AD"/>
    <w:rsid w:val="00E37AC8"/>
    <w:rsid w:val="00E43F8B"/>
    <w:rsid w:val="00E44ECC"/>
    <w:rsid w:val="00E45EAC"/>
    <w:rsid w:val="00E47228"/>
    <w:rsid w:val="00E553F9"/>
    <w:rsid w:val="00E570D5"/>
    <w:rsid w:val="00E61555"/>
    <w:rsid w:val="00E63478"/>
    <w:rsid w:val="00E643D1"/>
    <w:rsid w:val="00E64AD6"/>
    <w:rsid w:val="00E67958"/>
    <w:rsid w:val="00E715A0"/>
    <w:rsid w:val="00EA02B6"/>
    <w:rsid w:val="00EA2CDC"/>
    <w:rsid w:val="00EA5288"/>
    <w:rsid w:val="00EB2605"/>
    <w:rsid w:val="00EB4F32"/>
    <w:rsid w:val="00EB618D"/>
    <w:rsid w:val="00EC3999"/>
    <w:rsid w:val="00EC72E6"/>
    <w:rsid w:val="00ED62EB"/>
    <w:rsid w:val="00EE2B9D"/>
    <w:rsid w:val="00EF04DB"/>
    <w:rsid w:val="00F03EE3"/>
    <w:rsid w:val="00F050BB"/>
    <w:rsid w:val="00F105FA"/>
    <w:rsid w:val="00F12F54"/>
    <w:rsid w:val="00F159C2"/>
    <w:rsid w:val="00F2568F"/>
    <w:rsid w:val="00F27A62"/>
    <w:rsid w:val="00F45D4A"/>
    <w:rsid w:val="00F55244"/>
    <w:rsid w:val="00F55E9B"/>
    <w:rsid w:val="00F60B5E"/>
    <w:rsid w:val="00F72D15"/>
    <w:rsid w:val="00F77130"/>
    <w:rsid w:val="00F85D0F"/>
    <w:rsid w:val="00F870C1"/>
    <w:rsid w:val="00F92DB3"/>
    <w:rsid w:val="00F952F5"/>
    <w:rsid w:val="00F9721B"/>
    <w:rsid w:val="00FA5A9D"/>
    <w:rsid w:val="00FB03E1"/>
    <w:rsid w:val="00FC6AEA"/>
    <w:rsid w:val="00FD348B"/>
    <w:rsid w:val="00FD76CF"/>
    <w:rsid w:val="00FE63C7"/>
    <w:rsid w:val="00FE6B0F"/>
    <w:rsid w:val="00FE72F8"/>
    <w:rsid w:val="00FF2A4F"/>
    <w:rsid w:val="00FF458C"/>
    <w:rsid w:val="00FF79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mini" w:name="verbetes"/>
  <w:shapeDefaults>
    <o:shapedefaults v:ext="edit" spidmax="3074"/>
    <o:shapelayout v:ext="edit">
      <o:idmap v:ext="edit" data="2"/>
    </o:shapelayout>
  </w:shapeDefaults>
  <w:decimalSymbol w:val=","/>
  <w:listSeparator w:val=";"/>
  <w15:chartTrackingRefBased/>
  <w15:docId w15:val="{4B618B7A-AB93-4910-83E4-794BA2D4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har"/>
    <w:qFormat/>
    <w:rsid w:val="00C24FB4"/>
    <w:pPr>
      <w:keepNext/>
      <w:spacing w:line="360" w:lineRule="auto"/>
      <w:jc w:val="both"/>
      <w:outlineLvl w:val="0"/>
    </w:pPr>
    <w:rPr>
      <w:b/>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rsid w:val="00BE6986"/>
    <w:pPr>
      <w:tabs>
        <w:tab w:val="center" w:pos="4252"/>
        <w:tab w:val="right" w:pos="8504"/>
      </w:tabs>
    </w:pPr>
  </w:style>
  <w:style w:type="paragraph" w:styleId="Rodap">
    <w:name w:val="footer"/>
    <w:basedOn w:val="Normal"/>
    <w:link w:val="RodapChar"/>
    <w:uiPriority w:val="99"/>
    <w:rsid w:val="00BE6986"/>
    <w:pPr>
      <w:tabs>
        <w:tab w:val="center" w:pos="4252"/>
        <w:tab w:val="right" w:pos="8504"/>
      </w:tabs>
    </w:pPr>
  </w:style>
  <w:style w:type="character" w:customStyle="1" w:styleId="Ttulo1Char">
    <w:name w:val="Título 1 Char"/>
    <w:link w:val="Ttulo1"/>
    <w:rsid w:val="00C24FB4"/>
    <w:rPr>
      <w:b/>
      <w:sz w:val="24"/>
    </w:rPr>
  </w:style>
  <w:style w:type="paragraph" w:styleId="Recuodecorpodetexto">
    <w:name w:val="Body Text Indent"/>
    <w:basedOn w:val="Normal"/>
    <w:link w:val="RecuodecorpodetextoChar"/>
    <w:rsid w:val="00FE63C7"/>
    <w:pPr>
      <w:spacing w:line="360" w:lineRule="auto"/>
      <w:ind w:left="2268"/>
      <w:jc w:val="both"/>
    </w:pPr>
    <w:rPr>
      <w:b/>
      <w:iCs/>
      <w:sz w:val="20"/>
      <w:szCs w:val="20"/>
    </w:rPr>
  </w:style>
  <w:style w:type="character" w:customStyle="1" w:styleId="RecuodecorpodetextoChar">
    <w:name w:val="Recuo de corpo de texto Char"/>
    <w:link w:val="Recuodecorpodetexto"/>
    <w:rsid w:val="00FE63C7"/>
    <w:rPr>
      <w:b/>
      <w:iCs/>
    </w:rPr>
  </w:style>
  <w:style w:type="character" w:styleId="nfase">
    <w:name w:val="Emphasis"/>
    <w:uiPriority w:val="20"/>
    <w:qFormat/>
    <w:rsid w:val="009C14E0"/>
    <w:rPr>
      <w:b/>
      <w:bCs/>
      <w:i/>
      <w:iCs/>
      <w:color w:val="2878AF"/>
      <w:shd w:val="clear" w:color="auto" w:fill="BEDCF0"/>
    </w:rPr>
  </w:style>
  <w:style w:type="paragraph" w:styleId="Textodebalo">
    <w:name w:val="Balloon Text"/>
    <w:basedOn w:val="Normal"/>
    <w:link w:val="TextodebaloChar"/>
    <w:rsid w:val="00E214FC"/>
    <w:rPr>
      <w:rFonts w:ascii="Tahoma" w:hAnsi="Tahoma" w:cs="Tahoma"/>
      <w:sz w:val="16"/>
      <w:szCs w:val="16"/>
    </w:rPr>
  </w:style>
  <w:style w:type="character" w:customStyle="1" w:styleId="TextodebaloChar">
    <w:name w:val="Texto de balão Char"/>
    <w:link w:val="Textodebalo"/>
    <w:rsid w:val="00E214FC"/>
    <w:rPr>
      <w:rFonts w:ascii="Tahoma" w:hAnsi="Tahoma" w:cs="Tahoma"/>
      <w:sz w:val="16"/>
      <w:szCs w:val="16"/>
    </w:rPr>
  </w:style>
  <w:style w:type="character" w:customStyle="1" w:styleId="RodapChar">
    <w:name w:val="Rodapé Char"/>
    <w:link w:val="Rodap"/>
    <w:uiPriority w:val="99"/>
    <w:rsid w:val="00D020DF"/>
    <w:rPr>
      <w:sz w:val="24"/>
      <w:szCs w:val="24"/>
    </w:rPr>
  </w:style>
  <w:style w:type="paragraph" w:styleId="NormalWeb">
    <w:name w:val="Normal (Web)"/>
    <w:basedOn w:val="Normal"/>
    <w:uiPriority w:val="99"/>
    <w:unhideWhenUsed/>
    <w:rsid w:val="00BA27E5"/>
    <w:pPr>
      <w:spacing w:before="100" w:beforeAutospacing="1" w:after="100" w:afterAutospacing="1"/>
    </w:pPr>
  </w:style>
  <w:style w:type="paragraph" w:styleId="Textoembloco">
    <w:name w:val="Block Text"/>
    <w:basedOn w:val="Normal"/>
    <w:rsid w:val="002E759F"/>
    <w:pPr>
      <w:spacing w:line="360" w:lineRule="auto"/>
      <w:ind w:left="1701" w:right="283"/>
      <w:jc w:val="both"/>
    </w:pPr>
    <w:rPr>
      <w:rFonts w:ascii="Courier New" w:hAnsi="Courier New"/>
      <w:sz w:val="28"/>
      <w:szCs w:val="20"/>
    </w:rPr>
  </w:style>
  <w:style w:type="paragraph" w:styleId="Textodenotaderodap">
    <w:name w:val="footnote text"/>
    <w:basedOn w:val="Normal"/>
    <w:link w:val="TextodenotaderodapChar"/>
    <w:rsid w:val="002E759F"/>
    <w:rPr>
      <w:rFonts w:ascii="Arial" w:hAnsi="Arial"/>
      <w:sz w:val="20"/>
      <w:szCs w:val="20"/>
    </w:rPr>
  </w:style>
  <w:style w:type="character" w:customStyle="1" w:styleId="TextodenotaderodapChar">
    <w:name w:val="Texto de nota de rodapé Char"/>
    <w:link w:val="Textodenotaderodap"/>
    <w:rsid w:val="002E759F"/>
    <w:rPr>
      <w:rFonts w:ascii="Arial" w:hAnsi="Arial"/>
    </w:rPr>
  </w:style>
  <w:style w:type="character" w:styleId="Refdenotaderodap">
    <w:name w:val="footnote reference"/>
    <w:rsid w:val="002E75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461115926">
      <w:bodyDiv w:val="1"/>
      <w:marLeft w:val="0"/>
      <w:marRight w:val="0"/>
      <w:marTop w:val="0"/>
      <w:marBottom w:val="0"/>
      <w:divBdr>
        <w:top w:val="none" w:sz="0" w:space="0" w:color="auto"/>
        <w:left w:val="none" w:sz="0" w:space="0" w:color="auto"/>
        <w:bottom w:val="none" w:sz="0" w:space="0" w:color="auto"/>
        <w:right w:val="none" w:sz="0" w:space="0" w:color="auto"/>
      </w:divBdr>
      <w:divsChild>
        <w:div w:id="1314023178">
          <w:marLeft w:val="0"/>
          <w:marRight w:val="0"/>
          <w:marTop w:val="0"/>
          <w:marBottom w:val="0"/>
          <w:divBdr>
            <w:top w:val="none" w:sz="0" w:space="0" w:color="auto"/>
            <w:left w:val="none" w:sz="0" w:space="0" w:color="auto"/>
            <w:bottom w:val="none" w:sz="0" w:space="0" w:color="auto"/>
            <w:right w:val="none" w:sz="0" w:space="0" w:color="auto"/>
          </w:divBdr>
          <w:divsChild>
            <w:div w:id="1869903018">
              <w:marLeft w:val="0"/>
              <w:marRight w:val="0"/>
              <w:marTop w:val="0"/>
              <w:marBottom w:val="0"/>
              <w:divBdr>
                <w:top w:val="none" w:sz="0" w:space="0" w:color="auto"/>
                <w:left w:val="none" w:sz="0" w:space="0" w:color="auto"/>
                <w:bottom w:val="none" w:sz="0" w:space="0" w:color="auto"/>
                <w:right w:val="none" w:sz="0" w:space="0" w:color="auto"/>
              </w:divBdr>
              <w:divsChild>
                <w:div w:id="2021394852">
                  <w:marLeft w:val="0"/>
                  <w:marRight w:val="0"/>
                  <w:marTop w:val="0"/>
                  <w:marBottom w:val="0"/>
                  <w:divBdr>
                    <w:top w:val="none" w:sz="0" w:space="0" w:color="auto"/>
                    <w:left w:val="none" w:sz="0" w:space="0" w:color="auto"/>
                    <w:bottom w:val="none" w:sz="0" w:space="0" w:color="auto"/>
                    <w:right w:val="none" w:sz="0" w:space="0" w:color="auto"/>
                  </w:divBdr>
                  <w:divsChild>
                    <w:div w:id="1906334446">
                      <w:marLeft w:val="0"/>
                      <w:marRight w:val="0"/>
                      <w:marTop w:val="0"/>
                      <w:marBottom w:val="0"/>
                      <w:divBdr>
                        <w:top w:val="none" w:sz="0" w:space="0" w:color="auto"/>
                        <w:left w:val="none" w:sz="0" w:space="0" w:color="auto"/>
                        <w:bottom w:val="none" w:sz="0" w:space="0" w:color="auto"/>
                        <w:right w:val="none" w:sz="0" w:space="0" w:color="auto"/>
                      </w:divBdr>
                      <w:divsChild>
                        <w:div w:id="2045785818">
                          <w:marLeft w:val="0"/>
                          <w:marRight w:val="0"/>
                          <w:marTop w:val="0"/>
                          <w:marBottom w:val="0"/>
                          <w:divBdr>
                            <w:top w:val="none" w:sz="0" w:space="0" w:color="auto"/>
                            <w:left w:val="none" w:sz="0" w:space="0" w:color="auto"/>
                            <w:bottom w:val="none" w:sz="0" w:space="0" w:color="auto"/>
                            <w:right w:val="none" w:sz="0" w:space="0" w:color="auto"/>
                          </w:divBdr>
                          <w:divsChild>
                            <w:div w:id="17139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54374">
      <w:bodyDiv w:val="1"/>
      <w:marLeft w:val="0"/>
      <w:marRight w:val="0"/>
      <w:marTop w:val="0"/>
      <w:marBottom w:val="0"/>
      <w:divBdr>
        <w:top w:val="none" w:sz="0" w:space="0" w:color="auto"/>
        <w:left w:val="none" w:sz="0" w:space="0" w:color="auto"/>
        <w:bottom w:val="none" w:sz="0" w:space="0" w:color="auto"/>
        <w:right w:val="none" w:sz="0" w:space="0" w:color="auto"/>
      </w:divBdr>
      <w:divsChild>
        <w:div w:id="1725448765">
          <w:marLeft w:val="0"/>
          <w:marRight w:val="0"/>
          <w:marTop w:val="0"/>
          <w:marBottom w:val="0"/>
          <w:divBdr>
            <w:top w:val="none" w:sz="0" w:space="0" w:color="auto"/>
            <w:left w:val="none" w:sz="0" w:space="0" w:color="auto"/>
            <w:bottom w:val="none" w:sz="0" w:space="0" w:color="auto"/>
            <w:right w:val="none" w:sz="0" w:space="0" w:color="auto"/>
          </w:divBdr>
          <w:divsChild>
            <w:div w:id="2066877767">
              <w:marLeft w:val="0"/>
              <w:marRight w:val="0"/>
              <w:marTop w:val="0"/>
              <w:marBottom w:val="0"/>
              <w:divBdr>
                <w:top w:val="none" w:sz="0" w:space="0" w:color="auto"/>
                <w:left w:val="none" w:sz="0" w:space="0" w:color="auto"/>
                <w:bottom w:val="none" w:sz="0" w:space="0" w:color="auto"/>
                <w:right w:val="none" w:sz="0" w:space="0" w:color="auto"/>
              </w:divBdr>
              <w:divsChild>
                <w:div w:id="587227713">
                  <w:marLeft w:val="0"/>
                  <w:marRight w:val="0"/>
                  <w:marTop w:val="0"/>
                  <w:marBottom w:val="0"/>
                  <w:divBdr>
                    <w:top w:val="none" w:sz="0" w:space="0" w:color="auto"/>
                    <w:left w:val="none" w:sz="0" w:space="0" w:color="auto"/>
                    <w:bottom w:val="none" w:sz="0" w:space="0" w:color="auto"/>
                    <w:right w:val="none" w:sz="0" w:space="0" w:color="auto"/>
                  </w:divBdr>
                  <w:divsChild>
                    <w:div w:id="1652950724">
                      <w:marLeft w:val="0"/>
                      <w:marRight w:val="0"/>
                      <w:marTop w:val="0"/>
                      <w:marBottom w:val="0"/>
                      <w:divBdr>
                        <w:top w:val="none" w:sz="0" w:space="0" w:color="auto"/>
                        <w:left w:val="none" w:sz="0" w:space="0" w:color="auto"/>
                        <w:bottom w:val="none" w:sz="0" w:space="0" w:color="auto"/>
                        <w:right w:val="none" w:sz="0" w:space="0" w:color="auto"/>
                      </w:divBdr>
                      <w:divsChild>
                        <w:div w:id="817183137">
                          <w:marLeft w:val="0"/>
                          <w:marRight w:val="0"/>
                          <w:marTop w:val="0"/>
                          <w:marBottom w:val="0"/>
                          <w:divBdr>
                            <w:top w:val="none" w:sz="0" w:space="0" w:color="auto"/>
                            <w:left w:val="none" w:sz="0" w:space="0" w:color="auto"/>
                            <w:bottom w:val="none" w:sz="0" w:space="0" w:color="auto"/>
                            <w:right w:val="none" w:sz="0" w:space="0" w:color="auto"/>
                          </w:divBdr>
                          <w:divsChild>
                            <w:div w:id="987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060461">
      <w:bodyDiv w:val="1"/>
      <w:marLeft w:val="0"/>
      <w:marRight w:val="0"/>
      <w:marTop w:val="0"/>
      <w:marBottom w:val="0"/>
      <w:divBdr>
        <w:top w:val="none" w:sz="0" w:space="0" w:color="auto"/>
        <w:left w:val="none" w:sz="0" w:space="0" w:color="auto"/>
        <w:bottom w:val="none" w:sz="0" w:space="0" w:color="auto"/>
        <w:right w:val="none" w:sz="0" w:space="0" w:color="auto"/>
      </w:divBdr>
    </w:div>
    <w:div w:id="1291935063">
      <w:bodyDiv w:val="1"/>
      <w:marLeft w:val="0"/>
      <w:marRight w:val="0"/>
      <w:marTop w:val="0"/>
      <w:marBottom w:val="0"/>
      <w:divBdr>
        <w:top w:val="none" w:sz="0" w:space="0" w:color="auto"/>
        <w:left w:val="none" w:sz="0" w:space="0" w:color="auto"/>
        <w:bottom w:val="none" w:sz="0" w:space="0" w:color="auto"/>
        <w:right w:val="none" w:sz="0" w:space="0" w:color="auto"/>
      </w:divBdr>
    </w:div>
    <w:div w:id="1551069333">
      <w:bodyDiv w:val="1"/>
      <w:marLeft w:val="0"/>
      <w:marRight w:val="0"/>
      <w:marTop w:val="0"/>
      <w:marBottom w:val="0"/>
      <w:divBdr>
        <w:top w:val="none" w:sz="0" w:space="0" w:color="auto"/>
        <w:left w:val="none" w:sz="0" w:space="0" w:color="auto"/>
        <w:bottom w:val="none" w:sz="0" w:space="0" w:color="auto"/>
        <w:right w:val="none" w:sz="0" w:space="0" w:color="auto"/>
      </w:divBdr>
      <w:divsChild>
        <w:div w:id="738332513">
          <w:marLeft w:val="0"/>
          <w:marRight w:val="0"/>
          <w:marTop w:val="0"/>
          <w:marBottom w:val="0"/>
          <w:divBdr>
            <w:top w:val="single" w:sz="2" w:space="0" w:color="E3E3E3"/>
            <w:left w:val="single" w:sz="2" w:space="0" w:color="E3E3E3"/>
            <w:bottom w:val="single" w:sz="2" w:space="0" w:color="E3E3E3"/>
            <w:right w:val="single" w:sz="2" w:space="0" w:color="E3E3E3"/>
          </w:divBdr>
          <w:divsChild>
            <w:div w:id="1087772718">
              <w:marLeft w:val="0"/>
              <w:marRight w:val="0"/>
              <w:marTop w:val="0"/>
              <w:marBottom w:val="0"/>
              <w:divBdr>
                <w:top w:val="single" w:sz="2" w:space="0" w:color="E3E3E3"/>
                <w:left w:val="single" w:sz="2" w:space="0" w:color="E3E3E3"/>
                <w:bottom w:val="single" w:sz="2" w:space="0" w:color="E3E3E3"/>
                <w:right w:val="single" w:sz="2" w:space="0" w:color="E3E3E3"/>
              </w:divBdr>
              <w:divsChild>
                <w:div w:id="935940991">
                  <w:marLeft w:val="0"/>
                  <w:marRight w:val="0"/>
                  <w:marTop w:val="0"/>
                  <w:marBottom w:val="0"/>
                  <w:divBdr>
                    <w:top w:val="single" w:sz="2" w:space="0" w:color="E3E3E3"/>
                    <w:left w:val="single" w:sz="2" w:space="0" w:color="E3E3E3"/>
                    <w:bottom w:val="single" w:sz="2" w:space="0" w:color="E3E3E3"/>
                    <w:right w:val="single" w:sz="2" w:space="0" w:color="E3E3E3"/>
                  </w:divBdr>
                  <w:divsChild>
                    <w:div w:id="839739864">
                      <w:marLeft w:val="0"/>
                      <w:marRight w:val="0"/>
                      <w:marTop w:val="0"/>
                      <w:marBottom w:val="0"/>
                      <w:divBdr>
                        <w:top w:val="single" w:sz="2" w:space="0" w:color="E3E3E3"/>
                        <w:left w:val="single" w:sz="2" w:space="0" w:color="E3E3E3"/>
                        <w:bottom w:val="single" w:sz="2" w:space="0" w:color="E3E3E3"/>
                        <w:right w:val="single" w:sz="2" w:space="0" w:color="E3E3E3"/>
                      </w:divBdr>
                      <w:divsChild>
                        <w:div w:id="619384170">
                          <w:marLeft w:val="0"/>
                          <w:marRight w:val="0"/>
                          <w:marTop w:val="0"/>
                          <w:marBottom w:val="0"/>
                          <w:divBdr>
                            <w:top w:val="single" w:sz="2" w:space="0" w:color="E3E3E3"/>
                            <w:left w:val="single" w:sz="2" w:space="0" w:color="E3E3E3"/>
                            <w:bottom w:val="single" w:sz="2" w:space="0" w:color="E3E3E3"/>
                            <w:right w:val="single" w:sz="2" w:space="0" w:color="E3E3E3"/>
                          </w:divBdr>
                          <w:divsChild>
                            <w:div w:id="24550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208799">
                                  <w:marLeft w:val="0"/>
                                  <w:marRight w:val="0"/>
                                  <w:marTop w:val="0"/>
                                  <w:marBottom w:val="0"/>
                                  <w:divBdr>
                                    <w:top w:val="single" w:sz="2" w:space="0" w:color="E3E3E3"/>
                                    <w:left w:val="single" w:sz="2" w:space="0" w:color="E3E3E3"/>
                                    <w:bottom w:val="single" w:sz="2" w:space="0" w:color="E3E3E3"/>
                                    <w:right w:val="single" w:sz="2" w:space="0" w:color="E3E3E3"/>
                                  </w:divBdr>
                                  <w:divsChild>
                                    <w:div w:id="697851430">
                                      <w:marLeft w:val="0"/>
                                      <w:marRight w:val="0"/>
                                      <w:marTop w:val="0"/>
                                      <w:marBottom w:val="0"/>
                                      <w:divBdr>
                                        <w:top w:val="single" w:sz="2" w:space="0" w:color="E3E3E3"/>
                                        <w:left w:val="single" w:sz="2" w:space="0" w:color="E3E3E3"/>
                                        <w:bottom w:val="single" w:sz="2" w:space="0" w:color="E3E3E3"/>
                                        <w:right w:val="single" w:sz="2" w:space="0" w:color="E3E3E3"/>
                                      </w:divBdr>
                                      <w:divsChild>
                                        <w:div w:id="1060128594">
                                          <w:marLeft w:val="0"/>
                                          <w:marRight w:val="0"/>
                                          <w:marTop w:val="0"/>
                                          <w:marBottom w:val="0"/>
                                          <w:divBdr>
                                            <w:top w:val="single" w:sz="2" w:space="0" w:color="E3E3E3"/>
                                            <w:left w:val="single" w:sz="2" w:space="0" w:color="E3E3E3"/>
                                            <w:bottom w:val="single" w:sz="2" w:space="0" w:color="E3E3E3"/>
                                            <w:right w:val="single" w:sz="2" w:space="0" w:color="E3E3E3"/>
                                          </w:divBdr>
                                          <w:divsChild>
                                            <w:div w:id="319386490">
                                              <w:marLeft w:val="0"/>
                                              <w:marRight w:val="0"/>
                                              <w:marTop w:val="0"/>
                                              <w:marBottom w:val="0"/>
                                              <w:divBdr>
                                                <w:top w:val="single" w:sz="2" w:space="0" w:color="E3E3E3"/>
                                                <w:left w:val="single" w:sz="2" w:space="0" w:color="E3E3E3"/>
                                                <w:bottom w:val="single" w:sz="2" w:space="0" w:color="E3E3E3"/>
                                                <w:right w:val="single" w:sz="2" w:space="0" w:color="E3E3E3"/>
                                              </w:divBdr>
                                              <w:divsChild>
                                                <w:div w:id="249002320">
                                                  <w:marLeft w:val="0"/>
                                                  <w:marRight w:val="0"/>
                                                  <w:marTop w:val="0"/>
                                                  <w:marBottom w:val="0"/>
                                                  <w:divBdr>
                                                    <w:top w:val="single" w:sz="2" w:space="0" w:color="E3E3E3"/>
                                                    <w:left w:val="single" w:sz="2" w:space="0" w:color="E3E3E3"/>
                                                    <w:bottom w:val="single" w:sz="2" w:space="0" w:color="E3E3E3"/>
                                                    <w:right w:val="single" w:sz="2" w:space="0" w:color="E3E3E3"/>
                                                  </w:divBdr>
                                                  <w:divsChild>
                                                    <w:div w:id="100967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771814">
          <w:marLeft w:val="0"/>
          <w:marRight w:val="0"/>
          <w:marTop w:val="0"/>
          <w:marBottom w:val="0"/>
          <w:divBdr>
            <w:top w:val="none" w:sz="0" w:space="0" w:color="auto"/>
            <w:left w:val="none" w:sz="0" w:space="0" w:color="auto"/>
            <w:bottom w:val="none" w:sz="0" w:space="0" w:color="auto"/>
            <w:right w:val="none" w:sz="0" w:space="0" w:color="auto"/>
          </w:divBdr>
        </w:div>
      </w:divsChild>
    </w:div>
    <w:div w:id="1593198071">
      <w:bodyDiv w:val="1"/>
      <w:marLeft w:val="0"/>
      <w:marRight w:val="0"/>
      <w:marTop w:val="0"/>
      <w:marBottom w:val="0"/>
      <w:divBdr>
        <w:top w:val="none" w:sz="0" w:space="0" w:color="auto"/>
        <w:left w:val="none" w:sz="0" w:space="0" w:color="auto"/>
        <w:bottom w:val="none" w:sz="0" w:space="0" w:color="auto"/>
        <w:right w:val="none" w:sz="0" w:space="0" w:color="auto"/>
      </w:divBdr>
      <w:divsChild>
        <w:div w:id="133528311">
          <w:marLeft w:val="0"/>
          <w:marRight w:val="0"/>
          <w:marTop w:val="0"/>
          <w:marBottom w:val="0"/>
          <w:divBdr>
            <w:top w:val="none" w:sz="0" w:space="0" w:color="auto"/>
            <w:left w:val="none" w:sz="0" w:space="0" w:color="auto"/>
            <w:bottom w:val="none" w:sz="0" w:space="0" w:color="auto"/>
            <w:right w:val="none" w:sz="0" w:space="0" w:color="auto"/>
          </w:divBdr>
        </w:div>
        <w:div w:id="264700611">
          <w:marLeft w:val="0"/>
          <w:marRight w:val="0"/>
          <w:marTop w:val="0"/>
          <w:marBottom w:val="0"/>
          <w:divBdr>
            <w:top w:val="none" w:sz="0" w:space="0" w:color="auto"/>
            <w:left w:val="none" w:sz="0" w:space="0" w:color="auto"/>
            <w:bottom w:val="none" w:sz="0" w:space="0" w:color="auto"/>
            <w:right w:val="none" w:sz="0" w:space="0" w:color="auto"/>
          </w:divBdr>
        </w:div>
        <w:div w:id="1763843166">
          <w:marLeft w:val="0"/>
          <w:marRight w:val="0"/>
          <w:marTop w:val="0"/>
          <w:marBottom w:val="0"/>
          <w:divBdr>
            <w:top w:val="none" w:sz="0" w:space="0" w:color="auto"/>
            <w:left w:val="none" w:sz="0" w:space="0" w:color="auto"/>
            <w:bottom w:val="none" w:sz="0" w:space="0" w:color="auto"/>
            <w:right w:val="none" w:sz="0" w:space="0" w:color="auto"/>
          </w:divBdr>
        </w:div>
        <w:div w:id="2012027796">
          <w:marLeft w:val="0"/>
          <w:marRight w:val="0"/>
          <w:marTop w:val="0"/>
          <w:marBottom w:val="0"/>
          <w:divBdr>
            <w:top w:val="none" w:sz="0" w:space="0" w:color="auto"/>
            <w:left w:val="none" w:sz="0" w:space="0" w:color="auto"/>
            <w:bottom w:val="none" w:sz="0" w:space="0" w:color="auto"/>
            <w:right w:val="none" w:sz="0" w:space="0" w:color="auto"/>
          </w:divBdr>
        </w:div>
      </w:divsChild>
    </w:div>
    <w:div w:id="1784811602">
      <w:bodyDiv w:val="1"/>
      <w:marLeft w:val="0"/>
      <w:marRight w:val="0"/>
      <w:marTop w:val="0"/>
      <w:marBottom w:val="0"/>
      <w:divBdr>
        <w:top w:val="none" w:sz="0" w:space="0" w:color="auto"/>
        <w:left w:val="none" w:sz="0" w:space="0" w:color="auto"/>
        <w:bottom w:val="none" w:sz="0" w:space="0" w:color="auto"/>
        <w:right w:val="none" w:sz="0" w:space="0" w:color="auto"/>
      </w:divBdr>
    </w:div>
    <w:div w:id="214041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083C6C-EC2F-4190-9FDB-4C0091FFE09E}">
  <ds:schemaRefs>
    <ds:schemaRef ds:uri="http://schemas.openxmlformats.org/officeDocument/2006/bibliography"/>
  </ds:schemaRefs>
</ds:datastoreItem>
</file>

<file path=customXml/itemProps2.xml><?xml version="1.0" encoding="utf-8"?>
<ds:datastoreItem xmlns:ds="http://schemas.openxmlformats.org/officeDocument/2006/customXml" ds:itemID="{B7508C76-A01C-4923-A439-4D8CE6DF4691}">
  <ds:schemaRefs>
    <ds:schemaRef ds:uri="http://schemas.microsoft.com/sharepoint/v3/contenttype/forms"/>
  </ds:schemaRefs>
</ds:datastoreItem>
</file>

<file path=customXml/itemProps3.xml><?xml version="1.0" encoding="utf-8"?>
<ds:datastoreItem xmlns:ds="http://schemas.openxmlformats.org/officeDocument/2006/customXml" ds:itemID="{7180732F-4C5E-4BE6-BBEF-BC9BD6EE7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EDB095-5289-4942-ABE2-7A2F6DA2B1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7624</Characters>
  <Application>Microsoft Office Word</Application>
  <DocSecurity>4</DocSecurity>
  <Lines>63</Lines>
  <Paragraphs>18</Paragraphs>
  <ScaleCrop>false</ScaleCrop>
  <HeadingPairs>
    <vt:vector size="2" baseType="variant">
      <vt:variant>
        <vt:lpstr>Título</vt:lpstr>
      </vt:variant>
      <vt:variant>
        <vt:i4>1</vt:i4>
      </vt:variant>
    </vt:vector>
  </HeadingPairs>
  <TitlesOfParts>
    <vt:vector size="1" baseType="lpstr">
      <vt:lpstr>São Paulo, 10 de outubro de 2014</vt:lpstr>
    </vt:vector>
  </TitlesOfParts>
  <Company>TJSP</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São Paulo, 10 de outubro de 2014</dc:title>
  <dc:subject/>
  <dc:creator>prescrim</dc:creator>
  <cp:keywords/>
  <cp:lastModifiedBy>DENISE OLIVEIRA DOS SANTOS</cp:lastModifiedBy>
  <cp:revision>2</cp:revision>
  <cp:lastPrinted>2017-05-24T17:15:00Z</cp:lastPrinted>
  <dcterms:created xsi:type="dcterms:W3CDTF">2025-06-11T23:29:00Z</dcterms:created>
  <dcterms:modified xsi:type="dcterms:W3CDTF">2025-06-11T23:29:00Z</dcterms:modified>
</cp:coreProperties>
</file>