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E4010" w:rsidRPr="000665B8" w:rsidRDefault="008E4010" w:rsidP="008E4010">
      <w:pPr>
        <w:spacing w:after="0" w:line="360" w:lineRule="auto"/>
        <w:jc w:val="both"/>
        <w:rPr>
          <w:rFonts w:ascii="Arial" w:hAnsi="Arial" w:cs="Arial"/>
          <w:b/>
          <w:sz w:val="24"/>
        </w:rPr>
      </w:pPr>
      <w:r>
        <w:t>EMBARGOS DE DECLARAÇÃO Nº 0000000-00.0000.0.00.0000/5000</w:t>
      </w:r>
    </w:p>
    <w:p w:rsidR="00122B5B" w:rsidRPr="00122B5B" w:rsidRDefault="00ED5713" w:rsidP="00122B5B">
      <w:pPr>
        <w:spacing w:after="0" w:line="360" w:lineRule="auto"/>
        <w:jc w:val="both"/>
        <w:rPr>
          <w:rFonts w:ascii="Arial" w:hAnsi="Arial"/>
          <w:b/>
          <w:sz w:val="24"/>
        </w:rPr>
      </w:pPr>
      <w:r>
        <w:t>16ª VARA CÍVEL - FORO CENTRAL CÍVEL DA COMARCA DE SÃO PAULO</w:t>
      </w:r>
    </w:p>
    <w:p w:rsidR="00122B5B" w:rsidRPr="00122B5B" w:rsidRDefault="00ED5713" w:rsidP="00122B5B">
      <w:pPr>
        <w:spacing w:after="0" w:line="360" w:lineRule="auto"/>
        <w:jc w:val="both"/>
        <w:rPr>
          <w:rFonts w:ascii="Arial" w:hAnsi="Arial"/>
          <w:b/>
          <w:sz w:val="24"/>
        </w:rPr>
      </w:pPr>
      <w:r>
        <w:t>Embargante: AUTOR(A)</w:t>
      </w:r>
    </w:p>
    <w:p w:rsidR="00122B5B" w:rsidRPr="00122B5B" w:rsidRDefault="00ED5713" w:rsidP="00122B5B">
      <w:pPr>
        <w:spacing w:after="0" w:line="360" w:lineRule="auto"/>
        <w:jc w:val="both"/>
        <w:rPr>
          <w:rFonts w:ascii="Arial" w:hAnsi="Arial"/>
          <w:b/>
          <w:sz w:val="24"/>
        </w:rPr>
      </w:pPr>
      <w:r>
        <w:t xml:space="preserve">Embargada: AUTOR(A) LTDA </w:t>
      </w:r>
    </w:p>
    <w:p w:rsidR="00122B5B" w:rsidRPr="00122B5B" w:rsidRDefault="00122B5B" w:rsidP="00122B5B">
      <w:pPr>
        <w:spacing w:after="0" w:line="360" w:lineRule="auto"/>
        <w:jc w:val="both"/>
        <w:rPr>
          <w:rFonts w:ascii="Arial" w:hAnsi="Arial"/>
          <w:b/>
          <w:sz w:val="24"/>
        </w:rPr>
      </w:pPr>
      <w:r>
        <w:t>AUTOR(A): AUTOR(A)</w:t>
      </w:r>
    </w:p>
    <w:p w:rsidR="00122B5B" w:rsidRPr="00122B5B" w:rsidRDefault="00122B5B" w:rsidP="00122B5B">
      <w:pPr>
        <w:spacing w:after="0" w:line="360" w:lineRule="auto"/>
        <w:jc w:val="both"/>
        <w:rPr>
          <w:rFonts w:ascii="Arial" w:hAnsi="Arial"/>
          <w:b/>
          <w:sz w:val="24"/>
        </w:rPr>
      </w:pPr>
      <w:r>
        <w:t>Relator: JOSÉ AUGUSTO GENOFRE MARTINS</w:t>
      </w:r>
    </w:p>
    <w:p w:rsidR="00ED5713" w:rsidRDefault="00122B5B" w:rsidP="008E4010">
      <w:pPr>
        <w:spacing w:after="0" w:line="360" w:lineRule="auto"/>
        <w:jc w:val="both"/>
        <w:rPr>
          <w:rFonts w:ascii="Arial" w:hAnsi="Arial"/>
          <w:b/>
          <w:sz w:val="24"/>
        </w:rPr>
      </w:pPr>
      <w:r>
        <w:t>Órgão Julgador: 28ª CÂMARA DE DIREITO PRIVADO</w:t>
      </w:r>
    </w:p>
    <w:p w:rsidR="008E4010" w:rsidRPr="000665B8" w:rsidRDefault="008E4010" w:rsidP="008E4010">
      <w:pPr>
        <w:spacing w:after="0" w:line="360" w:lineRule="auto"/>
        <w:jc w:val="both"/>
        <w:rPr>
          <w:rFonts w:ascii="Arial" w:hAnsi="Arial"/>
          <w:b/>
          <w:sz w:val="24"/>
        </w:rPr>
      </w:pPr>
      <w:r>
        <w:t>VOTO nº 9.462</w:t>
      </w:r>
    </w:p>
    <w:p w:rsidR="008E4010" w:rsidRDefault="008E4010" w:rsidP="008E4010">
      <w:pPr>
        <w:pStyle w:val="Recuodecorpodetexto"/>
        <w:ind w:left="0"/>
        <w:rPr>
          <w:rFonts w:ascii="Arial" w:hAnsi="Arial" w:cs="Arial"/>
          <w:sz w:val="22"/>
          <w:szCs w:val="22"/>
        </w:rPr>
      </w:pPr>
      <w:r/>
    </w:p>
    <w:p w:rsidR="00A95A57" w:rsidRDefault="00A95A57" w:rsidP="008E4010">
      <w:pPr>
        <w:pStyle w:val="Recuodecorpodetexto"/>
        <w:ind w:left="0"/>
        <w:rPr>
          <w:rFonts w:ascii="Arial" w:hAnsi="Arial" w:cs="Arial"/>
          <w:sz w:val="22"/>
          <w:szCs w:val="22"/>
        </w:rPr>
      </w:pPr>
      <w:r/>
    </w:p>
    <w:p w:rsidR="008E4010" w:rsidRDefault="008E4010" w:rsidP="006103C1">
      <w:pPr>
        <w:pStyle w:val="Recuodecorpodetexto"/>
        <w:rPr>
          <w:b w:val="0"/>
          <w:i/>
          <w:sz w:val="24"/>
        </w:rPr>
      </w:pPr>
      <w:r>
        <w:t>EMBARGOS DE DECLARAÇÃO – Alegação de omissão – Acórdão que apreciou os pontos expostos pela parte em sua peça recursal e deu parcial provimento ao mérito da apelação. Recurso conhecido, mas rejeitado, por não se verificar ocorrência de omissão passível de correção. Embargos de declaração não se prestam a alterar o resultado do julgamento quando os fundamentos adotados justificam a decisão proferida. Mera irresignação. Cabimento de efeitos infringentes apenas se a correção dos vícios alterar as premissas do julgado, o que não se verifica no caso em tela. Embargos rejeitados.</w:t>
        <w:tab/>
      </w:r>
    </w:p>
    <w:p w:rsidR="00271BEB" w:rsidRPr="000665B8" w:rsidRDefault="00271BEB" w:rsidP="008E4010">
      <w:pPr>
        <w:spacing w:after="0" w:line="360" w:lineRule="auto"/>
        <w:jc w:val="both"/>
        <w:rPr>
          <w:rFonts w:ascii="Arial" w:hAnsi="Arial"/>
          <w:sz w:val="24"/>
        </w:rPr>
      </w:pPr>
      <w:r/>
    </w:p>
    <w:p w:rsidR="000504F4" w:rsidRPr="008605E8" w:rsidRDefault="000504F4" w:rsidP="008E4010">
      <w:pPr>
        <w:spacing w:after="0" w:line="360" w:lineRule="auto"/>
        <w:ind w:firstLine="1418"/>
        <w:jc w:val="both"/>
        <w:rPr>
          <w:rFonts w:ascii="Arial" w:hAnsi="Arial" w:cs="Arial"/>
          <w:b/>
          <w:bCs/>
          <w:sz w:val="24"/>
        </w:rPr>
      </w:pPr>
      <w:r>
        <w:t>Vistos.</w:t>
      </w:r>
    </w:p>
    <w:p w:rsidR="000504F4" w:rsidRDefault="000504F4" w:rsidP="008E4010">
      <w:pPr>
        <w:spacing w:after="0" w:line="360" w:lineRule="auto"/>
        <w:ind w:firstLine="1418"/>
        <w:jc w:val="both"/>
        <w:rPr>
          <w:rFonts w:ascii="Arial" w:hAnsi="Arial" w:cs="Arial"/>
          <w:sz w:val="24"/>
        </w:rPr>
      </w:pPr>
      <w:r/>
    </w:p>
    <w:p w:rsidR="003D2EDE" w:rsidRDefault="008E4010" w:rsidP="003D2EDE">
      <w:pPr>
        <w:spacing w:after="0" w:line="360" w:lineRule="auto"/>
        <w:ind w:firstLine="1418"/>
        <w:jc w:val="both"/>
        <w:rPr>
          <w:rFonts w:ascii="Arial" w:hAnsi="Arial"/>
          <w:sz w:val="24"/>
        </w:rPr>
      </w:pPr>
      <w:r>
        <w:t>Trata-se de embargos de declaração opostos em face do v. Acórdão de fls. 625/634, que deu parcial provimento ao recurso de apelação interposto pela autora e negou provimento ao recurso da parte requerida, mantendo a parcial procedência da ação e determinando a restituição em dobro da quantia paga por ela, nos termos do art. 42, parágrafo único do CPC, a ser apurada em cumprimento de sentença.</w:t>
      </w:r>
    </w:p>
    <w:p w:rsidR="003D2EDE" w:rsidRDefault="00406899" w:rsidP="003D2EDE">
      <w:pPr>
        <w:spacing w:after="0" w:line="360" w:lineRule="auto"/>
        <w:ind w:firstLine="1418"/>
        <w:jc w:val="both"/>
        <w:rPr>
          <w:rFonts w:ascii="Arial" w:hAnsi="Arial"/>
          <w:sz w:val="24"/>
        </w:rPr>
      </w:pPr>
      <w:r>
        <w:t xml:space="preserve">Em síntese, a embargante aduz que o acórdão foi omisso em relação ao pleito de indenização por danos morais. Sustenta que tanto a r. sentença de primeiro grau quanto o v. acórdão reconheceu a prática ilícita da ré e deixou de condenar ao pagamento de indenização por danos morais. Assevera, ainda, que o v. acórdão foi omisso quanto ao pleito de indenização em decorrência do desvio produtivo da autora. </w:t>
      </w:r>
    </w:p>
    <w:p w:rsidR="008E4010" w:rsidRPr="000665B8" w:rsidRDefault="008E4010" w:rsidP="00A42FA1">
      <w:pPr>
        <w:spacing w:after="0" w:line="360" w:lineRule="auto"/>
        <w:jc w:val="both"/>
        <w:rPr>
          <w:rFonts w:ascii="Arial" w:hAnsi="Arial"/>
          <w:sz w:val="24"/>
        </w:rPr>
      </w:pPr>
      <w:r/>
    </w:p>
    <w:p w:rsidR="008E4010" w:rsidRDefault="008E4010" w:rsidP="008E4010">
      <w:pPr>
        <w:spacing w:after="0" w:line="360" w:lineRule="auto"/>
        <w:ind w:firstLine="1418"/>
        <w:jc w:val="both"/>
        <w:rPr>
          <w:rFonts w:ascii="Arial" w:hAnsi="Arial"/>
          <w:b/>
          <w:sz w:val="24"/>
        </w:rPr>
      </w:pPr>
      <w:r>
        <w:t>É o relatório.</w:t>
      </w:r>
    </w:p>
    <w:p w:rsidR="006C6706" w:rsidRPr="006C6706" w:rsidRDefault="006C6706" w:rsidP="00367E5C">
      <w:pPr>
        <w:spacing w:after="0" w:line="360" w:lineRule="auto"/>
        <w:jc w:val="both"/>
        <w:rPr>
          <w:rFonts w:ascii="Arial" w:hAnsi="Arial"/>
          <w:sz w:val="24"/>
          <w:szCs w:val="24"/>
        </w:rPr>
      </w:pPr>
      <w:r/>
    </w:p>
    <w:p w:rsidR="009D3EDA" w:rsidRDefault="009D3EDA" w:rsidP="00A42FA1">
      <w:pPr>
        <w:spacing w:after="0" w:line="360" w:lineRule="auto"/>
        <w:ind w:firstLine="1418"/>
        <w:jc w:val="both"/>
        <w:rPr>
          <w:rFonts w:ascii="Arial" w:hAnsi="Arial" w:cs="Arial"/>
          <w:sz w:val="24"/>
          <w:szCs w:val="24"/>
          <w:lang w:eastAsia="pt-BR"/>
        </w:rPr>
      </w:pPr>
      <w:r>
        <w:t>De início, anoto que o presente recurso, por não figurar nas hipóteses de cabimento de sustentação oral, será remetido ao plenário virtual, em atenção aos princípios da economia e celeridade processual.</w:t>
      </w:r>
    </w:p>
    <w:p w:rsidR="006C6706" w:rsidRDefault="006C6706" w:rsidP="00A42FA1">
      <w:pPr>
        <w:spacing w:after="0" w:line="360" w:lineRule="auto"/>
        <w:ind w:firstLine="1418"/>
        <w:jc w:val="both"/>
        <w:rPr>
          <w:rFonts w:ascii="Arial" w:hAnsi="Arial"/>
          <w:sz w:val="24"/>
          <w:szCs w:val="24"/>
        </w:rPr>
      </w:pPr>
      <w:r>
        <w:t>Os embargos de declaração devem ser conhecidos, diante de sua tempestividade, mas rejeitados, vez que não se verifica quaisquer das hipóteses do artigo 1.022 do Código de AUTOR(A).</w:t>
      </w:r>
    </w:p>
    <w:p w:rsidR="00BF54CB" w:rsidRPr="00BF54CB" w:rsidRDefault="00BF54CB" w:rsidP="00A42FA1">
      <w:pPr>
        <w:spacing w:after="0" w:line="360" w:lineRule="auto"/>
        <w:ind w:firstLine="1418"/>
        <w:jc w:val="both"/>
        <w:rPr>
          <w:rFonts w:ascii="Arial" w:hAnsi="Arial"/>
          <w:sz w:val="24"/>
          <w:szCs w:val="24"/>
        </w:rPr>
      </w:pPr>
      <w:r>
        <w:t>Nos moldes do artigo 1.022 do Código de AUTOR(A), são cabíveis os embargos de declaração quando existente omissão, obscuridade ou contradição quanto a ponto de essencial pronunciamento jurisdicional ou, ainda, se constatada hipótese de erro material.</w:t>
      </w:r>
    </w:p>
    <w:p w:rsidR="00BF54CB" w:rsidRPr="00BF54CB" w:rsidRDefault="00406899" w:rsidP="00A42FA1">
      <w:pPr>
        <w:spacing w:after="0" w:line="360" w:lineRule="auto"/>
        <w:ind w:firstLine="1418"/>
        <w:jc w:val="both"/>
        <w:rPr>
          <w:rFonts w:ascii="Arial" w:hAnsi="Arial"/>
          <w:sz w:val="24"/>
          <w:szCs w:val="24"/>
        </w:rPr>
      </w:pPr>
      <w:r>
        <w:t>No caso em tela, contudo, a despeito da argumentação expendida, afere-se que o v. aresto não incorre em nenhuma das situações legais a justificar oposição dos declaratórios, os quais objetivam apenas mudança do resultado para diverso daquele exposto, denotando-se, portanto, nítido caráter infringente.</w:t>
      </w:r>
    </w:p>
    <w:p w:rsidR="00BF54CB" w:rsidRPr="00BF54CB" w:rsidRDefault="00BF54CB" w:rsidP="00A42FA1">
      <w:pPr>
        <w:spacing w:after="0" w:line="360" w:lineRule="auto"/>
        <w:ind w:firstLine="1418"/>
        <w:jc w:val="both"/>
        <w:rPr>
          <w:rFonts w:ascii="Arial" w:hAnsi="Arial"/>
          <w:sz w:val="24"/>
          <w:szCs w:val="24"/>
        </w:rPr>
      </w:pPr>
      <w:r>
        <w:t>Os embargos de declaração consubstanciam instrumento de aperfeiçoamento da prestação jurisdicional, destinando-se a purificar o julgado de omissões, contradições, obscuridades ou erros materiais que o enodoem.</w:t>
      </w:r>
    </w:p>
    <w:p w:rsidR="00BF54CB" w:rsidRPr="00BF54CB" w:rsidRDefault="00BF54CB" w:rsidP="00A42FA1">
      <w:pPr>
        <w:spacing w:after="0" w:line="360" w:lineRule="auto"/>
        <w:ind w:firstLine="1418"/>
        <w:jc w:val="both"/>
        <w:rPr>
          <w:rFonts w:ascii="Arial" w:hAnsi="Arial"/>
          <w:sz w:val="24"/>
          <w:szCs w:val="24"/>
        </w:rPr>
      </w:pPr>
      <w:r>
        <w:t>Não se olvida a possibilidade de que o acolhimento dos embargos declaratórios venha a modificar o resultado do julgado, atribuindo-lhes, assim, efeitos infringentes. Contudo, é necessário que o resultado decorra da correção de algum dos vícios que autorizam a sua oposição:</w:t>
      </w:r>
    </w:p>
    <w:p w:rsidR="00BF54CB" w:rsidRPr="00BF54CB" w:rsidRDefault="00BF54CB" w:rsidP="00A42FA1">
      <w:pPr>
        <w:spacing w:after="0" w:line="360" w:lineRule="auto"/>
        <w:ind w:firstLine="1418"/>
        <w:jc w:val="both"/>
        <w:rPr>
          <w:rFonts w:ascii="Arial" w:hAnsi="Arial"/>
          <w:sz w:val="24"/>
          <w:szCs w:val="24"/>
        </w:rPr>
      </w:pPr>
      <w:r>
        <w:t>“VII - A atribuição de efeitos infringentes, em Embargos de Declaração, somente ocorre quando esses vícios sejam de tal monta que a sua correção necessariamente infirme as premissas do julgado” (AgInt nos EDcl no REsp. nº 1357325/RJ, 1ª Turma, AUTOR(A), julgado em 17.2.2020).</w:t>
      </w:r>
    </w:p>
    <w:p w:rsidR="008E0B58" w:rsidRDefault="00BF54CB" w:rsidP="00BF54CB">
      <w:pPr>
        <w:spacing w:after="0" w:line="360" w:lineRule="auto"/>
        <w:ind w:firstLine="1418"/>
        <w:jc w:val="both"/>
        <w:rPr>
          <w:rFonts w:ascii="Arial" w:hAnsi="Arial"/>
          <w:sz w:val="24"/>
          <w:szCs w:val="24"/>
        </w:rPr>
      </w:pPr>
      <w:r>
        <w:t xml:space="preserve">Contudo, em que pesem os argumentos do embargante, todas as questões postas à apreciação foram fundamentadamente analisadas, ainda que rejeitadas por incompatibilidade lógica com as demais razões de decidir. Reitera-se que os argumentos de ambas as partes e o contexto probatório dos autos foi analisado em sua integralidade, tendo culminado na conclusão explanada. </w:t>
      </w:r>
    </w:p>
    <w:p w:rsidR="00861F70" w:rsidRDefault="008E0B58" w:rsidP="00861F70">
      <w:pPr>
        <w:spacing w:after="0" w:line="360" w:lineRule="auto"/>
        <w:ind w:firstLine="1418"/>
        <w:jc w:val="both"/>
        <w:rPr>
          <w:rFonts w:ascii="Arial" w:hAnsi="Arial"/>
          <w:sz w:val="24"/>
          <w:szCs w:val="24"/>
        </w:rPr>
      </w:pPr>
      <w:r>
        <w:t xml:space="preserve">Ademais, o v. acórdão é cristalino ao reforçar que “(...) no julgamento da apelação, o Tribunal local pode adotar ou ratificar, como razões de decidir, os fundamentos da sentença, prática que não acarreta omissão, não implica ausência de fundamentação nem gera nulidade. Precedentes' (AgInt no AREsp 1075290/SC, Rel. Ministra MARIA ISABEL GALLOTTI, QUARTA TURMA, julgado em 15/03/2018, DJe 20/03/2018)" (18.5.2021). </w:t>
      </w:r>
    </w:p>
    <w:p w:rsidR="00861F70" w:rsidRDefault="00861F70" w:rsidP="00861F70">
      <w:pPr>
        <w:spacing w:after="0" w:line="360" w:lineRule="auto"/>
        <w:ind w:firstLine="1418"/>
        <w:jc w:val="both"/>
        <w:rPr>
          <w:rFonts w:ascii="Arial" w:hAnsi="Arial"/>
          <w:sz w:val="24"/>
          <w:szCs w:val="24"/>
        </w:rPr>
      </w:pPr>
      <w:r>
        <w:t>Desse modo, o fato de ratificar parte da r. sentença proferida em primeiro grau não incorre em omissão ou ausência de fundamentação.</w:t>
      </w:r>
    </w:p>
    <w:p w:rsidR="00BF54CB" w:rsidRPr="00A42FA1" w:rsidRDefault="00A42FA1" w:rsidP="00A42FA1">
      <w:pPr>
        <w:spacing w:after="0" w:line="360" w:lineRule="auto"/>
        <w:ind w:firstLine="1418"/>
        <w:jc w:val="both"/>
        <w:rPr>
          <w:rFonts w:ascii="Arial" w:hAnsi="Arial"/>
          <w:b/>
          <w:bCs/>
          <w:sz w:val="24"/>
          <w:szCs w:val="24"/>
        </w:rPr>
      </w:pPr>
      <w:r>
        <w:t>A embargante afirma que tanto a r. sentença de primeiro grau quanto o v. acórdão reconheceu a prática ilícita da ré, o que não ocorreu. Isso porque o v. acórdão ratificou que “(...) não tendo a parte autora comprovado, documentalmente, como era de rigor (art.434 do CPC) a solicitação de devolução e estorno de todas as compras, cujos valores não foram restituídos, não restou comprovado nos autos ato ilícito praticado pela ré ou desvio produtivo sofrido pela autora aptos a ensejar a condenação por danos morais por desvio produtivo.” (grifei, fls. 631).</w:t>
      </w:r>
    </w:p>
    <w:p w:rsidR="00BF54CB" w:rsidRPr="00BF54CB" w:rsidRDefault="00BF54CB" w:rsidP="00A42FA1">
      <w:pPr>
        <w:spacing w:after="0" w:line="360" w:lineRule="auto"/>
        <w:ind w:firstLine="1418"/>
        <w:jc w:val="both"/>
        <w:rPr>
          <w:rFonts w:ascii="Arial" w:hAnsi="Arial"/>
          <w:sz w:val="24"/>
          <w:szCs w:val="24"/>
        </w:rPr>
      </w:pPr>
      <w:r>
        <w:t>Assim, o que se vislumbra é a irresignação da parte com o resultado do julgamento, buscando dar efeitos infringentes a estes embargos de declaração, que não se prestam a tal finalidade.</w:t>
      </w:r>
    </w:p>
    <w:p w:rsidR="00BF54CB" w:rsidRPr="00BF54CB" w:rsidRDefault="00BF54CB" w:rsidP="00A42FA1">
      <w:pPr>
        <w:spacing w:after="0" w:line="360" w:lineRule="auto"/>
        <w:ind w:firstLine="1418"/>
        <w:jc w:val="both"/>
        <w:rPr>
          <w:rFonts w:ascii="Arial" w:hAnsi="Arial"/>
          <w:sz w:val="24"/>
          <w:szCs w:val="24"/>
        </w:rPr>
      </w:pPr>
      <w:r>
        <w:t>Consigne-se que o órgão julgador não está obrigado a responder a todas as questões suscitadas pelas partes quando já encontrou motivo suficiente para proferir a decisão.</w:t>
      </w:r>
    </w:p>
    <w:p w:rsidR="00BF54CB" w:rsidRPr="00BF54CB" w:rsidRDefault="00BF54CB" w:rsidP="00A42FA1">
      <w:pPr>
        <w:spacing w:after="0" w:line="360" w:lineRule="auto"/>
        <w:ind w:firstLine="1418"/>
        <w:jc w:val="both"/>
        <w:rPr>
          <w:rFonts w:ascii="Arial" w:hAnsi="Arial"/>
          <w:sz w:val="24"/>
          <w:szCs w:val="24"/>
        </w:rPr>
      </w:pPr>
      <w:r>
        <w:t>Aliás, já decidiu o AUTOR(A) de Justiça que: “desde que os fundamentos adotados bastem para justificar o concluído na decisão, o julgador não está obrigado a rebater, um a um, os argumentos utilizados pela parte” (RSTJ 151/229).</w:t>
      </w:r>
    </w:p>
    <w:p w:rsidR="00BF54CB" w:rsidRPr="00BF54CB" w:rsidRDefault="00BF54CB" w:rsidP="00A42FA1">
      <w:pPr>
        <w:spacing w:after="0" w:line="360" w:lineRule="auto"/>
        <w:ind w:firstLine="1418"/>
        <w:jc w:val="both"/>
        <w:rPr>
          <w:rFonts w:ascii="Arial" w:hAnsi="Arial"/>
          <w:sz w:val="24"/>
          <w:szCs w:val="24"/>
        </w:rPr>
      </w:pPr>
      <w:r>
        <w:t>Confira-se, ainda: “se a fundamentação da conclusão a que chegou independe do enfrentamento dos dispositivos legais citados pela parte, inexiste omissão sanável através de embargos de declaração” (STJ-4ª Turma, Resp. 88.365-SP, rel. Min. AUTOR(A), j. 14.5.96, DJU 17.6.96, p. 21.497).</w:t>
      </w:r>
    </w:p>
    <w:p w:rsidR="00BF54CB" w:rsidRPr="00BF54CB" w:rsidRDefault="00BF54CB" w:rsidP="00BF54CB">
      <w:pPr>
        <w:spacing w:after="0" w:line="360" w:lineRule="auto"/>
        <w:ind w:firstLine="1418"/>
        <w:jc w:val="both"/>
        <w:rPr>
          <w:rFonts w:ascii="Arial" w:hAnsi="Arial"/>
          <w:sz w:val="24"/>
          <w:szCs w:val="24"/>
        </w:rPr>
      </w:pPr>
      <w:r>
        <w:t>Destarte, não padecendo o julgado dos vícios passíveis de serem sanados através de simples complementação, devem ser refutados por não consubstanciarem o instrumento adequado para rediscussão da causa, devendo o reexame e reforma do decidido serem perseguidos através do instrumento recursal apropriado, afastando o cabimento do presente recurso como sucedâneo do recurso apropriado para essa finalidade.</w:t>
      </w:r>
    </w:p>
    <w:p w:rsidR="00BF54CB" w:rsidRPr="00BF54CB" w:rsidRDefault="00BF54CB" w:rsidP="00BF54CB">
      <w:pPr>
        <w:spacing w:after="0" w:line="360" w:lineRule="auto"/>
        <w:ind w:firstLine="1418"/>
        <w:jc w:val="both"/>
        <w:rPr>
          <w:rFonts w:ascii="Arial" w:hAnsi="Arial"/>
          <w:sz w:val="24"/>
          <w:szCs w:val="24"/>
        </w:rPr>
      </w:pPr>
      <w:r/>
    </w:p>
    <w:p w:rsidR="008E4010" w:rsidRDefault="00BF54CB" w:rsidP="00BF54CB">
      <w:pPr>
        <w:spacing w:after="0" w:line="360" w:lineRule="auto"/>
        <w:ind w:firstLine="1418"/>
        <w:jc w:val="both"/>
        <w:rPr>
          <w:rFonts w:ascii="Arial" w:hAnsi="Arial"/>
          <w:sz w:val="24"/>
          <w:szCs w:val="24"/>
        </w:rPr>
      </w:pPr>
      <w:r>
        <w:t>Nestes termos, pelo meu voto, REJEITO os embargos de declaração opostos.</w:t>
      </w:r>
    </w:p>
    <w:p w:rsidR="00BF54CB" w:rsidRPr="000665B8" w:rsidRDefault="00BF54CB" w:rsidP="00BF54CB">
      <w:pPr>
        <w:spacing w:after="0" w:line="360" w:lineRule="auto"/>
        <w:ind w:firstLine="1418"/>
        <w:jc w:val="both"/>
        <w:rPr>
          <w:rFonts w:ascii="Arial" w:hAnsi="Arial" w:cs="Arial"/>
          <w:iCs/>
          <w:sz w:val="24"/>
        </w:rPr>
      </w:pPr>
      <w:r/>
    </w:p>
    <w:p w:rsidR="008E4010" w:rsidRPr="000665B8" w:rsidRDefault="008E4010" w:rsidP="008E4010">
      <w:pPr>
        <w:spacing w:after="0" w:line="360" w:lineRule="auto"/>
        <w:jc w:val="center"/>
        <w:rPr>
          <w:rFonts w:ascii="Arial" w:hAnsi="Arial"/>
          <w:b/>
          <w:sz w:val="24"/>
        </w:rPr>
      </w:pPr>
      <w:r>
        <w:tab/>
        <w:t>JOSÉ AUGUSTO GENOFRE MARTINS</w:t>
      </w:r>
    </w:p>
    <w:p w:rsidR="000C3DD1" w:rsidRDefault="008E4010" w:rsidP="003672DD">
      <w:pPr>
        <w:spacing w:after="0" w:line="360" w:lineRule="auto"/>
        <w:jc w:val="center"/>
      </w:pPr>
      <w:r>
        <w:t xml:space="preserve">        Relator</w:t>
      </w:r>
    </w:p>
    <w:sectPr w:rsidR="000C3DD1">
      <w:head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3855E8" w:rsidRDefault="003855E8">
      <w:pPr>
        <w:spacing w:after="0" w:line="240" w:lineRule="auto"/>
      </w:pPr>
      <w:r>
        <w:separator/>
      </w:r>
    </w:p>
  </w:endnote>
  <w:endnote w:type="continuationSeparator" w:id="0">
    <w:p w:rsidR="003855E8" w:rsidRDefault="003855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3855E8" w:rsidRDefault="003855E8">
      <w:pPr>
        <w:spacing w:after="0" w:line="240" w:lineRule="auto"/>
      </w:pPr>
      <w:r>
        <w:separator/>
      </w:r>
    </w:p>
  </w:footnote>
  <w:footnote w:type="continuationSeparator" w:id="0">
    <w:p w:rsidR="003855E8" w:rsidRDefault="003855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D31D83" w:rsidRPr="000665B8" w:rsidRDefault="00D31D83" w:rsidP="00D31D83">
    <w:pPr>
      <w:pStyle w:val="Cabealho"/>
      <w:spacing w:after="120" w:line="240" w:lineRule="auto"/>
      <w:rPr>
        <w:rFonts w:ascii="Times New Roman" w:hAnsi="Times New Roman"/>
      </w:rPr>
    </w:pPr>
  </w:p>
  <w:tbl>
    <w:tblPr>
      <w:tblW w:w="8360" w:type="dxa"/>
      <w:tblInd w:w="83" w:type="dxa"/>
      <w:tblLayout w:type="fixed"/>
      <w:tblLook w:val="0000" w:firstRow="0" w:lastRow="0" w:firstColumn="0" w:lastColumn="0" w:noHBand="0" w:noVBand="0"/>
    </w:tblPr>
    <w:tblGrid>
      <w:gridCol w:w="2490"/>
      <w:gridCol w:w="5870"/>
    </w:tblGrid>
    <w:tr w:rsidR="00D31D83" w:rsidRPr="000665B8" w:rsidTr="00D31D83">
      <w:tblPrEx>
        <w:tblCellMar>
          <w:top w:w="0" w:type="dxa"/>
          <w:bottom w:w="0" w:type="dxa"/>
        </w:tblCellMar>
      </w:tblPrEx>
      <w:trPr>
        <w:trHeight w:val="559"/>
      </w:trPr>
      <w:tc>
        <w:tcPr>
          <w:tcW w:w="2490" w:type="dxa"/>
          <w:tcBorders>
            <w:top w:val="nil"/>
            <w:left w:val="nil"/>
            <w:bottom w:val="nil"/>
            <w:right w:val="nil"/>
          </w:tcBorders>
          <w:vAlign w:val="center"/>
        </w:tcPr>
        <w:p w:rsidR="00D31D83" w:rsidRPr="000665B8" w:rsidRDefault="00D31D83" w:rsidP="00D31D83">
          <w:pPr>
            <w:autoSpaceDE w:val="0"/>
            <w:autoSpaceDN w:val="0"/>
            <w:adjustRightInd w:val="0"/>
            <w:spacing w:after="120" w:line="240" w:lineRule="auto"/>
            <w:rPr>
              <w:rFonts w:ascii="Times New Roman" w:hAnsi="Times New Roman"/>
            </w:rPr>
          </w:pPr>
          <w:r>
            <w:rPr>
              <w:rFonts w:ascii="Times New Roman" w:hAnsi="Times New Roman"/>
            </w:rPr>
            <w:t xml:space="preserve">       </w:t>
          </w:r>
          <w:r w:rsidRPr="000665B8">
            <w:rPr>
              <w:rFonts w:ascii="Times New Roman" w:hAnsi="Times New Roman"/>
            </w:rPr>
            <w:t xml:space="preserve"> </w:t>
          </w:r>
          <w:r w:rsidR="00271BEB" w:rsidRPr="00271BEB">
            <w:rPr>
              <w:rFonts w:ascii="Times New Roman" w:hAnsi="Times New Roman"/>
              <w:noProof/>
              <w:lang w:eastAsia="pt-B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 o:spid="_x0000_i1025" type="#_x0000_t75" alt="Logotipo_Pres_Crim" style="width:90.75pt;height:59.25pt;visibility:visible">
                <v:imagedata r:id="rId1" o:title="Logotipo_Pres_Crim"/>
              </v:shape>
            </w:pict>
          </w:r>
        </w:p>
      </w:tc>
      <w:tc>
        <w:tcPr>
          <w:tcW w:w="5870" w:type="dxa"/>
          <w:tcBorders>
            <w:top w:val="nil"/>
            <w:left w:val="nil"/>
            <w:bottom w:val="nil"/>
            <w:right w:val="nil"/>
          </w:tcBorders>
          <w:vAlign w:val="center"/>
        </w:tcPr>
        <w:p w:rsidR="00D31D83" w:rsidRPr="000665B8" w:rsidRDefault="00D31D83" w:rsidP="00D31D83">
          <w:pPr>
            <w:autoSpaceDE w:val="0"/>
            <w:autoSpaceDN w:val="0"/>
            <w:adjustRightInd w:val="0"/>
            <w:spacing w:after="120" w:line="240" w:lineRule="auto"/>
            <w:rPr>
              <w:rFonts w:ascii="Times New Roman" w:hAnsi="Times New Roman"/>
              <w:b/>
              <w:bCs/>
            </w:rPr>
          </w:pPr>
        </w:p>
        <w:p w:rsidR="00D31D83" w:rsidRPr="000665B8" w:rsidRDefault="00D31D83" w:rsidP="00D31D83">
          <w:pPr>
            <w:autoSpaceDE w:val="0"/>
            <w:autoSpaceDN w:val="0"/>
            <w:adjustRightInd w:val="0"/>
            <w:spacing w:after="120" w:line="240" w:lineRule="auto"/>
            <w:jc w:val="center"/>
            <w:rPr>
              <w:rFonts w:ascii="Times New Roman" w:hAnsi="Times New Roman"/>
              <w:b/>
              <w:bCs/>
            </w:rPr>
          </w:pPr>
          <w:r w:rsidRPr="000665B8">
            <w:rPr>
              <w:rFonts w:ascii="Times New Roman" w:hAnsi="Times New Roman"/>
              <w:b/>
              <w:bCs/>
            </w:rPr>
            <w:t>PODER JUDICIÁRIO</w:t>
          </w:r>
        </w:p>
        <w:p w:rsidR="00D31D83" w:rsidRPr="000665B8" w:rsidRDefault="00D31D83" w:rsidP="00D31D83">
          <w:pPr>
            <w:tabs>
              <w:tab w:val="left" w:pos="1905"/>
            </w:tabs>
            <w:autoSpaceDE w:val="0"/>
            <w:autoSpaceDN w:val="0"/>
            <w:adjustRightInd w:val="0"/>
            <w:spacing w:after="120" w:line="240" w:lineRule="auto"/>
            <w:jc w:val="center"/>
            <w:rPr>
              <w:rFonts w:ascii="Times New Roman" w:hAnsi="Times New Roman"/>
              <w:b/>
              <w:bCs/>
            </w:rPr>
          </w:pPr>
          <w:r w:rsidRPr="000665B8">
            <w:rPr>
              <w:rFonts w:ascii="Times New Roman" w:hAnsi="Times New Roman"/>
              <w:b/>
              <w:bCs/>
            </w:rPr>
            <w:t>TRIBUNAL DE JUSTIÇA DO ESTADO DE SÃO PAULO</w:t>
          </w:r>
        </w:p>
        <w:p w:rsidR="00D31D83" w:rsidRDefault="00D31D83" w:rsidP="00D31D83">
          <w:pPr>
            <w:autoSpaceDE w:val="0"/>
            <w:autoSpaceDN w:val="0"/>
            <w:adjustRightInd w:val="0"/>
            <w:spacing w:after="120" w:line="240" w:lineRule="auto"/>
            <w:jc w:val="center"/>
            <w:rPr>
              <w:rFonts w:ascii="Times New Roman" w:hAnsi="Times New Roman"/>
              <w:b/>
            </w:rPr>
          </w:pPr>
          <w:r w:rsidRPr="000665B8">
            <w:rPr>
              <w:rFonts w:ascii="Times New Roman" w:hAnsi="Times New Roman"/>
              <w:b/>
            </w:rPr>
            <w:t xml:space="preserve">Seção de Direito Privado - </w:t>
          </w:r>
          <w:r w:rsidR="008E0B58">
            <w:rPr>
              <w:rFonts w:ascii="Times New Roman" w:hAnsi="Times New Roman"/>
              <w:b/>
            </w:rPr>
            <w:t>31</w:t>
          </w:r>
          <w:r w:rsidRPr="000665B8">
            <w:rPr>
              <w:rFonts w:ascii="Times New Roman" w:hAnsi="Times New Roman"/>
              <w:b/>
            </w:rPr>
            <w:t>ª Câmara</w:t>
          </w:r>
        </w:p>
        <w:p w:rsidR="00D31D83" w:rsidRPr="000665B8" w:rsidRDefault="00D31D83" w:rsidP="00D31D83">
          <w:pPr>
            <w:autoSpaceDE w:val="0"/>
            <w:autoSpaceDN w:val="0"/>
            <w:adjustRightInd w:val="0"/>
            <w:spacing w:after="120" w:line="240" w:lineRule="auto"/>
            <w:jc w:val="center"/>
            <w:rPr>
              <w:rFonts w:ascii="Times New Roman" w:hAnsi="Times New Roman"/>
              <w:b/>
            </w:rPr>
          </w:pPr>
        </w:p>
      </w:tc>
    </w:tr>
  </w:tbl>
  <w:p w:rsidR="00D31D83" w:rsidRPr="000665B8" w:rsidRDefault="00D31D83" w:rsidP="00D31D83">
    <w:pPr>
      <w:pStyle w:val="Cabealho"/>
      <w:spacing w:after="120" w:line="240" w:lineRule="auto"/>
      <w:rPr>
        <w:rFonts w:ascii="Times New Roman" w:hAnsi="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E4010"/>
    <w:rsid w:val="0003475F"/>
    <w:rsid w:val="000504F4"/>
    <w:rsid w:val="00071C34"/>
    <w:rsid w:val="00096C42"/>
    <w:rsid w:val="000C3DD1"/>
    <w:rsid w:val="000D66B8"/>
    <w:rsid w:val="00117FF6"/>
    <w:rsid w:val="00122B5B"/>
    <w:rsid w:val="00157BCE"/>
    <w:rsid w:val="00186F0D"/>
    <w:rsid w:val="001F5B42"/>
    <w:rsid w:val="00207990"/>
    <w:rsid w:val="00271BEB"/>
    <w:rsid w:val="003672DD"/>
    <w:rsid w:val="00367E5C"/>
    <w:rsid w:val="003855E8"/>
    <w:rsid w:val="00395BEA"/>
    <w:rsid w:val="003D2EDE"/>
    <w:rsid w:val="00406899"/>
    <w:rsid w:val="00410CAC"/>
    <w:rsid w:val="00410ECC"/>
    <w:rsid w:val="004241F2"/>
    <w:rsid w:val="00460E00"/>
    <w:rsid w:val="006103C1"/>
    <w:rsid w:val="006563F4"/>
    <w:rsid w:val="0065666E"/>
    <w:rsid w:val="006653A2"/>
    <w:rsid w:val="006B09EC"/>
    <w:rsid w:val="006C6706"/>
    <w:rsid w:val="006D5A55"/>
    <w:rsid w:val="006E23F6"/>
    <w:rsid w:val="006F19F5"/>
    <w:rsid w:val="00710ECB"/>
    <w:rsid w:val="00723AB2"/>
    <w:rsid w:val="007522DC"/>
    <w:rsid w:val="00792D4B"/>
    <w:rsid w:val="007B5567"/>
    <w:rsid w:val="0086027A"/>
    <w:rsid w:val="008605E8"/>
    <w:rsid w:val="00861F70"/>
    <w:rsid w:val="008E06B4"/>
    <w:rsid w:val="008E0B58"/>
    <w:rsid w:val="008E4010"/>
    <w:rsid w:val="00943DC7"/>
    <w:rsid w:val="00974F74"/>
    <w:rsid w:val="009D3EDA"/>
    <w:rsid w:val="00A17FCA"/>
    <w:rsid w:val="00A42FA1"/>
    <w:rsid w:val="00A95A57"/>
    <w:rsid w:val="00A96BC8"/>
    <w:rsid w:val="00AF02FF"/>
    <w:rsid w:val="00B638F4"/>
    <w:rsid w:val="00B7480B"/>
    <w:rsid w:val="00BA7848"/>
    <w:rsid w:val="00BF54CB"/>
    <w:rsid w:val="00C05DBA"/>
    <w:rsid w:val="00C817B2"/>
    <w:rsid w:val="00C91C6E"/>
    <w:rsid w:val="00D31D83"/>
    <w:rsid w:val="00D43804"/>
    <w:rsid w:val="00DA04CD"/>
    <w:rsid w:val="00DD4A8B"/>
    <w:rsid w:val="00E02D49"/>
    <w:rsid w:val="00E271B7"/>
    <w:rsid w:val="00E41EDF"/>
    <w:rsid w:val="00E953C7"/>
    <w:rsid w:val="00ED5713"/>
    <w:rsid w:val="00EF2E14"/>
    <w:rsid w:val="00EF5A0E"/>
    <w:rsid w:val="00F0785F"/>
    <w:rsid w:val="00F14E35"/>
    <w:rsid w:val="00F4207B"/>
    <w:rsid w:val="00F47B6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8B2B25A4-11A5-4180-9C6F-0F2BE6889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4010"/>
    <w:pPr>
      <w:spacing w:after="200" w:line="276" w:lineRule="auto"/>
    </w:pPr>
    <w:rPr>
      <w:sz w:val="22"/>
      <w:szCs w:val="22"/>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8E4010"/>
    <w:pPr>
      <w:tabs>
        <w:tab w:val="center" w:pos="4252"/>
        <w:tab w:val="right" w:pos="8504"/>
      </w:tabs>
    </w:pPr>
  </w:style>
  <w:style w:type="character" w:customStyle="1" w:styleId="CabealhoChar">
    <w:name w:val="Cabeçalho Char"/>
    <w:link w:val="Cabealho"/>
    <w:uiPriority w:val="99"/>
    <w:rsid w:val="008E4010"/>
    <w:rPr>
      <w:rFonts w:ascii="Calibri" w:eastAsia="Calibri" w:hAnsi="Calibri" w:cs="Times New Roman"/>
    </w:rPr>
  </w:style>
  <w:style w:type="paragraph" w:styleId="Recuodecorpodetexto">
    <w:name w:val="Body Text Indent"/>
    <w:basedOn w:val="Normal"/>
    <w:link w:val="RecuodecorpodetextoChar"/>
    <w:rsid w:val="008E4010"/>
    <w:pPr>
      <w:spacing w:after="0" w:line="360" w:lineRule="auto"/>
      <w:ind w:left="2268"/>
      <w:jc w:val="both"/>
    </w:pPr>
    <w:rPr>
      <w:rFonts w:ascii="Times New Roman" w:eastAsia="Times New Roman" w:hAnsi="Times New Roman"/>
      <w:b/>
      <w:iCs/>
      <w:sz w:val="20"/>
      <w:szCs w:val="20"/>
      <w:lang w:eastAsia="pt-BR"/>
    </w:rPr>
  </w:style>
  <w:style w:type="character" w:customStyle="1" w:styleId="RecuodecorpodetextoChar">
    <w:name w:val="Recuo de corpo de texto Char"/>
    <w:link w:val="Recuodecorpodetexto"/>
    <w:rsid w:val="008E4010"/>
    <w:rPr>
      <w:rFonts w:ascii="Times New Roman" w:eastAsia="Times New Roman" w:hAnsi="Times New Roman" w:cs="Times New Roman"/>
      <w:b/>
      <w:iCs/>
      <w:sz w:val="20"/>
      <w:szCs w:val="20"/>
      <w:lang w:eastAsia="pt-BR"/>
    </w:rPr>
  </w:style>
  <w:style w:type="paragraph" w:styleId="Textodebalo">
    <w:name w:val="Balloon Text"/>
    <w:basedOn w:val="Normal"/>
    <w:link w:val="TextodebaloChar"/>
    <w:uiPriority w:val="99"/>
    <w:semiHidden/>
    <w:unhideWhenUsed/>
    <w:rsid w:val="008E4010"/>
    <w:pPr>
      <w:spacing w:after="0" w:line="240" w:lineRule="auto"/>
    </w:pPr>
    <w:rPr>
      <w:rFonts w:ascii="Tahoma" w:hAnsi="Tahoma" w:cs="Tahoma"/>
      <w:sz w:val="16"/>
      <w:szCs w:val="16"/>
    </w:rPr>
  </w:style>
  <w:style w:type="character" w:customStyle="1" w:styleId="TextodebaloChar">
    <w:name w:val="Texto de balão Char"/>
    <w:link w:val="Textodebalo"/>
    <w:uiPriority w:val="99"/>
    <w:semiHidden/>
    <w:rsid w:val="008E4010"/>
    <w:rPr>
      <w:rFonts w:ascii="Tahoma" w:eastAsia="Calibri" w:hAnsi="Tahoma" w:cs="Tahoma"/>
      <w:sz w:val="16"/>
      <w:szCs w:val="16"/>
    </w:rPr>
  </w:style>
  <w:style w:type="paragraph" w:styleId="NormalWeb">
    <w:name w:val="Normal (Web)"/>
    <w:basedOn w:val="Normal"/>
    <w:uiPriority w:val="99"/>
    <w:semiHidden/>
    <w:unhideWhenUsed/>
    <w:rsid w:val="00F47B6C"/>
    <w:pPr>
      <w:spacing w:before="100" w:beforeAutospacing="1" w:after="100" w:afterAutospacing="1" w:line="240" w:lineRule="auto"/>
    </w:pPr>
    <w:rPr>
      <w:rFonts w:ascii="Times New Roman" w:eastAsia="Times New Roman" w:hAnsi="Times New Roman"/>
      <w:sz w:val="24"/>
      <w:szCs w:val="24"/>
      <w:lang w:eastAsia="pt-BR"/>
    </w:rPr>
  </w:style>
  <w:style w:type="paragraph" w:styleId="Rodap">
    <w:name w:val="footer"/>
    <w:basedOn w:val="Normal"/>
    <w:link w:val="RodapChar"/>
    <w:uiPriority w:val="99"/>
    <w:unhideWhenUsed/>
    <w:rsid w:val="00117FF6"/>
    <w:pPr>
      <w:tabs>
        <w:tab w:val="center" w:pos="4252"/>
        <w:tab w:val="right" w:pos="8504"/>
      </w:tabs>
    </w:pPr>
  </w:style>
  <w:style w:type="character" w:customStyle="1" w:styleId="RodapChar">
    <w:name w:val="Rodapé Char"/>
    <w:link w:val="Rodap"/>
    <w:uiPriority w:val="99"/>
    <w:rsid w:val="00117FF6"/>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4996900">
      <w:bodyDiv w:val="1"/>
      <w:marLeft w:val="0"/>
      <w:marRight w:val="0"/>
      <w:marTop w:val="0"/>
      <w:marBottom w:val="0"/>
      <w:divBdr>
        <w:top w:val="none" w:sz="0" w:space="0" w:color="auto"/>
        <w:left w:val="none" w:sz="0" w:space="0" w:color="auto"/>
        <w:bottom w:val="none" w:sz="0" w:space="0" w:color="auto"/>
        <w:right w:val="none" w:sz="0" w:space="0" w:color="auto"/>
      </w:divBdr>
    </w:div>
    <w:div w:id="1535967828">
      <w:bodyDiv w:val="1"/>
      <w:marLeft w:val="0"/>
      <w:marRight w:val="0"/>
      <w:marTop w:val="0"/>
      <w:marBottom w:val="0"/>
      <w:divBdr>
        <w:top w:val="none" w:sz="0" w:space="0" w:color="auto"/>
        <w:left w:val="none" w:sz="0" w:space="0" w:color="auto"/>
        <w:bottom w:val="none" w:sz="0" w:space="0" w:color="auto"/>
        <w:right w:val="none" w:sz="0" w:space="0" w:color="auto"/>
      </w:divBdr>
    </w:div>
    <w:div w:id="1823082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F265A500D9E75A4187596C335A730F04" ma:contentTypeVersion="6" ma:contentTypeDescription="Crie um novo documento." ma:contentTypeScope="" ma:versionID="24e3c85ac68404ddce5361c0cd4720ee">
  <xsd:schema xmlns:xsd="http://www.w3.org/2001/XMLSchema" xmlns:xs="http://www.w3.org/2001/XMLSchema" xmlns:p="http://schemas.microsoft.com/office/2006/metadata/properties" xmlns:ns2="02e99757-a194-41f7-92b9-bb32d67ecd21" xmlns:ns3="45ff75f7-77ec-4369-9126-ece81740ce50" targetNamespace="http://schemas.microsoft.com/office/2006/metadata/properties" ma:root="true" ma:fieldsID="39b09e5fc27711b76ccec586c4bf132e" ns2:_="" ns3:_="">
    <xsd:import namespace="02e99757-a194-41f7-92b9-bb32d67ecd21"/>
    <xsd:import namespace="45ff75f7-77ec-4369-9126-ece81740ce5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e99757-a194-41f7-92b9-bb32d67ecd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5ff75f7-77ec-4369-9126-ece81740ce50" elementFormDefault="qualified">
    <xsd:import namespace="http://schemas.microsoft.com/office/2006/documentManagement/types"/>
    <xsd:import namespace="http://schemas.microsoft.com/office/infopath/2007/PartnerControls"/>
    <xsd:element name="SharedWithUsers" ma:index="10"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hes de Com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33B150B-E25D-48D3-ABA9-1A0D4F610C9C}">
  <ds:schemaRefs>
    <ds:schemaRef ds:uri="http://schemas.microsoft.com/sharepoint/v3/contenttype/forms"/>
  </ds:schemaRefs>
</ds:datastoreItem>
</file>

<file path=customXml/itemProps2.xml><?xml version="1.0" encoding="utf-8"?>
<ds:datastoreItem xmlns:ds="http://schemas.openxmlformats.org/officeDocument/2006/customXml" ds:itemID="{C5537D66-08A6-4BEB-BCFB-1605D9C085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e99757-a194-41f7-92b9-bb32d67ecd21"/>
    <ds:schemaRef ds:uri="45ff75f7-77ec-4369-9126-ece81740ce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BF1F334-29D8-4E37-8DFB-557E36DFDEB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994</Words>
  <Characters>5369</Characters>
  <Application>Microsoft Office Word</Application>
  <DocSecurity>4</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Usuário do Windows</dc:creator>
  <cp:keywords/>
  <cp:lastModifiedBy>DENISE OLIVEIRA DOS SANTOS</cp:lastModifiedBy>
  <cp:revision>2</cp:revision>
  <cp:lastPrinted>2022-02-16T18:29:00Z</cp:lastPrinted>
  <dcterms:created xsi:type="dcterms:W3CDTF">2025-06-11T23:29:00Z</dcterms:created>
  <dcterms:modified xsi:type="dcterms:W3CDTF">2025-06-11T23:29:00Z</dcterms:modified>
</cp:coreProperties>
</file>