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BARUERI – 4ª VARA CÍVEL </w:t>
      </w:r>
    </w:p>
    <w:p w:rsidR="00D14C33" w:rsidRPr="006A6130" w:rsidRDefault="00D14C33" w:rsidP="00D14C33">
      <w:pPr>
        <w:spacing w:after="0" w:line="360" w:lineRule="auto"/>
        <w:jc w:val="both"/>
        <w:rPr>
          <w:rFonts w:ascii="Arial" w:hAnsi="Arial" w:cs="Arial"/>
          <w:b/>
          <w:bCs/>
          <w:sz w:val="24"/>
        </w:rPr>
      </w:pPr>
      <w:r>
        <w:t>APELANTES: AUTOR(A). / AUTOR(A).</w:t>
      </w:r>
    </w:p>
    <w:p w:rsidR="00D14C33" w:rsidRPr="00853E15" w:rsidRDefault="00D14C33" w:rsidP="00D14C33">
      <w:pPr>
        <w:spacing w:after="0" w:line="360" w:lineRule="auto"/>
        <w:jc w:val="both"/>
        <w:rPr>
          <w:rFonts w:ascii="Arial" w:hAnsi="Arial" w:cs="Arial"/>
          <w:b/>
          <w:bCs/>
          <w:sz w:val="24"/>
        </w:rPr>
      </w:pPr>
      <w:r>
        <w:t>APELADOS: AUTOR(A). / AUTOR(A).</w:t>
      </w:r>
    </w:p>
    <w:p w:rsidR="00D14C33" w:rsidRPr="00853E15" w:rsidRDefault="00D14C33" w:rsidP="00D14C33">
      <w:pPr>
        <w:spacing w:after="0" w:line="360" w:lineRule="auto"/>
        <w:jc w:val="both"/>
        <w:rPr>
          <w:rFonts w:ascii="Arial" w:hAnsi="Arial" w:cs="Arial"/>
          <w:sz w:val="24"/>
        </w:rPr>
      </w:pPr>
      <w:r>
        <w:t>JUIZ PROLATOR: AUTOR(A) da Costa</w:t>
      </w:r>
    </w:p>
    <w:p w:rsidR="00D14C33" w:rsidRDefault="00D14C33" w:rsidP="00D14C33">
      <w:pPr>
        <w:spacing w:after="0" w:line="360" w:lineRule="auto"/>
        <w:jc w:val="both"/>
        <w:rPr>
          <w:rFonts w:ascii="Arial" w:hAnsi="Arial" w:cs="Arial"/>
          <w:b/>
          <w:sz w:val="24"/>
        </w:rPr>
      </w:pPr>
      <w:r>
        <w:t>VOTO Nº 9958</w:t>
      </w:r>
    </w:p>
    <w:p w:rsidR="00D14C33" w:rsidRDefault="00D14C33" w:rsidP="00D14C33">
      <w:pPr>
        <w:spacing w:after="0" w:line="360" w:lineRule="auto"/>
        <w:jc w:val="both"/>
        <w:rPr>
          <w:rFonts w:ascii="Arial" w:hAnsi="Arial" w:cs="Arial"/>
          <w:sz w:val="24"/>
        </w:rPr>
      </w:pPr>
      <w:r/>
    </w:p>
    <w:p w:rsidR="00EF2980" w:rsidRPr="00324889" w:rsidRDefault="00EF2980" w:rsidP="00D14C33">
      <w:pPr>
        <w:spacing w:after="0" w:line="360" w:lineRule="auto"/>
        <w:jc w:val="both"/>
        <w:rPr>
          <w:rFonts w:ascii="Arial" w:hAnsi="Arial" w:cs="Arial"/>
          <w:sz w:val="24"/>
        </w:rPr>
      </w:pPr>
      <w:r/>
    </w:p>
    <w:p w:rsidR="00D14C33" w:rsidRDefault="00F84829" w:rsidP="00D14C33">
      <w:pPr>
        <w:pStyle w:val="Recuodecorpodetexto"/>
        <w:rPr>
          <w:rFonts w:ascii="Arial" w:hAnsi="Arial" w:cs="Arial"/>
          <w:sz w:val="22"/>
          <w:szCs w:val="22"/>
        </w:rPr>
      </w:pPr>
      <w:r>
        <w:t>APELAÇÃO – AÇÃO DECLARATÓRIA DE INEXIGIBILIDADE DE DÉBITO – PRESTAÇÃO DE SERVIÇOS – Sentença de procedência para declarar inexigível o valor inscrito e determinar o cancelamento do apontamento em cadastro de inadimplentes – Insurgência da parte autora quanto à fixação dos honorários advocatícios, eis que fixados sobre o valor da causa, que ensejou a verba honorária ínfima – Insurgência do réu quanto ao mérito da decisão – Legitimidade da cobrança do débito não comprovada – Ausência de provas quanto à realização de serviços extras e legitimidade da inscrição – Aplicável a teoria da distribuição dinâmica do ônus da prova, visando evitar a prova negativa – Sentença parcialmente reformada tão somente para arbitrar os honorários advocatícios por equidade, fixados em R$ 1.000,00, dada a baixa complexidade da causa - Sentença mantida quanto ao mérito – Honorários advocatícios arbitrados por equidade, majorados em fase recursal – Recurso da parte autora provido e da parte ré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EF2980" w:rsidRDefault="00D14C33" w:rsidP="00EF2980">
      <w:pPr>
        <w:spacing w:after="0" w:line="360" w:lineRule="auto"/>
        <w:ind w:firstLine="1418"/>
        <w:jc w:val="both"/>
        <w:rPr>
          <w:rFonts w:ascii="Arial" w:hAnsi="Arial" w:cs="Arial"/>
          <w:b/>
          <w:sz w:val="24"/>
        </w:rPr>
      </w:pPr>
      <w:r>
        <w:t>Vistos.</w:t>
      </w:r>
    </w:p>
    <w:p w:rsidR="00EF2980" w:rsidRDefault="00EF2980" w:rsidP="00EF2980">
      <w:pPr>
        <w:spacing w:after="0" w:line="360" w:lineRule="auto"/>
        <w:ind w:firstLine="1418"/>
        <w:jc w:val="both"/>
        <w:rPr>
          <w:rFonts w:ascii="Arial" w:hAnsi="Arial" w:cs="Arial"/>
          <w:b/>
          <w:sz w:val="24"/>
        </w:rPr>
      </w:pPr>
      <w:r/>
    </w:p>
    <w:p w:rsidR="00EF2980" w:rsidRDefault="00EF2980" w:rsidP="00EF2980">
      <w:pPr>
        <w:spacing w:after="0" w:line="360" w:lineRule="auto"/>
        <w:ind w:firstLine="1418"/>
        <w:jc w:val="both"/>
        <w:rPr>
          <w:rFonts w:ascii="Arial" w:hAnsi="Arial" w:cs="Arial"/>
          <w:b/>
          <w:sz w:val="24"/>
        </w:rPr>
      </w:pPr>
      <w:r/>
    </w:p>
    <w:p w:rsidR="00D14C33" w:rsidRPr="00EF2980" w:rsidRDefault="00D14C33" w:rsidP="00EF2980">
      <w:pPr>
        <w:spacing w:after="0" w:line="360" w:lineRule="auto"/>
        <w:ind w:firstLine="1418"/>
        <w:jc w:val="both"/>
        <w:rPr>
          <w:rFonts w:ascii="Arial" w:hAnsi="Arial" w:cs="Arial"/>
          <w:b/>
          <w:sz w:val="24"/>
        </w:rPr>
      </w:pPr>
      <w:r>
        <w:t>Trata-se de ação declaratória de inexigibilidade de débito fundada em prestação de serviços ajuizada por AUTOR(A). em face de AUTOR(A)., julgada procedente pela r. sentença de fls. 215/218, cujo relatório se adota, para “(...) declarar inexigível o valor inscrito de R$2.000,40 e, confirmada a tutela concedida, determinar o cancelamento definitivo do apontamento, expedindo-se ofício ao Serasa”.</w:t>
        <w:br/>
        <w:t xml:space="preserve"> </w:t>
      </w:r>
    </w:p>
    <w:p w:rsidR="00926947" w:rsidRDefault="00D14C33" w:rsidP="00926947">
      <w:pPr>
        <w:spacing w:line="360" w:lineRule="auto"/>
        <w:ind w:firstLine="1418"/>
        <w:jc w:val="both"/>
        <w:rPr>
          <w:rFonts w:ascii="Arial" w:hAnsi="Arial" w:cs="Arial"/>
          <w:sz w:val="24"/>
        </w:rPr>
      </w:pPr>
      <w:r>
        <w:t>Inconformadas, recorrem o patrono da autora e o réu (patrono da autora às fls.221/225 e réu às fls. 228/237, buscando a reforma do julgado. A parte autora se insurgiu somente em relação aos honorários advocatícios, eis que o percentual de 10% corresponde a R$ 200,00, o que entende ser um valor incompatível com o exercício da advocacia. Pugna pelo arbitramento por equidade ou, alternativamente, que seja fixado nos termos do §§ 8º e 8º-A, do CPC, no importe de R$ 5.511,73. O réu, por sua vez aduz que a sentença merece reforma, pois não valorou adequadamente as provas de que os serviços foram prestados e cobrados conforme o contrato, sendo a inscrição nos cadastros de inadimplência exercício regular de direito. Alega que a relação não é de consumo, cabendo à autora provar a quitação do débito, o que não fez, requerendo, assim, a improcedência dos pedidos iniciais.</w:t>
      </w:r>
    </w:p>
    <w:p w:rsidR="00D14C33" w:rsidRDefault="00D14C33" w:rsidP="00926947">
      <w:pPr>
        <w:spacing w:line="360" w:lineRule="auto"/>
        <w:ind w:firstLine="1418"/>
        <w:jc w:val="both"/>
        <w:rPr>
          <w:rFonts w:ascii="Arial" w:hAnsi="Arial" w:cs="Arial"/>
          <w:sz w:val="24"/>
        </w:rPr>
      </w:pPr>
      <w:r>
        <w:t>Recursos tempestivos, preparados (fls. 226/227 e 238/239) e regularmente processado, com contrarrazões (fls. 247/252 e 253/256).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apresentados nas razões recursais, pelo meu voto, dou provimento ao recurso da parte autora e nego provimento ao recurso da parte ré.</w:t>
      </w:r>
    </w:p>
    <w:p w:rsidR="00D14C33" w:rsidRDefault="00D14C33" w:rsidP="00D14C33">
      <w:pPr>
        <w:tabs>
          <w:tab w:val="center" w:pos="4961"/>
        </w:tabs>
        <w:spacing w:line="360" w:lineRule="auto"/>
        <w:ind w:firstLine="1418"/>
        <w:jc w:val="both"/>
        <w:rPr>
          <w:rFonts w:ascii="Arial" w:hAnsi="Arial" w:cs="Arial"/>
          <w:sz w:val="24"/>
        </w:rPr>
      </w:pPr>
      <w:r>
        <w:t>Narra a parte autora em sua inicial que celebrou contrato com a ré para prestação de serviços de controle integrado de pragas, com vigência de outubro de 2019 a janeiro de 2021, ao custo mensal de R$ 1.350,00, sendo rescindido pela autora em dezembro de 2020 devido à má prestação dos serviços. Afirma que, seis meses após a rescisão, a ré apresentou uma cobrança de R$ 53.816,59 sem especificar a origem do débito e negativou indevidamente o nome da autora no valor de R$ 2.000,40, que não consta sequer na planilha apresentada. Alega que a cobrança é abusiva, desproporcional ao contrato e sem amparo legal, pleiteando a declaração de inexigibilidade do débito.</w:t>
      </w:r>
    </w:p>
    <w:p w:rsidR="000F6337" w:rsidRDefault="001575A4" w:rsidP="00D14C33">
      <w:pPr>
        <w:tabs>
          <w:tab w:val="center" w:pos="4961"/>
        </w:tabs>
        <w:spacing w:line="360" w:lineRule="auto"/>
        <w:ind w:firstLine="1418"/>
        <w:jc w:val="both"/>
        <w:rPr>
          <w:rFonts w:ascii="Arial" w:hAnsi="Arial" w:cs="Arial"/>
          <w:sz w:val="24"/>
        </w:rPr>
      </w:pPr>
      <w:r>
        <w:t>Em sede de contestação, a parte ré asseverou que celebrou contrato com a autora, tendo cumprido todas as obrigações contratuais mediante a prestação dos serviços, apresentação de medições e emissão de notas fiscais, enquanto cabia à autora pagar os valores devidos ou impugná-los formalmente, o que não foi feito. Argumentou que a relação contratual está regida pelos princípios da boa-fé e do pacta sunt servanda, conferindo validade às cobranças realizadas e à inscrição da dívida nos cadastros de inadimplência como exercício regular de direito. Destacou, ainda, que a autora não comprovou a quitação do débito, razão pela qual pugna pela improcedência total dos pedidos iniciais e pela revogação da tutela antecipada concedida.</w:t>
      </w:r>
    </w:p>
    <w:p w:rsidR="000F6337" w:rsidRDefault="001575A4" w:rsidP="00D14C33">
      <w:pPr>
        <w:tabs>
          <w:tab w:val="center" w:pos="4961"/>
        </w:tabs>
        <w:spacing w:line="360" w:lineRule="auto"/>
        <w:ind w:firstLine="1418"/>
        <w:jc w:val="both"/>
        <w:rPr>
          <w:rFonts w:ascii="Arial" w:hAnsi="Arial" w:cs="Arial"/>
          <w:sz w:val="24"/>
        </w:rPr>
      </w:pPr>
      <w:r>
        <w:t>Adveio, então, a r. sentença ora guerreada.</w:t>
      </w:r>
    </w:p>
    <w:p w:rsidR="001575A4" w:rsidRDefault="001575A4" w:rsidP="00D14C33">
      <w:pPr>
        <w:tabs>
          <w:tab w:val="center" w:pos="4961"/>
        </w:tabs>
        <w:spacing w:line="360" w:lineRule="auto"/>
        <w:ind w:firstLine="1418"/>
        <w:jc w:val="both"/>
        <w:rPr>
          <w:rFonts w:ascii="Arial" w:hAnsi="Arial" w:cs="Arial"/>
          <w:sz w:val="24"/>
        </w:rPr>
      </w:pPr>
      <w:r>
        <w:t>Pois bem.</w:t>
      </w:r>
    </w:p>
    <w:p w:rsidR="001575A4" w:rsidRDefault="001575A4" w:rsidP="00D14C33">
      <w:pPr>
        <w:tabs>
          <w:tab w:val="center" w:pos="4961"/>
        </w:tabs>
        <w:spacing w:line="360" w:lineRule="auto"/>
        <w:ind w:firstLine="1418"/>
        <w:jc w:val="both"/>
        <w:rPr>
          <w:rFonts w:ascii="Arial" w:hAnsi="Arial" w:cs="Arial"/>
          <w:sz w:val="24"/>
        </w:rPr>
      </w:pPr>
      <w:r>
        <w:t>Inicialmente, não é demais reforçar que a advocacia é essencial para a garantia do direito e da justiça, sendo indispensável à administração da justiça. Por meio de sua atuação técnica, ética e comprometida, o advogado assegura o acesso à tutela jurisdicional e a defesa dos interesses de seus clientes. Nesse contexto, é fundamental que o trabalho advocatício seja devidamente remunerado, tanto em respeito à dignidade da profissão quanto para assegurar a sustentabilidade de seu exercício.</w:t>
      </w:r>
    </w:p>
    <w:p w:rsidR="00FA595F" w:rsidRDefault="00FA595F" w:rsidP="00FA595F">
      <w:pPr>
        <w:tabs>
          <w:tab w:val="center" w:pos="4961"/>
        </w:tabs>
        <w:spacing w:line="360" w:lineRule="auto"/>
        <w:ind w:firstLine="1418"/>
        <w:jc w:val="both"/>
        <w:rPr>
          <w:rFonts w:ascii="Arial" w:hAnsi="Arial" w:cs="Arial"/>
          <w:sz w:val="24"/>
        </w:rPr>
      </w:pPr>
      <w:r>
        <w:t>Nesse sentido, considerando que a fixação dos honorários advocatícios nos temos do art. 85, 2º do CPC importa em uma verba honorária ínfima, entendo que a hipótese dos autos comporta fixação dos honorários advocatícios por equidade.</w:t>
      </w:r>
    </w:p>
    <w:p w:rsidR="00FA595F" w:rsidRPr="00FA595F" w:rsidRDefault="00FA595F" w:rsidP="00FA595F">
      <w:pPr>
        <w:tabs>
          <w:tab w:val="center" w:pos="4961"/>
        </w:tabs>
        <w:spacing w:line="360" w:lineRule="auto"/>
        <w:ind w:firstLine="1418"/>
        <w:jc w:val="both"/>
        <w:rPr>
          <w:rFonts w:ascii="Arial" w:hAnsi="Arial" w:cs="Arial"/>
          <w:sz w:val="24"/>
        </w:rPr>
      </w:pPr>
      <w:r>
        <w:t>O débito objeto dos autos tem o valor de R$ 2.400,40, de modo que a fixação dos honorários de forma equitativa se faz necessária e está em perfeita consonância com a prática predominante deste Tribunal, garantindo justa remuneração ao trabalho realizado, sem comprometer a razoabilidade. A jurisprudência amplamente aceita reconhece que a equidade, nestes casos, é um instrumento necessário para evitar que a verba honorária se torne irrisória.</w:t>
      </w:r>
    </w:p>
    <w:p w:rsidR="00FA595F" w:rsidRDefault="00FA595F" w:rsidP="00FA595F">
      <w:pPr>
        <w:tabs>
          <w:tab w:val="center" w:pos="4961"/>
        </w:tabs>
        <w:spacing w:line="360" w:lineRule="auto"/>
        <w:ind w:firstLine="1418"/>
        <w:jc w:val="both"/>
        <w:rPr>
          <w:rFonts w:ascii="Arial" w:hAnsi="Arial" w:cs="Arial"/>
          <w:sz w:val="24"/>
        </w:rPr>
      </w:pPr>
      <w:r>
        <w:t>Ressalte-se, ainda, que os valores mínimos sugeridos na tabela de honorários da OAB servem apenas como parâmetros indicativos, não sendo vinculativos para o magistrado. Cabe ao julgador, ao arbitrar os honorários, considerar os critérios do art. 85, § 2º, do CPC, como o grau de zelo do profissional, o lugar de prestação do serviço e a natureza e importância da causa, assim como o trabalho realizado pelo advogado e o tempo exigido para o seu serviço. No presente caso, a simplicidade da causa e o baixo valor envolvido justificam plenamente a fixação dos honorários por equidade.</w:t>
      </w:r>
    </w:p>
    <w:p w:rsidR="00A6750E" w:rsidRDefault="00A6750E" w:rsidP="00D14C33">
      <w:pPr>
        <w:tabs>
          <w:tab w:val="center" w:pos="4961"/>
        </w:tabs>
        <w:spacing w:line="360" w:lineRule="auto"/>
        <w:ind w:firstLine="1418"/>
        <w:jc w:val="both"/>
        <w:rPr>
          <w:rFonts w:ascii="Arial" w:hAnsi="Arial" w:cs="Arial"/>
          <w:sz w:val="24"/>
        </w:rPr>
      </w:pPr>
      <w:r>
        <w:t>Assim já decidiu esta. C. Câmara:</w:t>
      </w:r>
    </w:p>
    <w:p w:rsidR="001575A4" w:rsidRDefault="00A6750E" w:rsidP="00DD51A4">
      <w:pPr>
        <w:tabs>
          <w:tab w:val="center" w:pos="4961"/>
        </w:tabs>
        <w:spacing w:line="360" w:lineRule="auto"/>
        <w:ind w:firstLine="1418"/>
        <w:jc w:val="both"/>
        <w:rPr>
          <w:rFonts w:ascii="Arial" w:hAnsi="Arial" w:cs="Arial"/>
          <w:sz w:val="24"/>
        </w:rPr>
      </w:pPr>
      <w:r>
        <w:t>“APELAÇÃO. Condomínio. Ação de obrigação de fazer. Sentença de procedência. Apelo do réu visando apenas à redução dos honorários advocatícios sucumbenciais. Ação de obrigação de fazer consistente em não impedir o uso de vagas de garagem por visitantes. Valor da causa muito baixo. Critério da equidade. Art. 85, § 8º, do CPC/15. Parâmetros elencados no art. 85, § 2º, do CPC/15. Causa de baixa complexidade. Patronos da autora que têm escritório na mesma cidade em que tramita a ação. Ausência de dilação probatória. Redução dos honorários advocatícios sucumbenciais de R$ 3.000,00 para R$ 2.000,00. Valor que remunera dignamente os advogados da autora. Valor pleiteado pelo apelante, de R$ 1.000,00 ou menos, que seria aviltante à profissão. Sentença parcialmente reformada. Apelação parcialmente provida” (TJSP; Apelação Cível 0000000-00.0000.0.00.0000; Relator (a): AUTOR(A); Órgão Julgador: 29ª Câmara de AUTOR(A); AUTOR(A) Cível - [VARA]; Data do Julgamento: 14/03/2018; Data de Registro: 14/03/2018)</w:t>
      </w:r>
    </w:p>
    <w:p w:rsidR="00021EE3" w:rsidRDefault="00021EE3" w:rsidP="00DD51A4">
      <w:pPr>
        <w:tabs>
          <w:tab w:val="center" w:pos="4961"/>
        </w:tabs>
        <w:spacing w:line="360" w:lineRule="auto"/>
        <w:ind w:firstLine="1418"/>
        <w:jc w:val="both"/>
        <w:rPr>
          <w:rFonts w:ascii="Arial" w:hAnsi="Arial" w:cs="Arial"/>
          <w:sz w:val="24"/>
        </w:rPr>
      </w:pPr>
      <w:r>
        <w:t>“Prestação de serviços - Parcial procedência da demanda – Honorários da sucumbência fixados em 10% sobre o valor da condenação - Pretensão da majoração dos honorários de acordo com o Artigo 85, § 8º - A, do Código de AUTOR(A) – A tabela da OAB representa mera recomendação e referência para o fim de arbitramento equitativo – Honorários da sucumbência devem ser fixados por equidade em R$ 1.000,00, observando-se os requisitos do art. 85, § 2º do Código de AUTOR(A), e que é suficiente para remuneração condigna do advogado - Apelo parcialmente provido.” (TJSP; Apelação Cível 0000000-00.0000.0.00.0000; Relator (a): Mário Daccache; Órgão Julgador: 29ª Câmara de AUTOR(A); AUTOR(A) VII - Itaquera - [VARA]; Data do Julgamento: 30/09/2024; Data de Registro: 30/09/2024)</w:t>
      </w:r>
    </w:p>
    <w:p w:rsidR="00021EE3" w:rsidRPr="00021EE3" w:rsidRDefault="00021EE3" w:rsidP="00021EE3">
      <w:pPr>
        <w:spacing w:after="100" w:line="360" w:lineRule="auto"/>
        <w:ind w:firstLine="1418"/>
        <w:jc w:val="both"/>
        <w:rPr>
          <w:rFonts w:ascii="Arial" w:hAnsi="Arial" w:cs="Arial"/>
          <w:color w:val="000000"/>
          <w:sz w:val="24"/>
          <w:szCs w:val="24"/>
        </w:rPr>
      </w:pPr>
      <w:r>
        <w:t>Quanto às razões da parte ré, entendo que não há o que reformar na r. sentença proferida. Com efeito, 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021EE3" w:rsidRPr="00021EE3" w:rsidRDefault="00021EE3" w:rsidP="00021EE3">
      <w:pPr>
        <w:tabs>
          <w:tab w:val="center" w:pos="4961"/>
        </w:tabs>
        <w:spacing w:line="360" w:lineRule="auto"/>
        <w:ind w:firstLine="1418"/>
        <w:jc w:val="both"/>
        <w:rPr>
          <w:rFonts w:ascii="Arial" w:hAnsi="Arial" w:cs="Arial"/>
          <w:b/>
          <w:bCs/>
        </w:rPr>
      </w:pPr>
      <w:r>
        <w:t>Ora, a r. sentença andou bem ao reconhecer a inexigibilidade do débito em comento, mormente porque “(...) da prova dos autos depreende-se que a ré não demonstrou a regularidade da cobrança do valor de R$ 2.000,40, supostamente fundado na NF 164855, eis que não comprovou a realização de serviços extras, não previstos no contrato para o mês de emissão da referida nota fiscal (maio/2020) ou eventualmente para os meses anteriores, o que seria necessário a justificar a cobrança e a negativação do nome da autora.</w:t>
      </w:r>
    </w:p>
    <w:p w:rsidR="00021EE3" w:rsidRPr="00021EE3" w:rsidRDefault="00021EE3" w:rsidP="00021EE3">
      <w:pPr>
        <w:tabs>
          <w:tab w:val="center" w:pos="4961"/>
        </w:tabs>
        <w:spacing w:line="360" w:lineRule="auto"/>
        <w:ind w:firstLine="1418"/>
        <w:jc w:val="both"/>
        <w:rPr>
          <w:rFonts w:ascii="Arial" w:hAnsi="Arial" w:cs="Arial"/>
          <w:b/>
          <w:bCs/>
        </w:rPr>
      </w:pPr>
      <w:r>
        <w:t>Aliás, como bem pontuado por esta última, no relatório de pendências enviado à autora por e-mail (fls. 60/63), não consta o valor inscrito (R$ 2.000,40) nem o da NF em questão (R$ 2.400,00), não tendo ela demonstrado, por conseguinte, a origem do débito e a regularidade da negativação.</w:t>
      </w:r>
    </w:p>
    <w:p w:rsidR="00021EE3" w:rsidRPr="00021EE3" w:rsidRDefault="00021EE3" w:rsidP="00021EE3">
      <w:pPr>
        <w:tabs>
          <w:tab w:val="center" w:pos="4961"/>
        </w:tabs>
        <w:spacing w:line="360" w:lineRule="auto"/>
        <w:ind w:firstLine="1418"/>
        <w:jc w:val="both"/>
        <w:rPr>
          <w:rFonts w:ascii="Arial" w:hAnsi="Arial" w:cs="Arial"/>
          <w:b/>
          <w:bCs/>
        </w:rPr>
      </w:pPr>
      <w:r>
        <w:t>Tampouco foi juntada a ordem de serviço (OS) relativa ao serviço extra, eis que o documento de fls. 202/203 é referente a serviço realizado em novembro/2019 e não contém relação com a nota fiscal NF 164855, nem apresenta os valores correspondentes.</w:t>
      </w:r>
    </w:p>
    <w:p w:rsidR="00021EE3" w:rsidRPr="00021EE3" w:rsidRDefault="00021EE3" w:rsidP="00021EE3">
      <w:pPr>
        <w:tabs>
          <w:tab w:val="center" w:pos="4961"/>
        </w:tabs>
        <w:spacing w:line="360" w:lineRule="auto"/>
        <w:ind w:firstLine="1418"/>
        <w:jc w:val="both"/>
        <w:rPr>
          <w:rFonts w:ascii="Arial" w:hAnsi="Arial" w:cs="Arial"/>
          <w:b/>
          <w:bCs/>
        </w:rPr>
      </w:pPr>
      <w:r>
        <w:t>Caberia à ré a prova da regularidade da cobrança, competindo-lhe fazer a prova do débito em aberto, indicando o serviço extra eventualmente realizado, a data da realização, o pagamento apenas parcial da referida nota fiscal, etc., de modo a justificar o apontamento do nome da autora pelo valor de R$ 2.000,40, o que lhe é imposto no artigo 373, II, do Código de AUTOR(A), ônus do qual não se desincumbiu.</w:t>
      </w:r>
    </w:p>
    <w:p w:rsidR="00021EE3" w:rsidRPr="00021EE3" w:rsidRDefault="00021EE3" w:rsidP="00021EE3">
      <w:pPr>
        <w:tabs>
          <w:tab w:val="center" w:pos="4961"/>
        </w:tabs>
        <w:spacing w:line="360" w:lineRule="auto"/>
        <w:ind w:firstLine="1418"/>
        <w:jc w:val="both"/>
        <w:rPr>
          <w:rFonts w:ascii="Arial" w:hAnsi="Arial" w:cs="Arial"/>
          <w:b/>
          <w:bCs/>
        </w:rPr>
      </w:pPr>
      <w:r>
        <w:t>Ademais, instada a especificar provas com as quais pretendia provar suas alegações, informou não ter mais provas a produzir e concordou com o julgamento antecipado da lide.</w:t>
      </w:r>
    </w:p>
    <w:p w:rsidR="00021EE3" w:rsidRPr="00021EE3" w:rsidRDefault="00021EE3" w:rsidP="00021EE3">
      <w:pPr>
        <w:tabs>
          <w:tab w:val="center" w:pos="4961"/>
        </w:tabs>
        <w:spacing w:line="360" w:lineRule="auto"/>
        <w:ind w:firstLine="1418"/>
        <w:jc w:val="both"/>
        <w:rPr>
          <w:rFonts w:ascii="Arial" w:hAnsi="Arial" w:cs="Arial"/>
          <w:b/>
          <w:bCs/>
        </w:rPr>
      </w:pPr>
      <w:r>
        <w:t>Assim, pela teoria da carga dinâmica ou da distribuição dinâmica do ônus da prova, este deve ser atribuído a quem detenha mais facilidade de produzi-la, o que evita a rotulada “prova diabólica” (impossível ou extremamente difícil de ser produzida por uma das partes). Por isso, era dever da ré exibir nos autos os documentos aptos a comprovar a legitimidade da cobrança impugnada, mas não o fez”.</w:t>
      </w:r>
    </w:p>
    <w:p w:rsidR="001575A4" w:rsidRDefault="00A6750E" w:rsidP="00DD51A4">
      <w:pPr>
        <w:tabs>
          <w:tab w:val="center" w:pos="4961"/>
        </w:tabs>
        <w:spacing w:line="360" w:lineRule="auto"/>
        <w:ind w:firstLine="1418"/>
        <w:jc w:val="both"/>
        <w:rPr>
          <w:rFonts w:ascii="Arial" w:hAnsi="Arial" w:cs="Arial"/>
          <w:sz w:val="24"/>
        </w:rPr>
      </w:pPr>
      <w:r>
        <w:t>A hipótese, assim, é de reforma da r. sentença tão somente para arbitrar os honorários advocatícios devidos ao patrono da parte autora por equidade, que fixo em R$1.000,00, dada a baixa complexidade da causa. No mais, mantenho os demais termos da r. sentença prolatada tal como lançada.</w:t>
      </w:r>
    </w:p>
    <w:p w:rsidR="00021EE3" w:rsidRDefault="00EF2980" w:rsidP="00D14C33">
      <w:pPr>
        <w:tabs>
          <w:tab w:val="center" w:pos="4961"/>
        </w:tabs>
        <w:spacing w:line="360" w:lineRule="auto"/>
        <w:ind w:firstLine="1418"/>
        <w:jc w:val="both"/>
        <w:rPr>
          <w:rFonts w:ascii="Arial" w:hAnsi="Arial" w:cs="Arial"/>
          <w:sz w:val="24"/>
        </w:rPr>
      </w:pPr>
      <w:r>
        <w:t xml:space="preserve">Por fim, diante do improvimento do recurso do réu, de rigor a majoração dos honorários advocatícios devidos ao patrono da parte autora, nos termos do art. 85, § 11º, do CPC. Considerando que a verba honorária foi arbitrada por equidade, majoro o valor para R$ 1.500,00.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 da parte autora e NEGO provimento ao recurso da parte ré.</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70AC" w:rsidRDefault="00E970AC">
      <w:pPr>
        <w:spacing w:after="0" w:line="240" w:lineRule="auto"/>
      </w:pPr>
      <w:r>
        <w:separator/>
      </w:r>
    </w:p>
  </w:endnote>
  <w:endnote w:type="continuationSeparator" w:id="0">
    <w:p w:rsidR="00E970AC" w:rsidRDefault="00E9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0316CB">
      <w:t xml:space="preserve">s - </w:t>
    </w:r>
    <w:r w:rsidR="000316CB">
      <w:fldChar w:fldCharType="begin"/>
    </w:r>
    <w:r w:rsidR="000316CB">
      <w:instrText>PAGE   \* MERGEFORMAT</w:instrText>
    </w:r>
    <w:r w:rsidR="000316CB">
      <w:fldChar w:fldCharType="separate"/>
    </w:r>
    <w:r w:rsidR="000316CB">
      <w:t>2</w:t>
    </w:r>
    <w:r w:rsidR="000316C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70AC" w:rsidRDefault="00E970AC">
      <w:pPr>
        <w:spacing w:after="0" w:line="240" w:lineRule="auto"/>
      </w:pPr>
      <w:r>
        <w:separator/>
      </w:r>
    </w:p>
  </w:footnote>
  <w:footnote w:type="continuationSeparator" w:id="0">
    <w:p w:rsidR="00E970AC" w:rsidRDefault="00E9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0316CB">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0316CB">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0316CB">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0316CB">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1EE3"/>
    <w:rsid w:val="000316CB"/>
    <w:rsid w:val="000B778C"/>
    <w:rsid w:val="000F6337"/>
    <w:rsid w:val="001575A4"/>
    <w:rsid w:val="00171308"/>
    <w:rsid w:val="003C482E"/>
    <w:rsid w:val="003E5A68"/>
    <w:rsid w:val="00540190"/>
    <w:rsid w:val="007B4EF3"/>
    <w:rsid w:val="008B019D"/>
    <w:rsid w:val="00926947"/>
    <w:rsid w:val="00993E7A"/>
    <w:rsid w:val="009B41D1"/>
    <w:rsid w:val="00A6750E"/>
    <w:rsid w:val="00AB4B7E"/>
    <w:rsid w:val="00B2724A"/>
    <w:rsid w:val="00C575E8"/>
    <w:rsid w:val="00C835D9"/>
    <w:rsid w:val="00D14C33"/>
    <w:rsid w:val="00D36CE5"/>
    <w:rsid w:val="00D778B4"/>
    <w:rsid w:val="00DD51A4"/>
    <w:rsid w:val="00DD6C62"/>
    <w:rsid w:val="00E93BFB"/>
    <w:rsid w:val="00E970AC"/>
    <w:rsid w:val="00EA08CF"/>
    <w:rsid w:val="00EC296C"/>
    <w:rsid w:val="00EF2980"/>
    <w:rsid w:val="00F84829"/>
    <w:rsid w:val="00F878A8"/>
    <w:rsid w:val="00FA595F"/>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AE8F404-4677-4E68-91DE-E8D64A1C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A8"/>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Corpodetexto">
    <w:name w:val="Body Text"/>
    <w:basedOn w:val="Normal"/>
    <w:link w:val="CorpodetextoChar"/>
    <w:uiPriority w:val="99"/>
    <w:semiHidden/>
    <w:unhideWhenUsed/>
    <w:rsid w:val="00021EE3"/>
    <w:pPr>
      <w:spacing w:after="120"/>
    </w:pPr>
  </w:style>
  <w:style w:type="character" w:customStyle="1" w:styleId="CorpodetextoChar">
    <w:name w:val="Corpo de texto Char"/>
    <w:link w:val="Corpodetexto"/>
    <w:uiPriority w:val="99"/>
    <w:semiHidden/>
    <w:rsid w:val="00021EE3"/>
    <w:rPr>
      <w:sz w:val="22"/>
      <w:szCs w:val="22"/>
      <w:lang w:eastAsia="en-US"/>
    </w:rPr>
  </w:style>
  <w:style w:type="paragraph" w:styleId="NormalWeb">
    <w:name w:val="Normal (Web)"/>
    <w:basedOn w:val="Normal"/>
    <w:uiPriority w:val="99"/>
    <w:semiHidden/>
    <w:unhideWhenUsed/>
    <w:rsid w:val="00021EE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2215">
      <w:bodyDiv w:val="1"/>
      <w:marLeft w:val="0"/>
      <w:marRight w:val="0"/>
      <w:marTop w:val="0"/>
      <w:marBottom w:val="0"/>
      <w:divBdr>
        <w:top w:val="none" w:sz="0" w:space="0" w:color="auto"/>
        <w:left w:val="none" w:sz="0" w:space="0" w:color="auto"/>
        <w:bottom w:val="none" w:sz="0" w:space="0" w:color="auto"/>
        <w:right w:val="none" w:sz="0" w:space="0" w:color="auto"/>
      </w:divBdr>
    </w:div>
    <w:div w:id="116038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1922</Words>
  <Characters>10380</Characters>
  <Application>Microsoft Office Word</Application>
  <DocSecurity>4</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