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AAF5" w14:textId="5FCBBD0C" w:rsidR="005B1D2D" w:rsidRDefault="009513D0">
      <w:pPr>
        <w:pStyle w:val="Heading1"/>
      </w:pPr>
      <w:r>
        <w:t>2025-</w:t>
      </w:r>
      <w:r w:rsidR="00000000">
        <w:t xml:space="preserve">05-30 </w:t>
      </w:r>
      <w:r>
        <w:t>Residents Council</w:t>
      </w:r>
      <w:r w:rsidR="00000000">
        <w:t>: Affiliation &amp; Operational Insights</w:t>
      </w:r>
    </w:p>
    <w:p w14:paraId="244EAAF6" w14:textId="77777777" w:rsidR="005B1D2D" w:rsidRDefault="00000000">
      <w:r>
        <w:pict w14:anchorId="244EAB46">
          <v:rect id="_x0000_i1025" style="width:0;height:1.5pt" o:hralign="center" o:hrstd="t" o:hr="t"/>
        </w:pict>
      </w:r>
    </w:p>
    <w:p w14:paraId="244EAAF7" w14:textId="77777777" w:rsidR="005B1D2D" w:rsidRDefault="00000000">
      <w:pPr>
        <w:pStyle w:val="Heading2"/>
      </w:pPr>
      <w:r>
        <w:t>Board Member Introductions and Backgrounds</w:t>
      </w:r>
    </w:p>
    <w:p w14:paraId="244EAAF8" w14:textId="20CB77CA" w:rsidR="005B1D2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Kevin Ge</w:t>
      </w:r>
      <w:r w:rsidR="009513D0">
        <w:rPr>
          <w:b/>
          <w:bCs/>
        </w:rPr>
        <w:t>rber</w:t>
      </w:r>
      <w:r>
        <w:rPr>
          <w:b/>
          <w:bCs/>
        </w:rPr>
        <w:t>, Vice President of the Board of Directors</w:t>
      </w:r>
    </w:p>
    <w:p w14:paraId="244EAAF9" w14:textId="77777777" w:rsidR="005B1D2D" w:rsidRDefault="00000000">
      <w:pPr>
        <w:pStyle w:val="Compact"/>
        <w:numPr>
          <w:ilvl w:val="1"/>
          <w:numId w:val="7"/>
        </w:numPr>
      </w:pPr>
      <w:r>
        <w:t>Originally from Minnesota; worked as an orderly in a nursing home during high school and obtained a nursing home administrator's license during undergraduate studies.</w:t>
      </w:r>
    </w:p>
    <w:p w14:paraId="244EAAFA" w14:textId="77777777" w:rsidR="005B1D2D" w:rsidRDefault="00000000">
      <w:pPr>
        <w:pStyle w:val="Compact"/>
        <w:numPr>
          <w:ilvl w:val="1"/>
          <w:numId w:val="7"/>
        </w:numPr>
      </w:pPr>
      <w:r>
        <w:t>Has spent his entire career in not-for-profit senior living, including serving as CEO of Covia, a full senior community.</w:t>
      </w:r>
    </w:p>
    <w:p w14:paraId="244EAAFB" w14:textId="77777777" w:rsidR="005B1D2D" w:rsidRDefault="00000000">
      <w:pPr>
        <w:pStyle w:val="Compact"/>
        <w:numPr>
          <w:ilvl w:val="1"/>
          <w:numId w:val="7"/>
        </w:numPr>
      </w:pPr>
      <w:r>
        <w:t>Has served on numerous not-for-profit boards and has a longstanding interest in architecture, particularly the Julia Morgan building, which drew him to the Heritage.</w:t>
      </w:r>
    </w:p>
    <w:p w14:paraId="244EAAFC" w14:textId="77777777" w:rsidR="005B1D2D" w:rsidRDefault="00000000">
      <w:pPr>
        <w:pStyle w:val="Compact"/>
        <w:numPr>
          <w:ilvl w:val="1"/>
          <w:numId w:val="7"/>
        </w:numPr>
      </w:pPr>
      <w:r>
        <w:t>Committed to sustaining the Heritage as a not-for-profit organization, emphasizing the duties of loyalty, care, and obedience to the mission and long-term viability of the organization.</w:t>
      </w:r>
    </w:p>
    <w:p w14:paraId="244EAAFD" w14:textId="77777777" w:rsidR="005B1D2D" w:rsidRDefault="00000000">
      <w:pPr>
        <w:pStyle w:val="Compact"/>
        <w:numPr>
          <w:ilvl w:val="1"/>
          <w:numId w:val="7"/>
        </w:numPr>
      </w:pPr>
      <w:r>
        <w:t>Currently serves as vice chair of the Heritage board and has chaired governance and nominating committees for several organizations.</w:t>
      </w:r>
    </w:p>
    <w:p w14:paraId="244EAAFE" w14:textId="77777777" w:rsidR="005B1D2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Sue Raymar, new board member with extensive experience</w:t>
      </w:r>
    </w:p>
    <w:p w14:paraId="244EAAFF" w14:textId="77777777" w:rsidR="005B1D2D" w:rsidRDefault="00000000">
      <w:pPr>
        <w:pStyle w:val="Compact"/>
        <w:numPr>
          <w:ilvl w:val="1"/>
          <w:numId w:val="8"/>
        </w:numPr>
      </w:pPr>
      <w:r>
        <w:t>Holds an undergraduate degree from Mills College and an MBA from UC Berkeley Haas School of Business.</w:t>
      </w:r>
    </w:p>
    <w:p w14:paraId="244EAB00" w14:textId="77777777" w:rsidR="005B1D2D" w:rsidRDefault="00000000">
      <w:pPr>
        <w:pStyle w:val="Compact"/>
        <w:numPr>
          <w:ilvl w:val="1"/>
          <w:numId w:val="8"/>
        </w:numPr>
      </w:pPr>
      <w:r>
        <w:t>Has served on the investment committee and boards of Lytton Gardens, Episcopal Senior Communities (which became Covia), and Front Porch, including as president of the Lytton Gardens board.</w:t>
      </w:r>
    </w:p>
    <w:p w14:paraId="244EAB01" w14:textId="00E8EBCE" w:rsidR="005B1D2D" w:rsidRDefault="00000000">
      <w:pPr>
        <w:pStyle w:val="Compact"/>
        <w:numPr>
          <w:ilvl w:val="1"/>
          <w:numId w:val="8"/>
        </w:numPr>
      </w:pPr>
      <w:r>
        <w:t>Joined the Heritage board due to longstanding professional relationships (notably with John Casey and Kevin Ge</w:t>
      </w:r>
      <w:r w:rsidR="006B3F14">
        <w:t>rber</w:t>
      </w:r>
      <w:r>
        <w:t>) and to contribute her financial expertise.</w:t>
      </w:r>
    </w:p>
    <w:p w14:paraId="244EAB02" w14:textId="77777777" w:rsidR="005B1D2D" w:rsidRDefault="00000000">
      <w:pPr>
        <w:pStyle w:val="Compact"/>
        <w:numPr>
          <w:ilvl w:val="1"/>
          <w:numId w:val="8"/>
        </w:numPr>
      </w:pPr>
      <w:r>
        <w:t>Has a deep understanding of senior living finances and organizational operations, and is enthusiastic about the Heritage community and its building.</w:t>
      </w:r>
    </w:p>
    <w:p w14:paraId="244EAB03" w14:textId="77777777" w:rsidR="005B1D2D" w:rsidRDefault="00000000">
      <w:pPr>
        <w:pStyle w:val="Heading2"/>
      </w:pPr>
      <w:r>
        <w:t>Discussion on Affiliation and Organizational Viability</w:t>
      </w:r>
    </w:p>
    <w:p w14:paraId="244EAB04" w14:textId="77777777" w:rsidR="005B1D2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Rationale for affiliation</w:t>
      </w:r>
    </w:p>
    <w:p w14:paraId="244EAB05" w14:textId="77777777" w:rsidR="005B1D2D" w:rsidRDefault="00000000">
      <w:pPr>
        <w:pStyle w:val="Compact"/>
        <w:numPr>
          <w:ilvl w:val="1"/>
          <w:numId w:val="10"/>
        </w:numPr>
      </w:pPr>
      <w:r>
        <w:lastRenderedPageBreak/>
        <w:t>Single-site not-for-profit senior living communities face increasing challenges due to lack of scale, complexity of services, healthcare, finance, regulatory requirements, and rising costs.</w:t>
      </w:r>
    </w:p>
    <w:p w14:paraId="244EAB06" w14:textId="77777777" w:rsidR="005B1D2D" w:rsidRDefault="00000000">
      <w:pPr>
        <w:pStyle w:val="Compact"/>
        <w:numPr>
          <w:ilvl w:val="1"/>
          <w:numId w:val="10"/>
        </w:numPr>
      </w:pPr>
      <w:r>
        <w:t>Affiliation with a larger organization brings shared resources, economies of scale, and improved financial viability, often by reducing administrative duplication (e.g., not needing two CFOs or duplicative functions).</w:t>
      </w:r>
    </w:p>
    <w:p w14:paraId="244EAB07" w14:textId="77777777" w:rsidR="005B1D2D" w:rsidRDefault="00000000">
      <w:pPr>
        <w:pStyle w:val="Compact"/>
        <w:numPr>
          <w:ilvl w:val="1"/>
          <w:numId w:val="10"/>
        </w:numPr>
      </w:pPr>
      <w:r>
        <w:t>The Heritage has been able to cover operating losses through investment accounts, but long-term sustainability requires generating enough revenue to cover expenses without relying on reserves.</w:t>
      </w:r>
    </w:p>
    <w:p w14:paraId="244EAB08" w14:textId="77777777" w:rsidR="005B1D2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Experiences with previous affiliations</w:t>
      </w:r>
    </w:p>
    <w:p w14:paraId="244EAB09" w14:textId="77777777" w:rsidR="005B1D2D" w:rsidRDefault="00000000">
      <w:pPr>
        <w:pStyle w:val="Compact"/>
        <w:numPr>
          <w:ilvl w:val="1"/>
          <w:numId w:val="11"/>
        </w:numPr>
      </w:pPr>
      <w:r>
        <w:t>In the affiliation between Covia and Front Porch, a CEO change led to significant improvements in efficiency, cultural integration, and financial management. The process took time but ultimately resulted in a more effective and culturally appropriate merger.</w:t>
      </w:r>
    </w:p>
    <w:p w14:paraId="244EAB0A" w14:textId="77777777" w:rsidR="005B1D2D" w:rsidRDefault="00000000">
      <w:pPr>
        <w:pStyle w:val="Compact"/>
        <w:numPr>
          <w:ilvl w:val="1"/>
          <w:numId w:val="11"/>
        </w:numPr>
      </w:pPr>
      <w:r>
        <w:t>Even large not-for-profits like Covia found that additional economies of scale were necessary for long-term sustainability, as costs and capital needs continued to rise.</w:t>
      </w:r>
    </w:p>
    <w:p w14:paraId="244EAB0B" w14:textId="77777777" w:rsidR="005B1D2D" w:rsidRDefault="00000000">
      <w:pPr>
        <w:pStyle w:val="Compact"/>
        <w:numPr>
          <w:ilvl w:val="1"/>
          <w:numId w:val="11"/>
        </w:numPr>
      </w:pPr>
      <w:r>
        <w:t>Examples were given of other organizations (e.g., American Baptist Homes and Southern California Presbyterian Homes) that merged to ensure viability.</w:t>
      </w:r>
    </w:p>
    <w:p w14:paraId="244EAB0C" w14:textId="77777777" w:rsidR="005B1D2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Day-to-day operational concerns post-affiliation</w:t>
      </w:r>
    </w:p>
    <w:p w14:paraId="244EAB0D" w14:textId="77777777" w:rsidR="005B1D2D" w:rsidRDefault="00000000">
      <w:pPr>
        <w:pStyle w:val="Compact"/>
        <w:numPr>
          <w:ilvl w:val="1"/>
          <w:numId w:val="12"/>
        </w:numPr>
      </w:pPr>
      <w:r>
        <w:t>Resident contracts at the Heritage will be honored after any affiliation; this is a priority for the board and a critical requirement for any partner.</w:t>
      </w:r>
    </w:p>
    <w:p w14:paraId="244EAB0E" w14:textId="77777777" w:rsidR="005B1D2D" w:rsidRDefault="00000000">
      <w:pPr>
        <w:pStyle w:val="Compact"/>
        <w:numPr>
          <w:ilvl w:val="1"/>
          <w:numId w:val="12"/>
        </w:numPr>
      </w:pPr>
      <w:r>
        <w:t>Most changes are expected at the administrative level, with minimal impact on daily services for residents.</w:t>
      </w:r>
    </w:p>
    <w:p w14:paraId="244EAB0F" w14:textId="77777777" w:rsidR="005B1D2D" w:rsidRDefault="00000000">
      <w:pPr>
        <w:pStyle w:val="Compact"/>
        <w:numPr>
          <w:ilvl w:val="1"/>
          <w:numId w:val="12"/>
        </w:numPr>
      </w:pPr>
      <w:r>
        <w:t>Significant staff turnover is unlikely, as affiliates will want to retain qualified staff; changes may occur at the department head or administrative level, but preserving staff is in everyone's best interest.</w:t>
      </w:r>
    </w:p>
    <w:p w14:paraId="244EAB10" w14:textId="77777777" w:rsidR="005B1D2D" w:rsidRDefault="00000000">
      <w:pPr>
        <w:pStyle w:val="Compact"/>
        <w:numPr>
          <w:ilvl w:val="1"/>
          <w:numId w:val="12"/>
        </w:numPr>
      </w:pPr>
      <w:r>
        <w:t>Economies of scale are typically realized in administrative functions, not in resident-facing services.</w:t>
      </w:r>
    </w:p>
    <w:p w14:paraId="244EAB11" w14:textId="77777777" w:rsidR="005B1D2D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Board composition and leadership implications</w:t>
      </w:r>
    </w:p>
    <w:p w14:paraId="244EAB12" w14:textId="77777777" w:rsidR="005B1D2D" w:rsidRDefault="00000000">
      <w:pPr>
        <w:pStyle w:val="Compact"/>
        <w:numPr>
          <w:ilvl w:val="1"/>
          <w:numId w:val="13"/>
        </w:numPr>
      </w:pPr>
      <w:r>
        <w:t>Affiliation may result in a new board composition, often integrating with the parent organization's board. Discussions will focus on ensuring Heritage's mission and culture are represented in governance.</w:t>
      </w:r>
    </w:p>
    <w:p w14:paraId="244EAB13" w14:textId="77777777" w:rsidR="005B1D2D" w:rsidRDefault="00000000">
      <w:pPr>
        <w:pStyle w:val="Compact"/>
        <w:numPr>
          <w:ilvl w:val="1"/>
          <w:numId w:val="13"/>
        </w:numPr>
      </w:pPr>
      <w:r>
        <w:t>The CEO of the affiliated organization would become the CEO for the Heritage as part of the larger system, while a person of Mary’s caliber would likely serve as executive director at the community level.</w:t>
      </w:r>
    </w:p>
    <w:p w14:paraId="244EAB14" w14:textId="77777777" w:rsidR="005B1D2D" w:rsidRDefault="00000000">
      <w:pPr>
        <w:pStyle w:val="Compact"/>
        <w:numPr>
          <w:ilvl w:val="1"/>
          <w:numId w:val="13"/>
        </w:numPr>
      </w:pPr>
      <w:r>
        <w:lastRenderedPageBreak/>
        <w:t>Heritage’s formal name, the Ladies Protection and Relief Society, and its unique mission and culture are important considerations in negotiations about board representation and governance.</w:t>
      </w:r>
    </w:p>
    <w:p w14:paraId="244EAB15" w14:textId="77777777" w:rsidR="005B1D2D" w:rsidRDefault="00000000">
      <w:pPr>
        <w:pStyle w:val="Heading2"/>
      </w:pPr>
      <w:r>
        <w:t>Financial and Fundraising Reports</w:t>
      </w:r>
    </w:p>
    <w:p w14:paraId="244EAB16" w14:textId="77777777" w:rsidR="005B1D2D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May financial snapshot</w:t>
      </w:r>
    </w:p>
    <w:p w14:paraId="244EAB17" w14:textId="77777777" w:rsidR="005B1D2D" w:rsidRDefault="00000000">
      <w:pPr>
        <w:pStyle w:val="Compact"/>
        <w:numPr>
          <w:ilvl w:val="1"/>
          <w:numId w:val="15"/>
        </w:numPr>
      </w:pPr>
      <w:r>
        <w:t>Beginning balance: $13,409.14; Receipts: $411.22; Disbursements: $689.06; Ending balance: $13,131.30.</w:t>
      </w:r>
    </w:p>
    <w:p w14:paraId="244EAB18" w14:textId="77777777" w:rsidR="005B1D2D" w:rsidRDefault="00000000">
      <w:pPr>
        <w:pStyle w:val="Compact"/>
        <w:numPr>
          <w:ilvl w:val="1"/>
          <w:numId w:val="15"/>
        </w:numPr>
      </w:pPr>
      <w:r>
        <w:t>Major expenses included supplies for the garden and a minimum request for the library.</w:t>
      </w:r>
    </w:p>
    <w:p w14:paraId="244EAB19" w14:textId="77777777" w:rsidR="005B1D2D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Camp fundraising</w:t>
      </w:r>
    </w:p>
    <w:p w14:paraId="244EAB1A" w14:textId="77777777" w:rsidR="005B1D2D" w:rsidRDefault="00000000">
      <w:pPr>
        <w:pStyle w:val="Compact"/>
        <w:numPr>
          <w:ilvl w:val="1"/>
          <w:numId w:val="16"/>
        </w:numPr>
      </w:pPr>
      <w:r>
        <w:t>Total raised for camp: $420 (not processed through the main account).</w:t>
      </w:r>
    </w:p>
    <w:p w14:paraId="244EAB1B" w14:textId="77777777" w:rsidR="005B1D2D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Cash box/recycle fund update</w:t>
      </w:r>
    </w:p>
    <w:p w14:paraId="244EAB1C" w14:textId="77777777" w:rsidR="005B1D2D" w:rsidRDefault="00000000">
      <w:pPr>
        <w:pStyle w:val="Compact"/>
        <w:numPr>
          <w:ilvl w:val="1"/>
          <w:numId w:val="17"/>
        </w:numPr>
      </w:pPr>
      <w:r>
        <w:t>The black cash box is slowly accumulating funds, averaging about $20 per month, with an estimated annual total of approximately $737 based on recent weekly averages of $14.10.</w:t>
      </w:r>
    </w:p>
    <w:p w14:paraId="244EAB1D" w14:textId="77777777" w:rsidR="005B1D2D" w:rsidRDefault="00000000">
      <w:pPr>
        <w:pStyle w:val="Compact"/>
        <w:numPr>
          <w:ilvl w:val="1"/>
          <w:numId w:val="17"/>
        </w:numPr>
      </w:pPr>
      <w:r>
        <w:t>Residents are encouraged to contribute, especially long-term residents, and to ensure only CRV (California Redemption Value) bottles are recycled. Squeezing plastic bottles is requested to maximize bag space and reduce costs.</w:t>
      </w:r>
    </w:p>
    <w:p w14:paraId="244EAB1E" w14:textId="77777777" w:rsidR="005B1D2D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Game night event success</w:t>
      </w:r>
    </w:p>
    <w:p w14:paraId="244EAB1F" w14:textId="77777777" w:rsidR="005B1D2D" w:rsidRDefault="00000000">
      <w:pPr>
        <w:pStyle w:val="Compact"/>
        <w:numPr>
          <w:ilvl w:val="1"/>
          <w:numId w:val="18"/>
        </w:numPr>
      </w:pPr>
      <w:r>
        <w:t>Game night was highly successful, raising $1,600 for employee appreciation—double the previous year’s amount—due to increased participation, raffles, and a "buy it now" option for prizes.</w:t>
      </w:r>
    </w:p>
    <w:p w14:paraId="244EAB20" w14:textId="77777777" w:rsidR="005B1D2D" w:rsidRDefault="00000000">
      <w:pPr>
        <w:pStyle w:val="Compact"/>
        <w:numPr>
          <w:ilvl w:val="1"/>
          <w:numId w:val="18"/>
        </w:numPr>
      </w:pPr>
      <w:r>
        <w:t>Recognition was given to dealers (Bledsoe, Martha Torres, Lillimore) and prize donors (Eleanor Bissell, Jennifer Arthur, Joanne, Katie Liu), as well as to event organizers for their guidance and support.</w:t>
      </w:r>
    </w:p>
    <w:p w14:paraId="244EAB21" w14:textId="77777777" w:rsidR="005B1D2D" w:rsidRDefault="00000000">
      <w:pPr>
        <w:pStyle w:val="Compact"/>
        <w:numPr>
          <w:ilvl w:val="1"/>
          <w:numId w:val="18"/>
        </w:numPr>
      </w:pPr>
      <w:r>
        <w:t>The event highlighted the importance of community spirit and innovative fundraising strategies.</w:t>
      </w:r>
    </w:p>
    <w:p w14:paraId="244EAB22" w14:textId="77777777" w:rsidR="005B1D2D" w:rsidRDefault="00000000">
      <w:pPr>
        <w:pStyle w:val="Heading2"/>
      </w:pPr>
      <w:r>
        <w:t>Food Committee Report (May 13, 2025)</w:t>
      </w:r>
    </w:p>
    <w:p w14:paraId="244EAB23" w14:textId="77777777" w:rsidR="005B1D2D" w:rsidRDefault="00000000">
      <w:pPr>
        <w:pStyle w:val="Compact"/>
        <w:numPr>
          <w:ilvl w:val="0"/>
          <w:numId w:val="19"/>
        </w:numPr>
      </w:pPr>
      <w:r>
        <w:t>**Attendance:**Dining staff (Angie Lamb, Chef Sylvie Holden) and residents; Fred chaired the meeting due to the usual chair’s illness.</w:t>
      </w:r>
    </w:p>
    <w:p w14:paraId="244EAB24" w14:textId="77777777" w:rsidR="005B1D2D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Key observations and feedback</w:t>
      </w:r>
    </w:p>
    <w:p w14:paraId="244EAB25" w14:textId="77777777" w:rsidR="005B1D2D" w:rsidRDefault="00000000">
      <w:pPr>
        <w:pStyle w:val="Compact"/>
        <w:numPr>
          <w:ilvl w:val="1"/>
          <w:numId w:val="20"/>
        </w:numPr>
      </w:pPr>
      <w:r>
        <w:t>Holiday and foreign meals, entertainment, and decorations were excellent.</w:t>
      </w:r>
    </w:p>
    <w:p w14:paraId="244EAB26" w14:textId="77777777" w:rsidR="005B1D2D" w:rsidRDefault="00000000">
      <w:pPr>
        <w:pStyle w:val="Compact"/>
        <w:numPr>
          <w:ilvl w:val="1"/>
          <w:numId w:val="20"/>
        </w:numPr>
      </w:pPr>
      <w:r>
        <w:t>Residents who cannot see the top shelf of the food display are encouraged to ask staff or hosts for assistance.</w:t>
      </w:r>
    </w:p>
    <w:p w14:paraId="244EAB27" w14:textId="77777777" w:rsidR="005B1D2D" w:rsidRDefault="00000000">
      <w:pPr>
        <w:pStyle w:val="Compact"/>
        <w:numPr>
          <w:ilvl w:val="1"/>
          <w:numId w:val="20"/>
        </w:numPr>
      </w:pPr>
      <w:r>
        <w:lastRenderedPageBreak/>
        <w:t>Ongoing issues with spice and seasoning, including concerns about flavor and potential medication interactions (e.g., with warfarin). Specific feedback included missing crust, olives, feta, and oregano in certain dishes.</w:t>
      </w:r>
    </w:p>
    <w:p w14:paraId="244EAB28" w14:textId="77777777" w:rsidR="005B1D2D" w:rsidRDefault="00000000">
      <w:pPr>
        <w:pStyle w:val="Compact"/>
        <w:numPr>
          <w:ilvl w:val="1"/>
          <w:numId w:val="20"/>
        </w:numPr>
      </w:pPr>
      <w:r>
        <w:t>Requests for food improvements:</w:t>
      </w:r>
    </w:p>
    <w:p w14:paraId="244EAB29" w14:textId="77777777" w:rsidR="005B1D2D" w:rsidRDefault="00000000">
      <w:pPr>
        <w:pStyle w:val="Compact"/>
        <w:numPr>
          <w:ilvl w:val="2"/>
          <w:numId w:val="21"/>
        </w:numPr>
      </w:pPr>
      <w:r>
        <w:t>Brown gravy with turkey and mashed potatoes.</w:t>
      </w:r>
    </w:p>
    <w:p w14:paraId="244EAB2A" w14:textId="77777777" w:rsidR="005B1D2D" w:rsidRDefault="00000000">
      <w:pPr>
        <w:pStyle w:val="Compact"/>
        <w:numPr>
          <w:ilvl w:val="2"/>
          <w:numId w:val="21"/>
        </w:numPr>
      </w:pPr>
      <w:r>
        <w:t>Shredded hash browns to be crisper and less bland, with a texture similar to curds; previous complaints about excessive spiciness led to reduced seasoning.</w:t>
      </w:r>
    </w:p>
    <w:p w14:paraId="244EAB2B" w14:textId="77777777" w:rsidR="005B1D2D" w:rsidRDefault="00000000">
      <w:pPr>
        <w:pStyle w:val="Compact"/>
        <w:numPr>
          <w:ilvl w:val="1"/>
          <w:numId w:val="21"/>
        </w:numPr>
      </w:pPr>
      <w:r>
        <w:t>Portion sizes: Some residents feel portions are too large, but larger portions are available upon request.</w:t>
      </w:r>
    </w:p>
    <w:p w14:paraId="244EAB2C" w14:textId="77777777" w:rsidR="005B1D2D" w:rsidRDefault="00000000">
      <w:pPr>
        <w:pStyle w:val="Compact"/>
        <w:numPr>
          <w:ilvl w:val="1"/>
          <w:numId w:val="21"/>
        </w:numPr>
      </w:pPr>
      <w:r>
        <w:t>Positive feedback: April 1 dinner meatloaf was exceptional; mussels on April 12 were highly praised.</w:t>
      </w:r>
    </w:p>
    <w:p w14:paraId="244EAB2D" w14:textId="77777777" w:rsidR="005B1D2D" w:rsidRDefault="00000000">
      <w:pPr>
        <w:pStyle w:val="Compact"/>
        <w:numPr>
          <w:ilvl w:val="1"/>
          <w:numId w:val="21"/>
        </w:numPr>
      </w:pPr>
      <w:r>
        <w:t>The "happy index" for April was 98/100, with the latest report showing 161/100, indicating high resident satisfaction.</w:t>
      </w:r>
    </w:p>
    <w:p w14:paraId="244EAB2E" w14:textId="77777777" w:rsidR="005B1D2D" w:rsidRDefault="00000000">
      <w:pPr>
        <w:pStyle w:val="Compact"/>
        <w:numPr>
          <w:ilvl w:val="0"/>
          <w:numId w:val="21"/>
        </w:numPr>
      </w:pPr>
      <w:r>
        <w:t>**Next Food Committee Meeting:**July 8, 2025, at 10:30 a.m., McKinley Road.</w:t>
      </w:r>
    </w:p>
    <w:p w14:paraId="244EAB2F" w14:textId="77777777" w:rsidR="005B1D2D" w:rsidRDefault="00000000">
      <w:pPr>
        <w:pStyle w:val="Heading2"/>
      </w:pPr>
      <w:r>
        <w:t>Strategic Planning and Affiliation Updates</w:t>
      </w:r>
    </w:p>
    <w:p w14:paraId="244EAB30" w14:textId="77777777" w:rsidR="005B1D2D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Affiliation proposals update</w:t>
      </w:r>
    </w:p>
    <w:p w14:paraId="244EAB31" w14:textId="77777777" w:rsidR="005B1D2D" w:rsidRDefault="00000000">
      <w:pPr>
        <w:pStyle w:val="Compact"/>
        <w:numPr>
          <w:ilvl w:val="1"/>
          <w:numId w:val="23"/>
        </w:numPr>
      </w:pPr>
      <w:r>
        <w:t>Seven proposals were received in response to the request for affiliation; the strategic planning committee has narrowed the field to three California-based organizations.</w:t>
      </w:r>
    </w:p>
    <w:p w14:paraId="244EAB32" w14:textId="77777777" w:rsidR="005B1D2D" w:rsidRDefault="00000000">
      <w:pPr>
        <w:pStyle w:val="Compact"/>
        <w:numPr>
          <w:ilvl w:val="1"/>
          <w:numId w:val="23"/>
        </w:numPr>
      </w:pPr>
      <w:r>
        <w:t>Discussions with these three organizations will take place over several weeks, with ongoing updates to residents.</w:t>
      </w:r>
    </w:p>
    <w:p w14:paraId="244EAB33" w14:textId="77777777" w:rsidR="005B1D2D" w:rsidRDefault="00000000">
      <w:pPr>
        <w:pStyle w:val="Compact"/>
        <w:numPr>
          <w:ilvl w:val="1"/>
          <w:numId w:val="23"/>
        </w:numPr>
      </w:pPr>
      <w:r>
        <w:t>There is no guarantee that an affiliation will occur, but the process is moving forward.</w:t>
      </w:r>
    </w:p>
    <w:p w14:paraId="244EAB34" w14:textId="77777777" w:rsidR="005B1D2D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Role of the strategic planning committee</w:t>
      </w:r>
    </w:p>
    <w:p w14:paraId="244EAB35" w14:textId="77777777" w:rsidR="005B1D2D" w:rsidRDefault="00000000">
      <w:pPr>
        <w:pStyle w:val="Compact"/>
        <w:numPr>
          <w:ilvl w:val="1"/>
          <w:numId w:val="24"/>
        </w:numPr>
      </w:pPr>
      <w:r>
        <w:t>The committee is responsible for evaluating cultural representation, board composition, and shared economic benefits in potential affiliations.</w:t>
      </w:r>
    </w:p>
    <w:p w14:paraId="244EAB36" w14:textId="77777777" w:rsidR="005B1D2D" w:rsidRDefault="00000000">
      <w:pPr>
        <w:pStyle w:val="Compact"/>
        <w:numPr>
          <w:ilvl w:val="1"/>
          <w:numId w:val="24"/>
        </w:numPr>
      </w:pPr>
      <w:r>
        <w:t>Resident feedback is being actively solicited and documented to ensure the Heritage’s culture and values are preserved in any partnership.</w:t>
      </w:r>
    </w:p>
    <w:p w14:paraId="244EAB37" w14:textId="77777777" w:rsidR="005B1D2D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Upcoming structured meeting: June 6, Friday, 3:00 p.m.</w:t>
      </w:r>
    </w:p>
    <w:p w14:paraId="244EAB38" w14:textId="77777777" w:rsidR="005B1D2D" w:rsidRDefault="00000000">
      <w:pPr>
        <w:pStyle w:val="Compact"/>
        <w:numPr>
          <w:ilvl w:val="1"/>
          <w:numId w:val="25"/>
        </w:numPr>
      </w:pPr>
      <w:r>
        <w:t>A structured meeting will be held to gather comprehensive resident input on affiliation and community culture.</w:t>
      </w:r>
    </w:p>
    <w:p w14:paraId="244EAB39" w14:textId="77777777" w:rsidR="005B1D2D" w:rsidRDefault="00000000">
      <w:pPr>
        <w:pStyle w:val="Compact"/>
        <w:numPr>
          <w:ilvl w:val="1"/>
          <w:numId w:val="25"/>
        </w:numPr>
      </w:pPr>
      <w:r>
        <w:t>Multiple methods will be used to record feedback, including live spoken recording and written “sticky” notes, to ensure all viewpoints are captured.</w:t>
      </w:r>
    </w:p>
    <w:p w14:paraId="244EAB3A" w14:textId="77777777" w:rsidR="005B1D2D" w:rsidRDefault="00000000">
      <w:pPr>
        <w:pStyle w:val="Compact"/>
        <w:numPr>
          <w:ilvl w:val="1"/>
          <w:numId w:val="25"/>
        </w:numPr>
      </w:pPr>
      <w:r>
        <w:t>An overall report will be compiled, and further sessions may be scheduled if needed.</w:t>
      </w:r>
    </w:p>
    <w:p w14:paraId="244EAB3B" w14:textId="77777777" w:rsidR="005B1D2D" w:rsidRDefault="00000000">
      <w:pPr>
        <w:pStyle w:val="Heading2"/>
      </w:pPr>
      <w:r>
        <w:lastRenderedPageBreak/>
        <w:t>Additional Community Topics and Operational Issues</w:t>
      </w:r>
    </w:p>
    <w:p w14:paraId="244EAB3C" w14:textId="77777777" w:rsidR="005B1D2D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Lighting in Morgan Hall and common areas</w:t>
      </w:r>
    </w:p>
    <w:p w14:paraId="244EAB3D" w14:textId="77777777" w:rsidR="005B1D2D" w:rsidRDefault="00000000">
      <w:pPr>
        <w:pStyle w:val="Compact"/>
        <w:numPr>
          <w:ilvl w:val="1"/>
          <w:numId w:val="27"/>
        </w:numPr>
      </w:pPr>
      <w:r>
        <w:t>A resident raised concerns about adequate night lighting for comfort and safety in Morgan Hall.</w:t>
      </w:r>
    </w:p>
    <w:p w14:paraId="244EAB3E" w14:textId="77777777" w:rsidR="005B1D2D" w:rsidRDefault="00000000">
      <w:pPr>
        <w:pStyle w:val="Compact"/>
        <w:numPr>
          <w:ilvl w:val="1"/>
          <w:numId w:val="27"/>
        </w:numPr>
      </w:pPr>
      <w:r>
        <w:t>Suggestions included installing motion-activated lights in hallways and rooms, and adjusting lighting to be sufficient for navigation without being overly bright.</w:t>
      </w:r>
    </w:p>
    <w:p w14:paraId="244EAB3F" w14:textId="77777777" w:rsidR="005B1D2D" w:rsidRDefault="00000000">
      <w:pPr>
        <w:pStyle w:val="Compact"/>
        <w:numPr>
          <w:ilvl w:val="1"/>
          <w:numId w:val="27"/>
        </w:numPr>
      </w:pPr>
      <w:r>
        <w:t>The issue will be referred to maintenance (Hector) for possible implementation of movement-initiated lighting.</w:t>
      </w:r>
    </w:p>
    <w:p w14:paraId="244EAB40" w14:textId="77777777" w:rsidR="005B1D2D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Communication protocol for administrative inquiries</w:t>
      </w:r>
    </w:p>
    <w:p w14:paraId="244EAB41" w14:textId="77777777" w:rsidR="005B1D2D" w:rsidRDefault="00000000">
      <w:pPr>
        <w:pStyle w:val="Compact"/>
        <w:numPr>
          <w:ilvl w:val="1"/>
          <w:numId w:val="28"/>
        </w:numPr>
      </w:pPr>
      <w:r>
        <w:t>Administration is required to respond to resident questions within 14 days, with follow-up at the next meeting.</w:t>
      </w:r>
    </w:p>
    <w:p w14:paraId="244EAB42" w14:textId="77777777" w:rsidR="005B1D2D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Record-keeping and resident feedback documentation</w:t>
      </w:r>
    </w:p>
    <w:p w14:paraId="244EAB43" w14:textId="77777777" w:rsidR="005B1D2D" w:rsidRDefault="00000000">
      <w:pPr>
        <w:pStyle w:val="Compact"/>
        <w:numPr>
          <w:ilvl w:val="1"/>
          <w:numId w:val="29"/>
        </w:numPr>
      </w:pPr>
      <w:r>
        <w:t>Plans are in place to create detailed written and recorded summaries of resident comments, especially regarding affiliation, for historical and decision-making reference.</w:t>
      </w:r>
    </w:p>
    <w:sectPr w:rsidR="005B1D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正文 CS 字体)">
    <w:altName w:val="宋体"/>
    <w:charset w:val="86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1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3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0000A990"/>
    <w:multiLevelType w:val="multilevel"/>
    <w:tmpl w:val="D18A39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5" w15:restartNumberingAfterBreak="0">
    <w:nsid w:val="0000A991"/>
    <w:multiLevelType w:val="multilevel"/>
    <w:tmpl w:val="C1A4570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25454790">
    <w:abstractNumId w:val="0"/>
  </w:num>
  <w:num w:numId="2" w16cid:durableId="1848398556">
    <w:abstractNumId w:val="2"/>
  </w:num>
  <w:num w:numId="3" w16cid:durableId="1840075167">
    <w:abstractNumId w:val="3"/>
  </w:num>
  <w:num w:numId="4" w16cid:durableId="1470247572">
    <w:abstractNumId w:val="1"/>
  </w:num>
  <w:num w:numId="5" w16cid:durableId="1754349941">
    <w:abstractNumId w:val="4"/>
  </w:num>
  <w:num w:numId="6" w16cid:durableId="442192583">
    <w:abstractNumId w:val="5"/>
  </w:num>
  <w:num w:numId="7" w16cid:durableId="461457480">
    <w:abstractNumId w:val="5"/>
  </w:num>
  <w:num w:numId="8" w16cid:durableId="1828863671">
    <w:abstractNumId w:val="5"/>
  </w:num>
  <w:num w:numId="9" w16cid:durableId="340208795">
    <w:abstractNumId w:val="5"/>
  </w:num>
  <w:num w:numId="10" w16cid:durableId="822429367">
    <w:abstractNumId w:val="5"/>
  </w:num>
  <w:num w:numId="11" w16cid:durableId="1202549860">
    <w:abstractNumId w:val="5"/>
  </w:num>
  <w:num w:numId="12" w16cid:durableId="1949893873">
    <w:abstractNumId w:val="5"/>
  </w:num>
  <w:num w:numId="13" w16cid:durableId="588316990">
    <w:abstractNumId w:val="5"/>
  </w:num>
  <w:num w:numId="14" w16cid:durableId="629941180">
    <w:abstractNumId w:val="5"/>
  </w:num>
  <w:num w:numId="15" w16cid:durableId="1144810399">
    <w:abstractNumId w:val="5"/>
  </w:num>
  <w:num w:numId="16" w16cid:durableId="357971602">
    <w:abstractNumId w:val="5"/>
  </w:num>
  <w:num w:numId="17" w16cid:durableId="1298489533">
    <w:abstractNumId w:val="5"/>
  </w:num>
  <w:num w:numId="18" w16cid:durableId="21515235">
    <w:abstractNumId w:val="5"/>
  </w:num>
  <w:num w:numId="19" w16cid:durableId="743065150">
    <w:abstractNumId w:val="5"/>
  </w:num>
  <w:num w:numId="20" w16cid:durableId="215120991">
    <w:abstractNumId w:val="5"/>
  </w:num>
  <w:num w:numId="21" w16cid:durableId="62879608">
    <w:abstractNumId w:val="5"/>
  </w:num>
  <w:num w:numId="22" w16cid:durableId="194124472">
    <w:abstractNumId w:val="5"/>
  </w:num>
  <w:num w:numId="23" w16cid:durableId="759372749">
    <w:abstractNumId w:val="5"/>
  </w:num>
  <w:num w:numId="24" w16cid:durableId="720598750">
    <w:abstractNumId w:val="5"/>
  </w:num>
  <w:num w:numId="25" w16cid:durableId="2091853964">
    <w:abstractNumId w:val="5"/>
  </w:num>
  <w:num w:numId="26" w16cid:durableId="610285607">
    <w:abstractNumId w:val="5"/>
  </w:num>
  <w:num w:numId="27" w16cid:durableId="1599363037">
    <w:abstractNumId w:val="5"/>
  </w:num>
  <w:num w:numId="28" w16cid:durableId="841311894">
    <w:abstractNumId w:val="5"/>
  </w:num>
  <w:num w:numId="29" w16cid:durableId="323897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1CC"/>
    <w:rsid w:val="F57A143E"/>
    <w:rsid w:val="FF53E7DD"/>
    <w:rsid w:val="00012906"/>
    <w:rsid w:val="000C1ABD"/>
    <w:rsid w:val="000D1E8A"/>
    <w:rsid w:val="000F3D3C"/>
    <w:rsid w:val="0011788E"/>
    <w:rsid w:val="00167011"/>
    <w:rsid w:val="001824E5"/>
    <w:rsid w:val="001A30C6"/>
    <w:rsid w:val="001B0185"/>
    <w:rsid w:val="001B2E68"/>
    <w:rsid w:val="00271600"/>
    <w:rsid w:val="00275E2C"/>
    <w:rsid w:val="00284976"/>
    <w:rsid w:val="00290063"/>
    <w:rsid w:val="002D5AAF"/>
    <w:rsid w:val="00315AC2"/>
    <w:rsid w:val="00337933"/>
    <w:rsid w:val="00353684"/>
    <w:rsid w:val="00365A06"/>
    <w:rsid w:val="00386B56"/>
    <w:rsid w:val="003E512C"/>
    <w:rsid w:val="003F6589"/>
    <w:rsid w:val="00402858"/>
    <w:rsid w:val="00455D51"/>
    <w:rsid w:val="004804EF"/>
    <w:rsid w:val="004B1E78"/>
    <w:rsid w:val="004D308B"/>
    <w:rsid w:val="00512CA9"/>
    <w:rsid w:val="005140DE"/>
    <w:rsid w:val="00515E7E"/>
    <w:rsid w:val="005641A8"/>
    <w:rsid w:val="005646E9"/>
    <w:rsid w:val="0057446D"/>
    <w:rsid w:val="00584C65"/>
    <w:rsid w:val="005B1D2D"/>
    <w:rsid w:val="005C33F3"/>
    <w:rsid w:val="00605308"/>
    <w:rsid w:val="006203D4"/>
    <w:rsid w:val="006B04C2"/>
    <w:rsid w:val="006B3F14"/>
    <w:rsid w:val="0072225D"/>
    <w:rsid w:val="007453A1"/>
    <w:rsid w:val="007535F6"/>
    <w:rsid w:val="00786E81"/>
    <w:rsid w:val="007938B8"/>
    <w:rsid w:val="008033E1"/>
    <w:rsid w:val="0085162E"/>
    <w:rsid w:val="00865C7C"/>
    <w:rsid w:val="00900CCC"/>
    <w:rsid w:val="00932E5F"/>
    <w:rsid w:val="009513D0"/>
    <w:rsid w:val="00962302"/>
    <w:rsid w:val="00993CBA"/>
    <w:rsid w:val="009A3D3D"/>
    <w:rsid w:val="009E145E"/>
    <w:rsid w:val="00A21265"/>
    <w:rsid w:val="00A625F9"/>
    <w:rsid w:val="00A7127D"/>
    <w:rsid w:val="00A81885"/>
    <w:rsid w:val="00A82518"/>
    <w:rsid w:val="00A8796D"/>
    <w:rsid w:val="00AB1A36"/>
    <w:rsid w:val="00AC75E8"/>
    <w:rsid w:val="00AD4E46"/>
    <w:rsid w:val="00B221B6"/>
    <w:rsid w:val="00B34BC6"/>
    <w:rsid w:val="00B40C9B"/>
    <w:rsid w:val="00B5019A"/>
    <w:rsid w:val="00BF11CC"/>
    <w:rsid w:val="00C1108E"/>
    <w:rsid w:val="00C14B89"/>
    <w:rsid w:val="00C865AB"/>
    <w:rsid w:val="00C9144D"/>
    <w:rsid w:val="00C94844"/>
    <w:rsid w:val="00DB673F"/>
    <w:rsid w:val="00E04222"/>
    <w:rsid w:val="00E07649"/>
    <w:rsid w:val="00E64F6C"/>
    <w:rsid w:val="00EC331D"/>
    <w:rsid w:val="00F15494"/>
    <w:rsid w:val="00F75CC4"/>
    <w:rsid w:val="00FC1DF5"/>
    <w:rsid w:val="00FC30D7"/>
    <w:rsid w:val="00FD44F7"/>
    <w:rsid w:val="00F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AAF5"/>
  <w15:docId w15:val="{53FE8D94-9997-4F1B-8AF5-4640BFFD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Title" w:uiPriority="10" w:qFormat="1"/>
    <w:lsdException w:name="Default Paragraph Font" w:semiHidden="1" w:uiPriority="1" w:unhideWhenUsed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C1DF5"/>
    <w:pPr>
      <w:spacing w:before="480" w:after="80"/>
      <w:outlineLvl w:val="0"/>
    </w:pPr>
    <w:rPr>
      <w:rFonts w:ascii="Arial" w:eastAsia="Arial" w:hAnsi="Arial" w:cs="Arial"/>
      <w:b/>
      <w:bCs/>
      <w:color w:val="000000" w:themeColor="text1"/>
      <w:sz w:val="44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605308"/>
    <w:pPr>
      <w:spacing w:before="320" w:after="80" w:line="360" w:lineRule="auto"/>
      <w:outlineLvl w:val="1"/>
    </w:pPr>
    <w:rPr>
      <w:rFonts w:ascii="Arial" w:eastAsia="Arial" w:hAnsi="Arial" w:cs="Arial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84C65"/>
    <w:pPr>
      <w:spacing w:before="100" w:after="40" w:line="360" w:lineRule="auto"/>
      <w:outlineLvl w:val="2"/>
    </w:pPr>
    <w:rPr>
      <w:rFonts w:ascii="Arial" w:eastAsia="Arial" w:hAnsi="Arial" w:cs="Arial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spacing w:before="80" w:after="40"/>
      <w:outlineLvl w:val="3"/>
    </w:pPr>
    <w:rPr>
      <w:rFonts w:ascii="Arial" w:eastAsia="Arial" w:hAnsi="Arial" w:cs="Arial"/>
      <w:b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962302"/>
    <w:pPr>
      <w:spacing w:before="80" w:after="40"/>
      <w:outlineLvl w:val="4"/>
    </w:pPr>
    <w:rPr>
      <w:rFonts w:ascii="Microsoft YaHei" w:eastAsia="Arial" w:hAnsi="Microsoft YaHei" w:cs="Microsoft YaHei"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962302"/>
    <w:pPr>
      <w:spacing w:before="40" w:after="0"/>
      <w:outlineLvl w:val="5"/>
    </w:pPr>
    <w:rPr>
      <w:rFonts w:ascii="Microsoft YaHei" w:eastAsia="Arial" w:hAnsi="Microsoft YaHei" w:cs="Microsoft YaHei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962302"/>
    <w:pPr>
      <w:spacing w:before="40" w:after="0"/>
      <w:outlineLvl w:val="6"/>
    </w:pPr>
    <w:rPr>
      <w:rFonts w:ascii="Microsoft YaHei" w:eastAsia="Arial" w:hAnsi="Microsoft YaHei" w:cs="Microsoft YaHe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962302"/>
    <w:pPr>
      <w:spacing w:after="0"/>
      <w:outlineLvl w:val="7"/>
    </w:pPr>
    <w:rPr>
      <w:rFonts w:eastAsia="Arial" w:cstheme="majorBidi"/>
      <w:iCs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spacing w:after="0"/>
      <w:outlineLvl w:val="8"/>
    </w:pPr>
    <w:rPr>
      <w:rFonts w:eastAsia="Arial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62302"/>
    <w:pPr>
      <w:spacing w:before="100" w:after="180"/>
    </w:pPr>
    <w:rPr>
      <w:rFonts w:ascii="Arial" w:eastAsia="Arial" w:hAnsi="Arial" w:cs="Arial"/>
      <w:color w:val="000000" w:themeColor="text1"/>
    </w:rPr>
  </w:style>
  <w:style w:type="paragraph" w:styleId="ListNumber2">
    <w:name w:val="List Number 2"/>
    <w:basedOn w:val="Normal"/>
    <w:pPr>
      <w:numPr>
        <w:numId w:val="1"/>
      </w:numPr>
      <w:contextualSpacing/>
    </w:pPr>
    <w:rPr>
      <w:rFonts w:ascii="Arial" w:eastAsia="Arial" w:hAnsi="Arial" w:cs="Arial"/>
    </w:rPr>
  </w:style>
  <w:style w:type="paragraph" w:styleId="ListNumber">
    <w:name w:val="List Number"/>
    <w:basedOn w:val="Normal"/>
    <w:pPr>
      <w:numPr>
        <w:numId w:val="2"/>
      </w:numPr>
      <w:spacing w:line="360" w:lineRule="auto"/>
      <w:contextualSpacing/>
    </w:pPr>
    <w:rPr>
      <w:rFonts w:ascii="Arial" w:eastAsia="Arial" w:hAnsi="Arial" w:cs="Arial"/>
      <w:b/>
      <w:bCs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ListBullet">
    <w:name w:val="List Bullet"/>
    <w:basedOn w:val="Normal"/>
    <w:rsid w:val="00A82518"/>
    <w:pPr>
      <w:numPr>
        <w:numId w:val="3"/>
      </w:numPr>
      <w:spacing w:before="200" w:line="360" w:lineRule="auto"/>
      <w:ind w:left="200" w:hanging="200"/>
      <w:contextualSpacing/>
    </w:pPr>
    <w:rPr>
      <w:rFonts w:ascii="Arial" w:eastAsia="Arial" w:hAnsi="Arial" w:cs="Arial"/>
      <w:b/>
      <w:bCs/>
    </w:rPr>
  </w:style>
  <w:style w:type="paragraph" w:styleId="BlockText">
    <w:name w:val="Block Text"/>
    <w:basedOn w:val="BodyText"/>
    <w:next w:val="BodyText"/>
    <w:uiPriority w:val="9"/>
    <w:unhideWhenUsed/>
    <w:qFormat/>
    <w:rsid w:val="00C94844"/>
    <w:pPr>
      <w:pBdr>
        <w:left w:val="single" w:sz="24" w:space="4" w:color="D1D1D1" w:themeColor="background2" w:themeShade="E6"/>
      </w:pBdr>
      <w:spacing w:after="100"/>
      <w:ind w:left="397" w:right="482"/>
    </w:pPr>
    <w:rPr>
      <w:color w:val="747474" w:themeColor="background2" w:themeShade="80"/>
    </w:rPr>
  </w:style>
  <w:style w:type="paragraph" w:styleId="ListBullet2">
    <w:name w:val="List Bullet 2"/>
    <w:basedOn w:val="Normal"/>
    <w:rsid w:val="00A82518"/>
    <w:pPr>
      <w:numPr>
        <w:numId w:val="4"/>
      </w:numPr>
      <w:spacing w:before="120" w:line="360" w:lineRule="auto"/>
      <w:ind w:left="400" w:hanging="200"/>
      <w:contextualSpacing/>
    </w:pPr>
    <w:rPr>
      <w:rFonts w:ascii="Arial" w:eastAsia="Arial" w:hAnsi="Arial" w:cs="Arial"/>
    </w:rPr>
  </w:style>
  <w:style w:type="paragraph" w:styleId="Date">
    <w:name w:val="Date"/>
    <w:next w:val="BodyText"/>
    <w:qFormat/>
    <w:pPr>
      <w:spacing w:after="200"/>
      <w:jc w:val="center"/>
    </w:pPr>
    <w:rPr>
      <w:rFonts w:eastAsia="Arial"/>
      <w:sz w:val="24"/>
      <w:szCs w:val="24"/>
      <w:lang w:eastAsia="en-US"/>
    </w:rPr>
  </w:style>
  <w:style w:type="paragraph" w:styleId="Subtitle">
    <w:name w:val="Subtitle"/>
    <w:basedOn w:val="Title"/>
    <w:next w:val="BodyText"/>
    <w:link w:val="SubtitleChar"/>
    <w:uiPriority w:val="11"/>
    <w:qFormat/>
    <w:rPr>
      <w:spacing w:val="15"/>
      <w:sz w:val="28"/>
      <w:szCs w:val="28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after="80"/>
      <w:contextualSpacing/>
      <w:jc w:val="center"/>
    </w:pPr>
    <w:rPr>
      <w:rFonts w:ascii="Arial" w:eastAsia="Arial" w:hAnsi="Arial" w:cs="Arial"/>
      <w:spacing w:val="-10"/>
      <w:kern w:val="28"/>
      <w:sz w:val="56"/>
      <w:szCs w:val="56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DefaultParagraphFont"/>
    <w:rsid w:val="00962302"/>
    <w:rPr>
      <w:b w:val="0"/>
      <w:i w:val="0"/>
      <w:color w:val="000000" w:themeColor="text1"/>
      <w:u w:val="none"/>
      <w:bdr w:val="none" w:sz="0" w:space="0" w:color="auto"/>
      <w:em w:val="none"/>
    </w:rPr>
  </w:style>
  <w:style w:type="character" w:customStyle="1" w:styleId="CaptionChar">
    <w:name w:val="Caption Char"/>
    <w:basedOn w:val="DefaultParagraphFont"/>
    <w:link w:val="Caption"/>
  </w:style>
  <w:style w:type="character" w:styleId="FootnoteReference">
    <w:name w:val="footnote reference"/>
    <w:basedOn w:val="CaptionChar"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  <w:rsid w:val="00962302"/>
    <w:pPr>
      <w:spacing w:before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spacing w:after="200"/>
      <w:jc w:val="center"/>
    </w:pPr>
    <w:rPr>
      <w:sz w:val="24"/>
      <w:szCs w:val="24"/>
      <w:lang w:eastAsia="en-U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spacing w:before="100" w:after="300"/>
    </w:pPr>
    <w:rPr>
      <w:rFonts w:eastAsia="Arial"/>
      <w:sz w:val="20"/>
      <w:szCs w:val="20"/>
    </w:rPr>
  </w:style>
  <w:style w:type="paragraph" w:customStyle="1" w:styleId="1">
    <w:name w:val="书目1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FC1DF5"/>
    <w:rPr>
      <w:rFonts w:ascii="Arial" w:eastAsia="Arial" w:hAnsi="Arial" w:cs="Arial"/>
      <w:b/>
      <w:bCs/>
      <w:color w:val="000000" w:themeColor="text1"/>
      <w:sz w:val="44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308"/>
    <w:rPr>
      <w:rFonts w:ascii="Arial" w:eastAsia="Arial" w:hAnsi="Arial" w:cs="Arial"/>
      <w:b/>
      <w:bCs/>
      <w:color w:val="000000" w:themeColor="tex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65"/>
    <w:rPr>
      <w:rFonts w:ascii="Arial" w:eastAsia="Arial" w:hAnsi="Arial" w:cs="Arial"/>
      <w:b/>
      <w:bCs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Arial" w:eastAsia="Arial" w:hAnsi="Arial" w:cs="Arial"/>
      <w:b/>
      <w:color w:val="000000" w:themeColor="tex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302"/>
    <w:rPr>
      <w:rFonts w:ascii="Microsoft YaHei" w:eastAsia="Arial" w:hAnsi="Microsoft YaHei" w:cs="Microsoft YaHei"/>
      <w:color w:val="000000" w:themeColor="text1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302"/>
    <w:rPr>
      <w:rFonts w:ascii="Microsoft YaHei" w:eastAsia="Arial" w:hAnsi="Microsoft YaHei" w:cs="Microsoft YaHei"/>
      <w:color w:val="000000" w:themeColor="text1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302"/>
    <w:rPr>
      <w:rFonts w:ascii="Microsoft YaHei" w:eastAsia="Arial" w:hAnsi="Microsoft YaHei" w:cs="Microsoft YaHei"/>
      <w:color w:val="000000" w:themeColor="text1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302"/>
    <w:rPr>
      <w:rFonts w:eastAsia="Arial" w:cstheme="majorBidi"/>
      <w:iCs/>
      <w:color w:val="000000" w:themeColor="text1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="Arial" w:cstheme="majorBidi"/>
      <w:color w:val="272727" w:themeColor="text1" w:themeTint="D8"/>
      <w:sz w:val="24"/>
      <w:szCs w:val="24"/>
      <w:lang w:eastAsia="en-U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spacing w:after="0"/>
    </w:pPr>
    <w:rPr>
      <w:rFonts w:eastAsia="Arial"/>
    </w:rPr>
  </w:style>
  <w:style w:type="paragraph" w:customStyle="1" w:styleId="Definition">
    <w:name w:val="Definition"/>
    <w:basedOn w:val="Normal"/>
    <w:rsid w:val="00962302"/>
    <w:rPr>
      <w:color w:val="000000" w:themeColor="text1"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CaptionChar"/>
    <w:link w:val="SourceCode"/>
    <w:rsid w:val="00FE2A30"/>
    <w:rPr>
      <w:rFonts w:ascii="Consolas" w:eastAsia="Arial" w:hAnsi="Consolas" w:cs="Times New Roman (正文 CS 字体)"/>
      <w:sz w:val="22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paragraph" w:customStyle="1" w:styleId="TOC1">
    <w:name w:val="TOC 标题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customStyle="1" w:styleId="SourceCode">
    <w:name w:val="Source Code"/>
    <w:link w:val="VerbatimChar"/>
    <w:rsid w:val="00FE2A30"/>
    <w:pPr>
      <w:shd w:val="clear" w:color="auto" w:fill="F2F2F2" w:themeFill="background1" w:themeFillShade="F2"/>
      <w:wordWrap w:val="0"/>
      <w:spacing w:beforeLines="100" w:before="100" w:afterLines="100" w:after="100"/>
    </w:pPr>
    <w:rPr>
      <w:rFonts w:ascii="Consolas" w:eastAsia="Arial" w:hAnsi="Consolas" w:cs="Times New Roman (正文 CS 字体)"/>
      <w:sz w:val="22"/>
    </w:rPr>
  </w:style>
  <w:style w:type="character" w:styleId="FollowedHyperlink">
    <w:name w:val="FollowedHyperlink"/>
    <w:basedOn w:val="DefaultParagraphFont"/>
    <w:rsid w:val="0011788E"/>
    <w:rPr>
      <w:color w:val="96607D" w:themeColor="followedHyperlink"/>
      <w:u w:val="single"/>
    </w:rPr>
  </w:style>
  <w:style w:type="character" w:customStyle="1" w:styleId="KeywordTok">
    <w:name w:val="KeywordTok"/>
    <w:basedOn w:val="VerbatimChar"/>
    <w:rPr>
      <w:rFonts w:ascii="Consolas" w:eastAsia="Arial" w:hAnsi="Consolas" w:cs="Times New Roman (正文 CS 字体)"/>
      <w:b/>
      <w:color w:val="007020"/>
      <w:sz w:val="22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eastAsia="Arial" w:hAnsi="Consolas" w:cs="Times New Roman (正文 CS 字体)"/>
      <w:color w:val="902000"/>
      <w:sz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eastAsia="Arial" w:hAnsi="Consolas" w:cs="Times New Roman (正文 CS 字体)"/>
      <w:color w:val="40A070"/>
      <w:sz w:val="22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Arial" w:hAnsi="Consolas" w:cs="Times New Roman (正文 CS 字体)"/>
      <w:color w:val="40A070"/>
      <w:sz w:val="22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eastAsia="Arial" w:hAnsi="Consolas" w:cs="Times New Roman (正文 CS 字体)"/>
      <w:color w:val="40A070"/>
      <w:sz w:val="22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Arial" w:hAnsi="Consolas" w:cs="Times New Roman (正文 CS 字体)"/>
      <w:color w:val="880000"/>
      <w:sz w:val="22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ascii="Consolas" w:eastAsia="Arial" w:hAnsi="Consolas" w:cs="Times New Roman (正文 CS 字体)"/>
      <w:color w:val="4070A0"/>
      <w:sz w:val="22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eastAsia="Arial" w:hAnsi="Consolas" w:cs="Times New Roman (正文 CS 字体)"/>
      <w:color w:val="4070A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eastAsia="Arial" w:hAnsi="Consolas" w:cs="Times New Roman (正文 CS 字体)"/>
      <w:color w:val="4070A0"/>
      <w:sz w:val="22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Arial" w:hAnsi="Consolas" w:cs="Times New Roman (正文 CS 字体)"/>
      <w:color w:val="4070A0"/>
      <w:sz w:val="22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eastAsia="Arial" w:hAnsi="Consolas" w:cs="Times New Roman (正文 CS 字体)"/>
      <w:color w:val="BB6688"/>
      <w:sz w:val="22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eastAsia="Arial" w:hAnsi="Consolas" w:cs="Times New Roman (正文 CS 字体)"/>
      <w:b/>
      <w:color w:val="008000"/>
      <w:sz w:val="22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eastAsia="Arial" w:hAnsi="Consolas" w:cs="Times New Roman (正文 CS 字体)"/>
      <w:i/>
      <w:color w:val="60A0B0"/>
      <w:sz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Arial" w:hAnsi="Consolas" w:cs="Times New Roman (正文 CS 字体)"/>
      <w:i/>
      <w:color w:val="BA2121"/>
      <w:sz w:val="22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eastAsia="Arial" w:hAnsi="Consolas" w:cs="Times New Roman (正文 CS 字体)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eastAsia="Arial" w:hAnsi="Consolas" w:cs="Times New Roman (正文 CS 字体)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eastAsia="Arial" w:hAnsi="Consolas" w:cs="Times New Roman (正文 CS 字体)"/>
      <w:color w:val="007020"/>
      <w:sz w:val="22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eastAsia="Arial" w:hAnsi="Consolas" w:cs="Times New Roman (正文 CS 字体)"/>
      <w:color w:val="06287E"/>
      <w:sz w:val="22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ascii="Consolas" w:eastAsia="Arial" w:hAnsi="Consolas" w:cs="Times New Roman (正文 CS 字体)"/>
      <w:color w:val="19177C"/>
      <w:sz w:val="22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ascii="Consolas" w:eastAsia="Arial" w:hAnsi="Consolas" w:cs="Times New Roman (正文 CS 字体)"/>
      <w:b/>
      <w:color w:val="007020"/>
      <w:sz w:val="22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eastAsia="Arial" w:hAnsi="Consolas" w:cs="Times New Roman (正文 CS 字体)"/>
      <w:color w:val="666666"/>
      <w:sz w:val="22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eastAsia="Arial" w:hAnsi="Consolas" w:cs="Times New Roman (正文 CS 字体)"/>
      <w:color w:val="008000"/>
      <w:sz w:val="22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eastAsia="Arial" w:hAnsi="Consolas" w:cs="Times New Roman (正文 CS 字体)"/>
      <w:sz w:val="22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eastAsia="Arial" w:hAnsi="Consolas" w:cs="Times New Roman (正文 CS 字体)"/>
      <w:color w:val="BC7A00"/>
      <w:sz w:val="22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eastAsia="Arial" w:hAnsi="Consolas" w:cs="Times New Roman (正文 CS 字体)"/>
      <w:color w:val="7D9029"/>
      <w:sz w:val="22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eastAsia="Arial" w:hAnsi="Consolas" w:cs="Times New Roman (正文 CS 字体)"/>
      <w:sz w:val="22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eastAsia="Arial" w:hAnsi="Consolas" w:cs="Times New Roman (正文 CS 字体)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eastAsia="Arial" w:hAnsi="Consolas" w:cs="Times New Roman (正文 CS 字体)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eastAsia="Arial" w:hAnsi="Consolas" w:cs="Times New Roman (正文 CS 字体)"/>
      <w:b/>
      <w:color w:val="FF0000"/>
      <w:sz w:val="22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eastAsia="Arial" w:hAnsi="Consolas" w:cs="Times New Roman (正文 CS 字体)"/>
      <w:b/>
      <w:color w:val="FF0000"/>
      <w:sz w:val="22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eastAsia="Arial" w:hAnsi="Consolas" w:cs="Times New Roman (正文 CS 字体)"/>
      <w:sz w:val="22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Theo Armour</cp:lastModifiedBy>
  <cp:revision>4</cp:revision>
  <dcterms:created xsi:type="dcterms:W3CDTF">2025-05-31T05:27:00Z</dcterms:created>
  <dcterms:modified xsi:type="dcterms:W3CDTF">2025-05-31T05:35:00Z</dcterms:modified>
</cp:coreProperties>
</file>