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F408F" w14:textId="77777777" w:rsidR="00375D94" w:rsidRPr="00380C9D" w:rsidRDefault="00375D94" w:rsidP="00375D94">
      <w:pPr>
        <w:pStyle w:val="Logo"/>
      </w:pPr>
      <w:r>
        <w:rPr>
          <w:noProof/>
        </w:rPr>
        <w:drawing>
          <wp:inline distT="0" distB="0" distL="0" distR="0" wp14:anchorId="36BE3C36" wp14:editId="3B18B703">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42FC9A39" w14:textId="77777777" w:rsidR="00375D94" w:rsidRPr="00DF6C06" w:rsidRDefault="00375D94" w:rsidP="00375D94">
      <w:pPr>
        <w:pStyle w:val="SecondaryIdentification"/>
      </w:pPr>
      <w:r w:rsidRPr="00E13CFC">
        <w:t>Secondary Identification</w:t>
      </w:r>
      <w:r>
        <w:t xml:space="preserve"> and (or) Statement of Cooperation</w:t>
      </w:r>
      <w:r w:rsidR="00D53F39">
        <w:t xml:space="preserve"> [if needed]</w:t>
      </w:r>
    </w:p>
    <w:p w14:paraId="6FB54DB4" w14:textId="77777777" w:rsidR="00714240" w:rsidRDefault="00714240" w:rsidP="00714240">
      <w:pPr>
        <w:pStyle w:val="Title"/>
      </w:pPr>
      <w:r>
        <w:t>Groundwater Availability of the Williston Basin, United States and Canada</w:t>
      </w:r>
    </w:p>
    <w:p w14:paraId="1972D9CB" w14:textId="77777777" w:rsidR="00375D94" w:rsidRPr="005C2983" w:rsidRDefault="00375D94" w:rsidP="00375D94">
      <w:pPr>
        <w:pStyle w:val="Authors"/>
      </w:pPr>
      <w:r w:rsidRPr="005C2983">
        <w:t>By Author, Author, and Author</w:t>
      </w:r>
    </w:p>
    <w:p w14:paraId="661A0DB2" w14:textId="77777777" w:rsidR="00375D94" w:rsidRPr="00DC6924" w:rsidRDefault="00375D94" w:rsidP="00191F8C">
      <w:pPr>
        <w:pStyle w:val="Series"/>
      </w:pPr>
      <w:r>
        <w:t>Report Series ####–####</w:t>
      </w:r>
      <w:r>
        <w:br/>
        <w:t>Techniques and Methods</w:t>
      </w:r>
      <w:r>
        <w:br/>
        <w:t>Book #</w:t>
      </w:r>
      <w:r>
        <w:br/>
        <w:t>Chapter X#</w:t>
      </w:r>
    </w:p>
    <w:p w14:paraId="108C5469"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E31CE4C" wp14:editId="17C41C25">
                <wp:simplePos x="0" y="0"/>
                <wp:positionH relativeFrom="column">
                  <wp:posOffset>-73025</wp:posOffset>
                </wp:positionH>
                <wp:positionV relativeFrom="paragraph">
                  <wp:posOffset>9029700</wp:posOffset>
                </wp:positionV>
                <wp:extent cx="1943100" cy="1028700"/>
                <wp:effectExtent l="19050" t="19050" r="38100" b="571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D75985E" w14:textId="77777777" w:rsidR="00AE5850" w:rsidRDefault="00AE5850" w:rsidP="0035536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5.7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" fillcolor="#4bacc6 [3208]" strokecolor="#f2f2f2 [3041]" strokeweight="3pt">
                <v:shadow on="t" color="#205867 [1608]" opacity=".5" mv:blur="0" offset="1pt,2pt"/>
                <v:textbox>
                  <w:txbxContent>
                    <w:p w14:paraId="3D75985E" w14:textId="77777777" w:rsidR="00AE5850" w:rsidRDefault="00AE5850" w:rsidP="00355364">
                      <w:pPr>
                        <w:jc w:val="center"/>
                      </w:pPr>
                    </w:p>
                  </w:txbxContent>
                </v:textbox>
              </v:rect>
            </w:pict>
          </mc:Fallback>
        </mc:AlternateContent>
      </w:r>
      <w:r w:rsidR="00923746">
        <w:rPr>
          <w:noProof/>
        </w:rPr>
        <mc:AlternateContent>
          <mc:Choice Requires="wps">
            <w:drawing>
              <wp:anchor distT="0" distB="0" distL="114300" distR="114300" simplePos="0" relativeHeight="251659264" behindDoc="0" locked="0" layoutInCell="1" allowOverlap="1" wp14:anchorId="59786572" wp14:editId="7AD8B47B">
                <wp:simplePos x="0" y="0"/>
                <wp:positionH relativeFrom="column">
                  <wp:posOffset>704215</wp:posOffset>
                </wp:positionH>
                <wp:positionV relativeFrom="paragraph">
                  <wp:posOffset>9029700</wp:posOffset>
                </wp:positionV>
                <wp:extent cx="1943100" cy="1028700"/>
                <wp:effectExtent l="19050" t="19050" r="38100" b="571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6F049AF1" w14:textId="77777777" w:rsidR="00AE5850" w:rsidRDefault="00AE5850" w:rsidP="0035536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" fillcolor="#4bacc6 [3208]" strokecolor="#f2f2f2 [3041]" strokeweight="3pt">
                <v:shadow on="t" color="#205867 [1608]" opacity=".5" mv:blur="0" offset="1pt,2pt"/>
                <v:textbox>
                  <w:txbxContent>
                    <w:p w14:paraId="6F049AF1" w14:textId="77777777" w:rsidR="00AE5850" w:rsidRDefault="00AE5850" w:rsidP="00355364">
                      <w:pPr>
                        <w:jc w:val="center"/>
                      </w:pPr>
                    </w:p>
                  </w:txbxContent>
                </v:textbox>
              </v:rect>
            </w:pict>
          </mc:Fallback>
        </mc:AlternateContent>
      </w:r>
      <w:r w:rsidR="00923746">
        <w:rPr>
          <w:noProof/>
        </w:rPr>
        <mc:AlternateContent>
          <mc:Choice Requires="wps">
            <w:drawing>
              <wp:anchor distT="0" distB="0" distL="114300" distR="114300" simplePos="0" relativeHeight="251658240" behindDoc="0" locked="0" layoutInCell="1" allowOverlap="1" wp14:anchorId="6690CC5D" wp14:editId="5BFD0B63">
                <wp:simplePos x="0" y="0"/>
                <wp:positionH relativeFrom="column">
                  <wp:posOffset>704215</wp:posOffset>
                </wp:positionH>
                <wp:positionV relativeFrom="paragraph">
                  <wp:posOffset>9029700</wp:posOffset>
                </wp:positionV>
                <wp:extent cx="1943100" cy="1028700"/>
                <wp:effectExtent l="19050" t="19050" r="38100" b="571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38B5DDDE" w14:textId="77777777" w:rsidR="00AE5850" w:rsidRDefault="00AE5850" w:rsidP="0035536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" fillcolor="#4bacc6 [3208]" strokecolor="#f2f2f2 [3041]" strokeweight="3pt">
                <v:shadow on="t" color="#205867 [1608]" opacity=".5" mv:blur="0" offset="1pt,2pt"/>
                <v:textbox>
                  <w:txbxContent>
                    <w:p w14:paraId="38B5DDDE" w14:textId="77777777" w:rsidR="00AE5850" w:rsidRDefault="00AE5850" w:rsidP="00355364">
                      <w:pPr>
                        <w:jc w:val="center"/>
                      </w:pPr>
                    </w:p>
                  </w:txbxContent>
                </v:textbox>
              </v:rect>
            </w:pict>
          </mc:Fallback>
        </mc:AlternateContent>
      </w:r>
      <w:r w:rsidR="00522592">
        <w:t>–XXXX</w:t>
      </w:r>
      <w:r w:rsidR="00AA3B82">
        <w:t xml:space="preserve"> [if needed]</w:t>
      </w:r>
    </w:p>
    <w:p w14:paraId="728F0573" w14:textId="77777777" w:rsidR="00375D94" w:rsidRDefault="00375D94" w:rsidP="00375D94">
      <w:pPr>
        <w:pStyle w:val="BOTPOffice"/>
        <w:sectPr w:rsidR="00375D94" w:rsidSect="0029519C">
          <w:footerReference w:type="default" r:id="rId10"/>
          <w:footerReference w:type="first" r:id="rId11"/>
          <w:pgSz w:w="12240" w:h="15840"/>
          <w:pgMar w:top="1440" w:right="1440" w:bottom="1440" w:left="1440" w:header="720" w:footer="1616" w:gutter="0"/>
          <w:pgNumType w:fmt="lowerRoman" w:start="1"/>
          <w:cols w:space="720"/>
          <w:docGrid w:linePitch="360"/>
        </w:sectPr>
      </w:pPr>
    </w:p>
    <w:p w14:paraId="73D10DA7" w14:textId="77777777" w:rsidR="00375D94" w:rsidRDefault="00375D94" w:rsidP="00375D94">
      <w:pPr>
        <w:pStyle w:val="BOTPOffice"/>
      </w:pPr>
      <w:r>
        <w:lastRenderedPageBreak/>
        <w:t>U.S. Department of the Interior</w:t>
      </w:r>
    </w:p>
    <w:p w14:paraId="3605A9B1" w14:textId="77777777" w:rsidR="00375D94" w:rsidRDefault="00375D94" w:rsidP="00375D94">
      <w:pPr>
        <w:pStyle w:val="BOTPOfficial"/>
      </w:pPr>
      <w:r>
        <w:t>SALLY JEWELL, Secretary</w:t>
      </w:r>
    </w:p>
    <w:p w14:paraId="124BC60B" w14:textId="77777777" w:rsidR="00375D94" w:rsidRDefault="00375D94" w:rsidP="00375D94">
      <w:pPr>
        <w:pStyle w:val="BOTPOffice"/>
      </w:pPr>
      <w:r>
        <w:t>U.S. Geological Survey</w:t>
      </w:r>
    </w:p>
    <w:p w14:paraId="7FF94632" w14:textId="77777777" w:rsidR="00375D94" w:rsidRDefault="00375D94" w:rsidP="00375D94">
      <w:pPr>
        <w:pStyle w:val="BOTPOfficial"/>
      </w:pPr>
      <w:r>
        <w:t>Suzette M. Kimball, Director</w:t>
      </w:r>
    </w:p>
    <w:p w14:paraId="1906E0D5" w14:textId="77777777" w:rsidR="00375D94" w:rsidRDefault="00976075" w:rsidP="00976075">
      <w:pPr>
        <w:pStyle w:val="Publisher"/>
      </w:pPr>
      <w:r>
        <w:t>[For first release]</w:t>
      </w:r>
      <w:r>
        <w:br/>
      </w:r>
      <w:r w:rsidR="00375D94">
        <w:t>U.S. Geological Survey, Reston, Virginia: 201x</w:t>
      </w:r>
      <w:r w:rsidR="00375D94">
        <w:br/>
      </w:r>
      <w:r>
        <w:t>[For revisions]</w:t>
      </w:r>
      <w:r>
        <w:br/>
        <w:t>U.S. Geological Survey, Reston, Virginia</w:t>
      </w:r>
      <w:r>
        <w:br/>
        <w:t xml:space="preserve">First release: </w:t>
      </w:r>
      <w:r w:rsidR="00375D94">
        <w:t>201x</w:t>
      </w:r>
      <w:r w:rsidR="00375D94">
        <w:br/>
      </w:r>
      <w:r>
        <w:t>Revised</w:t>
      </w:r>
      <w:r w:rsidR="00375D94">
        <w:t>: Month 201x</w:t>
      </w:r>
      <w:r>
        <w:t xml:space="preserve"> (ver. </w:t>
      </w:r>
      <w:proofErr w:type="spellStart"/>
      <w:r>
        <w:t>x.x</w:t>
      </w:r>
      <w:proofErr w:type="spellEnd"/>
      <w:r>
        <w:t>)</w:t>
      </w:r>
      <w:r w:rsidR="00522592">
        <w:br/>
        <w:t>Supersedes USGS Open-File Report XXXX–XXXX</w:t>
      </w:r>
    </w:p>
    <w:p w14:paraId="37EBF7D0"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2" w:history="1">
        <w:r w:rsidRPr="00014FF5">
          <w:rPr>
            <w:rStyle w:val="Hyperlink"/>
          </w:rPr>
          <w:t>http://www.usgs.gov</w:t>
        </w:r>
      </w:hyperlink>
      <w:r w:rsidR="001F7B67">
        <w:rPr>
          <w:rStyle w:val="Hyperlink"/>
        </w:rPr>
        <w:t>/</w:t>
      </w:r>
      <w:r>
        <w:t xml:space="preserve"> or call 1–888–ASK–USGS (1–888–275–8747)</w:t>
      </w:r>
      <w:r w:rsidR="001F7B67">
        <w:t>.</w:t>
      </w:r>
    </w:p>
    <w:p w14:paraId="728EB562"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r>
      <w:proofErr w:type="gramStart"/>
      <w:r w:rsidRPr="00277177">
        <w:t>visit</w:t>
      </w:r>
      <w:proofErr w:type="gramEnd"/>
      <w:r w:rsidRPr="00277177">
        <w:t xml:space="preserve"> </w:t>
      </w:r>
      <w:hyperlink r:id="rId13" w:history="1">
        <w:r w:rsidRPr="00277177">
          <w:rPr>
            <w:rStyle w:val="Hyperlink"/>
          </w:rPr>
          <w:t>http://www.usgs.gov/pubprod</w:t>
        </w:r>
      </w:hyperlink>
      <w:r w:rsidR="001F7B67">
        <w:rPr>
          <w:rStyle w:val="Hyperlink"/>
        </w:rPr>
        <w:t>/.</w:t>
      </w:r>
    </w:p>
    <w:p w14:paraId="67D17419"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695FDAE4" w14:textId="77777777" w:rsidR="00375D94" w:rsidRPr="00277177" w:rsidRDefault="00375D94" w:rsidP="00375D94">
      <w:pPr>
        <w:pStyle w:val="BOTPNotes2"/>
      </w:pPr>
      <w:r>
        <w:t>Although this information product, for the most part, is in the public domain, it also may</w:t>
      </w:r>
      <w:r>
        <w:br/>
        <w:t>contain copyrighted materials as noted in the text. Permission to reproduce copyrighted items</w:t>
      </w:r>
      <w:r>
        <w:br/>
        <w:t>must be secured from the copyright owner.</w:t>
      </w:r>
    </w:p>
    <w:p w14:paraId="1D5D47AE" w14:textId="77777777" w:rsidR="00375D94" w:rsidRDefault="00375D94" w:rsidP="00375D94">
      <w:pPr>
        <w:pStyle w:val="BOTPNotes2"/>
      </w:pPr>
      <w:r>
        <w:t>Suggested citation:</w:t>
      </w:r>
      <w:r>
        <w:br/>
        <w:t xml:space="preserve">Author1, F.N., </w:t>
      </w:r>
      <w:r w:rsidR="005B1A6E">
        <w:t xml:space="preserve">and </w:t>
      </w:r>
      <w:r>
        <w:t xml:space="preserve">Author2, </w:t>
      </w:r>
      <w:proofErr w:type="spellStart"/>
      <w:r>
        <w:t>Firstname</w:t>
      </w:r>
      <w:proofErr w:type="spellEnd"/>
      <w:r>
        <w:t xml:space="preserve">, 2001, Title of the publication (ver. X.X, Date, 201X, if </w:t>
      </w:r>
      <w:r w:rsidR="001C02A6">
        <w:br/>
      </w:r>
      <w:r w:rsidR="001F7B67">
        <w:t>appropriate</w:t>
      </w:r>
      <w:r>
        <w:t>):</w:t>
      </w:r>
      <w:r w:rsidR="001C02A6">
        <w:t xml:space="preserve"> </w:t>
      </w:r>
      <w:r>
        <w:t>U.S. Geological Survey report series and number, total number of pages</w:t>
      </w:r>
      <w:r w:rsidR="001D095A">
        <w:t>,</w:t>
      </w:r>
      <w:r>
        <w:t xml:space="preserve"> </w:t>
      </w:r>
      <w:r w:rsidR="001C02A6">
        <w:br/>
      </w:r>
      <w:hyperlink r:id="rId14" w:history="1">
        <w:r w:rsidR="00522592" w:rsidRPr="00E7414D">
          <w:rPr>
            <w:rStyle w:val="Hyperlink"/>
          </w:rPr>
          <w:t>http://dx.doi.org/x</w:t>
        </w:r>
      </w:hyperlink>
      <w:r w:rsidR="00522592" w:rsidRPr="00522592">
        <w:t xml:space="preserve">. [Supersedes </w:t>
      </w:r>
      <w:r w:rsidR="00522592">
        <w:t xml:space="preserve">USGS </w:t>
      </w:r>
      <w:r w:rsidR="00522592" w:rsidRPr="00522592">
        <w:t>Open-File Report XXXX–XXXX.]</w:t>
      </w:r>
    </w:p>
    <w:p w14:paraId="1E939270"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1E659D52" w14:textId="77777777" w:rsidR="00375D94" w:rsidRDefault="00375D94" w:rsidP="00375D94">
      <w:pPr>
        <w:pStyle w:val="SectionHeading"/>
        <w:sectPr w:rsidR="00375D94" w:rsidSect="0029519C">
          <w:footerReference w:type="default" r:id="rId15"/>
          <w:footerReference w:type="first" r:id="rId16"/>
          <w:pgSz w:w="12240" w:h="15840"/>
          <w:pgMar w:top="1440" w:right="1440" w:bottom="1440" w:left="1440" w:header="720" w:footer="720" w:gutter="0"/>
          <w:pgNumType w:fmt="lowerRoman"/>
          <w:cols w:space="720"/>
          <w:docGrid w:linePitch="360"/>
        </w:sectPr>
      </w:pPr>
      <w:bookmarkStart w:id="0" w:name="_Toc59001230"/>
    </w:p>
    <w:p w14:paraId="3B5102F8" w14:textId="77777777" w:rsidR="00375D94" w:rsidRDefault="00375D94" w:rsidP="008973A5">
      <w:pPr>
        <w:pStyle w:val="SectionHeading"/>
      </w:pPr>
      <w:bookmarkStart w:id="1" w:name="_Toc477244251"/>
      <w:r w:rsidRPr="008973A5">
        <w:lastRenderedPageBreak/>
        <w:t>Foreword</w:t>
      </w:r>
      <w:bookmarkEnd w:id="1"/>
    </w:p>
    <w:p w14:paraId="2DEBB611" w14:textId="77777777" w:rsidR="006F30A4" w:rsidRDefault="006F30A4" w:rsidP="006F30A4">
      <w:pPr>
        <w:pStyle w:val="BodyText"/>
      </w:pPr>
      <w:r>
        <w:t xml:space="preserve">Although often overlooked, groundwater is increasingly important to all of our lives.  Groundwater in the Nation’s principal reserve of freshwater.  It provides half our drinking water and is essential to U.S. food production while facilitating business and industry in promoting economic </w:t>
      </w:r>
      <w:proofErr w:type="gramStart"/>
      <w:r>
        <w:t>well-being</w:t>
      </w:r>
      <w:proofErr w:type="gramEnd"/>
      <w:r>
        <w:t>.  Groundwater is also an important source of water for sustaining the ecosystem health of rivers, wetlands, and estuaries throughout the country.</w:t>
      </w:r>
    </w:p>
    <w:p w14:paraId="46B47913" w14:textId="77777777" w:rsidR="006F30A4" w:rsidRDefault="006F30A4" w:rsidP="006F30A4">
      <w:pPr>
        <w:pStyle w:val="BodyText"/>
      </w:pPr>
      <w:r>
        <w:t>Large-scale development of groundwater resources with accompanying declines in groundwater levels and other effects of pumping have led to concerns about the future availability of groundwater to meet all our Nation’s needs.  The depletion of groundwater to satisfy the country’s thirst and the compounding effects of recent droughts emphasize the need for an updated status of the Nation’s groundwater resources.  Assessments of groundwater resources provide the science and information needed by the public and decision makers to evaluate water availability and its effects on the water supply, as well as, to manage and use the water resources responsibly.  Adding to this already complex task of resource assessment is the analysis of potential future effects due to climate variability, which can further exacerbate an already challenging situation.</w:t>
      </w:r>
    </w:p>
    <w:p w14:paraId="1495B202" w14:textId="77777777" w:rsidR="006F30A4" w:rsidRDefault="006F30A4" w:rsidP="006F30A4">
      <w:pPr>
        <w:pStyle w:val="BodyText"/>
      </w:pPr>
      <w:r>
        <w:t xml:space="preserve">The U.S. Geological Survey’s (USGS) Groundwater Resources Program is conducting large-scale multidisciplinary regional studies of groundwater availability, such as this study of the uppermost principal aquifer systems of the Williston Basin.  These regional studies are intended to provide citizens, communities, and natural resource managers with clearer knowledge of the status of the Nation’s groundwater resources and how changes in land use, water use, and climate have affected those resources, and to develop tools to forecast how these </w:t>
      </w:r>
      <w:r>
        <w:lastRenderedPageBreak/>
        <w:t>resources may change in the future.  Over time, the findings from these individual regionally integrated groundwater assessments of principal aquifer systems will be combined to provide a national assessment.  Results derived from these studies will provide much needed answers to basic questions about the Nation’s ability to meet current and future demands for groundwater.</w:t>
      </w:r>
    </w:p>
    <w:p w14:paraId="4DDAC3FA" w14:textId="77777777" w:rsidR="00375D94" w:rsidRPr="007B708D" w:rsidRDefault="006F30A4" w:rsidP="006F30A4">
      <w:pPr>
        <w:pStyle w:val="BodyText"/>
      </w:pPr>
      <w:r>
        <w:t>-Associate Director for Water</w:t>
      </w:r>
    </w:p>
    <w:p w14:paraId="5C9D3213" w14:textId="77777777" w:rsidR="00375D94" w:rsidRDefault="00375D94" w:rsidP="00375D94">
      <w:pPr>
        <w:pStyle w:val="BodyText"/>
        <w:sectPr w:rsidR="00375D94" w:rsidSect="0029519C">
          <w:footerReference w:type="default" r:id="rId17"/>
          <w:pgSz w:w="12240" w:h="15840"/>
          <w:pgMar w:top="1440" w:right="1440" w:bottom="1440" w:left="1440" w:header="720" w:footer="720" w:gutter="0"/>
          <w:pgNumType w:fmt="lowerRoman"/>
          <w:cols w:space="720"/>
          <w:docGrid w:linePitch="360"/>
        </w:sectPr>
      </w:pPr>
    </w:p>
    <w:p w14:paraId="1596DE18" w14:textId="77777777" w:rsidR="00714240" w:rsidRDefault="008246A3" w:rsidP="00131FDF">
      <w:pPr>
        <w:pStyle w:val="SectionHeading"/>
      </w:pPr>
      <w:bookmarkStart w:id="2" w:name="_Toc477244252"/>
      <w:r>
        <w:lastRenderedPageBreak/>
        <w:t>Acknowledgments</w:t>
      </w:r>
      <w:bookmarkEnd w:id="2"/>
      <w:r w:rsidR="00714240">
        <w:t xml:space="preserve">  </w:t>
      </w:r>
    </w:p>
    <w:p w14:paraId="57D2F45E" w14:textId="77777777" w:rsidR="00714240" w:rsidRDefault="00714240" w:rsidP="00714240">
      <w:pPr>
        <w:pStyle w:val="BodyText"/>
      </w:pPr>
      <w:r>
        <w:t>Funding sources, other USGS team members that assisted during project, Williston Area Aquifers Modeling Consortium, coordination with other groundwater availability projects.</w:t>
      </w:r>
    </w:p>
    <w:p w14:paraId="52F59616" w14:textId="77777777" w:rsidR="00375D94" w:rsidRPr="007B708D" w:rsidRDefault="00375D94" w:rsidP="005B1A6E">
      <w:pPr>
        <w:pStyle w:val="ForewordBody"/>
      </w:pPr>
    </w:p>
    <w:p w14:paraId="328B9EF6" w14:textId="77777777" w:rsidR="00375D94" w:rsidRDefault="00375D94" w:rsidP="00375D94">
      <w:pPr>
        <w:pStyle w:val="BodyText"/>
        <w:sectPr w:rsidR="00375D94" w:rsidSect="0029519C">
          <w:pgSz w:w="12240" w:h="15840"/>
          <w:pgMar w:top="1440" w:right="1440" w:bottom="1440" w:left="1440" w:header="720" w:footer="720" w:gutter="0"/>
          <w:pgNumType w:fmt="lowerRoman"/>
          <w:cols w:space="720"/>
          <w:docGrid w:linePitch="360"/>
        </w:sectPr>
      </w:pPr>
    </w:p>
    <w:p w14:paraId="315E1C75" w14:textId="77777777" w:rsidR="002D4586" w:rsidRDefault="00375D94" w:rsidP="00AA07ED">
      <w:pPr>
        <w:pStyle w:val="TOCHeading1"/>
        <w:rPr>
          <w:noProof/>
        </w:rPr>
      </w:pPr>
      <w:bookmarkStart w:id="3" w:name="_Toc353273970"/>
      <w:r>
        <w:lastRenderedPageBreak/>
        <w:t>Contents</w:t>
      </w:r>
      <w:bookmarkEnd w:id="0"/>
      <w:bookmarkEnd w:id="3"/>
      <w:r w:rsidR="00AA07ED">
        <w:fldChar w:fldCharType="begin"/>
      </w:r>
      <w:r w:rsidR="00AA07ED">
        <w:instrText xml:space="preserve"> TOC \o "2-5" \t "Heading 1,1,SectionHeading,1" </w:instrText>
      </w:r>
      <w:r w:rsidR="00AA07ED">
        <w:fldChar w:fldCharType="separate"/>
      </w:r>
    </w:p>
    <w:p w14:paraId="02768D39" w14:textId="77777777" w:rsidR="002D4586" w:rsidRDefault="002D4586">
      <w:pPr>
        <w:pStyle w:val="TOC1"/>
        <w:rPr>
          <w:rFonts w:asciiTheme="minorHAnsi" w:eastAsiaTheme="minorEastAsia" w:hAnsiTheme="minorHAnsi" w:cstheme="minorBidi"/>
          <w:sz w:val="22"/>
          <w:szCs w:val="22"/>
        </w:rPr>
      </w:pPr>
      <w:r>
        <w:t>Foreword</w:t>
      </w:r>
      <w:r>
        <w:tab/>
      </w:r>
      <w:r>
        <w:fldChar w:fldCharType="begin"/>
      </w:r>
      <w:r>
        <w:instrText xml:space="preserve"> PAGEREF _Toc477244251 \h </w:instrText>
      </w:r>
      <w:r>
        <w:fldChar w:fldCharType="separate"/>
      </w:r>
      <w:r>
        <w:t>iii</w:t>
      </w:r>
      <w:r>
        <w:fldChar w:fldCharType="end"/>
      </w:r>
    </w:p>
    <w:p w14:paraId="19147995" w14:textId="77777777" w:rsidR="002D4586" w:rsidRDefault="002D4586">
      <w:pPr>
        <w:pStyle w:val="TOC1"/>
        <w:rPr>
          <w:rFonts w:asciiTheme="minorHAnsi" w:eastAsiaTheme="minorEastAsia" w:hAnsiTheme="minorHAnsi" w:cstheme="minorBidi"/>
          <w:sz w:val="22"/>
          <w:szCs w:val="22"/>
        </w:rPr>
      </w:pPr>
      <w:r>
        <w:t>Acknowledgments</w:t>
      </w:r>
      <w:r>
        <w:tab/>
      </w:r>
      <w:r>
        <w:fldChar w:fldCharType="begin"/>
      </w:r>
      <w:r>
        <w:instrText xml:space="preserve"> PAGEREF _Toc477244252 \h </w:instrText>
      </w:r>
      <w:r>
        <w:fldChar w:fldCharType="separate"/>
      </w:r>
      <w:r>
        <w:t>v</w:t>
      </w:r>
      <w:r>
        <w:fldChar w:fldCharType="end"/>
      </w:r>
    </w:p>
    <w:p w14:paraId="4189139C" w14:textId="77777777" w:rsidR="002D4586" w:rsidRDefault="002D4586">
      <w:pPr>
        <w:pStyle w:val="TOC1"/>
        <w:rPr>
          <w:rFonts w:asciiTheme="minorHAnsi" w:eastAsiaTheme="minorEastAsia" w:hAnsiTheme="minorHAnsi" w:cstheme="minorBidi"/>
          <w:sz w:val="22"/>
          <w:szCs w:val="22"/>
        </w:rPr>
      </w:pPr>
      <w:r>
        <w:t>Executive Summary</w:t>
      </w:r>
      <w:r>
        <w:tab/>
      </w:r>
      <w:r>
        <w:fldChar w:fldCharType="begin"/>
      </w:r>
      <w:r>
        <w:instrText xml:space="preserve"> PAGEREF _Toc477244253 \h </w:instrText>
      </w:r>
      <w:r>
        <w:fldChar w:fldCharType="separate"/>
      </w:r>
      <w:r>
        <w:t>1</w:t>
      </w:r>
      <w:r>
        <w:fldChar w:fldCharType="end"/>
      </w:r>
    </w:p>
    <w:p w14:paraId="42C22748" w14:textId="77777777" w:rsidR="002D4586" w:rsidRDefault="002D4586">
      <w:pPr>
        <w:pStyle w:val="TOC1"/>
        <w:rPr>
          <w:rFonts w:asciiTheme="minorHAnsi" w:eastAsiaTheme="minorEastAsia" w:hAnsiTheme="minorHAnsi" w:cstheme="minorBidi"/>
          <w:sz w:val="22"/>
          <w:szCs w:val="22"/>
        </w:rPr>
      </w:pPr>
      <w:r>
        <w:t>Introduction</w:t>
      </w:r>
      <w:r>
        <w:tab/>
      </w:r>
      <w:r>
        <w:fldChar w:fldCharType="begin"/>
      </w:r>
      <w:r>
        <w:instrText xml:space="preserve"> PAGEREF _Toc477244254 \h </w:instrText>
      </w:r>
      <w:r>
        <w:fldChar w:fldCharType="separate"/>
      </w:r>
      <w:r>
        <w:t>1</w:t>
      </w:r>
      <w:r>
        <w:fldChar w:fldCharType="end"/>
      </w:r>
    </w:p>
    <w:p w14:paraId="2D69C64E" w14:textId="77777777" w:rsidR="002D4586" w:rsidRDefault="002D4586">
      <w:pPr>
        <w:pStyle w:val="TOC2"/>
        <w:rPr>
          <w:rFonts w:asciiTheme="minorHAnsi" w:eastAsiaTheme="minorEastAsia" w:hAnsiTheme="minorHAnsi" w:cstheme="minorBidi"/>
          <w:sz w:val="22"/>
          <w:szCs w:val="22"/>
        </w:rPr>
      </w:pPr>
      <w:r>
        <w:t>Energy Resources and Water Use</w:t>
      </w:r>
      <w:r>
        <w:tab/>
      </w:r>
      <w:r>
        <w:fldChar w:fldCharType="begin"/>
      </w:r>
      <w:r>
        <w:instrText xml:space="preserve"> PAGEREF _Toc477244255 \h </w:instrText>
      </w:r>
      <w:r>
        <w:fldChar w:fldCharType="separate"/>
      </w:r>
      <w:r>
        <w:t>2</w:t>
      </w:r>
      <w:r>
        <w:fldChar w:fldCharType="end"/>
      </w:r>
    </w:p>
    <w:p w14:paraId="4DE96D4F" w14:textId="77777777" w:rsidR="002D4586" w:rsidRDefault="002D4586">
      <w:pPr>
        <w:pStyle w:val="TOC2"/>
        <w:rPr>
          <w:rFonts w:asciiTheme="minorHAnsi" w:eastAsiaTheme="minorEastAsia" w:hAnsiTheme="minorHAnsi" w:cstheme="minorBidi"/>
          <w:sz w:val="22"/>
          <w:szCs w:val="22"/>
        </w:rPr>
      </w:pPr>
      <w:r>
        <w:t>Physiography and Climate</w:t>
      </w:r>
      <w:r>
        <w:tab/>
      </w:r>
      <w:r>
        <w:fldChar w:fldCharType="begin"/>
      </w:r>
      <w:r>
        <w:instrText xml:space="preserve"> PAGEREF _Toc477244256 \h </w:instrText>
      </w:r>
      <w:r>
        <w:fldChar w:fldCharType="separate"/>
      </w:r>
      <w:r>
        <w:t>3</w:t>
      </w:r>
      <w:r>
        <w:fldChar w:fldCharType="end"/>
      </w:r>
    </w:p>
    <w:p w14:paraId="0F135AC6" w14:textId="77777777" w:rsidR="002D4586" w:rsidRDefault="002D4586">
      <w:pPr>
        <w:pStyle w:val="TOC2"/>
        <w:rPr>
          <w:rFonts w:asciiTheme="minorHAnsi" w:eastAsiaTheme="minorEastAsia" w:hAnsiTheme="minorHAnsi" w:cstheme="minorBidi"/>
          <w:sz w:val="22"/>
          <w:szCs w:val="22"/>
        </w:rPr>
      </w:pPr>
      <w:r>
        <w:t>Hydrogeologic Framework</w:t>
      </w:r>
      <w:r>
        <w:tab/>
      </w:r>
      <w:r>
        <w:fldChar w:fldCharType="begin"/>
      </w:r>
      <w:r>
        <w:instrText xml:space="preserve"> PAGEREF _Toc477244257 \h </w:instrText>
      </w:r>
      <w:r>
        <w:fldChar w:fldCharType="separate"/>
      </w:r>
      <w:r>
        <w:t>4</w:t>
      </w:r>
      <w:r>
        <w:fldChar w:fldCharType="end"/>
      </w:r>
    </w:p>
    <w:p w14:paraId="748E270F" w14:textId="77777777" w:rsidR="002D4586" w:rsidRDefault="002D4586">
      <w:pPr>
        <w:pStyle w:val="TOC2"/>
        <w:rPr>
          <w:rFonts w:asciiTheme="minorHAnsi" w:eastAsiaTheme="minorEastAsia" w:hAnsiTheme="minorHAnsi" w:cstheme="minorBidi"/>
          <w:sz w:val="22"/>
          <w:szCs w:val="22"/>
        </w:rPr>
      </w:pPr>
      <w:r>
        <w:t>Conceptual Model of Groundwater Flow</w:t>
      </w:r>
      <w:r>
        <w:tab/>
      </w:r>
      <w:r>
        <w:fldChar w:fldCharType="begin"/>
      </w:r>
      <w:r>
        <w:instrText xml:space="preserve"> PAGEREF _Toc477244258 \h </w:instrText>
      </w:r>
      <w:r>
        <w:fldChar w:fldCharType="separate"/>
      </w:r>
      <w:r>
        <w:t>8</w:t>
      </w:r>
      <w:r>
        <w:fldChar w:fldCharType="end"/>
      </w:r>
    </w:p>
    <w:p w14:paraId="0C7D4F15" w14:textId="77777777" w:rsidR="002D4586" w:rsidRDefault="002D4586">
      <w:pPr>
        <w:pStyle w:val="TOC2"/>
        <w:rPr>
          <w:rFonts w:asciiTheme="minorHAnsi" w:eastAsiaTheme="minorEastAsia" w:hAnsiTheme="minorHAnsi" w:cstheme="minorBidi"/>
          <w:sz w:val="22"/>
          <w:szCs w:val="22"/>
        </w:rPr>
      </w:pPr>
      <w:r>
        <w:t>Summary of Numerical Modeling</w:t>
      </w:r>
      <w:r>
        <w:tab/>
      </w:r>
      <w:r>
        <w:fldChar w:fldCharType="begin"/>
      </w:r>
      <w:r>
        <w:instrText xml:space="preserve"> PAGEREF _Toc477244259 \h </w:instrText>
      </w:r>
      <w:r>
        <w:fldChar w:fldCharType="separate"/>
      </w:r>
      <w:r>
        <w:t>11</w:t>
      </w:r>
      <w:r>
        <w:fldChar w:fldCharType="end"/>
      </w:r>
    </w:p>
    <w:p w14:paraId="3E4F8A02" w14:textId="77777777" w:rsidR="002D4586" w:rsidRDefault="002D4586">
      <w:pPr>
        <w:pStyle w:val="TOC2"/>
        <w:rPr>
          <w:rFonts w:asciiTheme="minorHAnsi" w:eastAsiaTheme="minorEastAsia" w:hAnsiTheme="minorHAnsi" w:cstheme="minorBidi"/>
          <w:sz w:val="22"/>
          <w:szCs w:val="22"/>
        </w:rPr>
      </w:pPr>
      <w:r>
        <w:t>Purpose and Scope</w:t>
      </w:r>
      <w:r>
        <w:tab/>
      </w:r>
      <w:r>
        <w:fldChar w:fldCharType="begin"/>
      </w:r>
      <w:r>
        <w:instrText xml:space="preserve"> PAGEREF _Toc477244260 \h </w:instrText>
      </w:r>
      <w:r>
        <w:fldChar w:fldCharType="separate"/>
      </w:r>
      <w:r>
        <w:t>12</w:t>
      </w:r>
      <w:r>
        <w:fldChar w:fldCharType="end"/>
      </w:r>
    </w:p>
    <w:p w14:paraId="0C6E3D1B" w14:textId="77777777" w:rsidR="002D4586" w:rsidRDefault="002D4586">
      <w:pPr>
        <w:pStyle w:val="TOC1"/>
        <w:rPr>
          <w:rFonts w:asciiTheme="minorHAnsi" w:eastAsiaTheme="minorEastAsia" w:hAnsiTheme="minorHAnsi" w:cstheme="minorBidi"/>
          <w:sz w:val="22"/>
          <w:szCs w:val="22"/>
        </w:rPr>
      </w:pPr>
      <w:r>
        <w:t>Groundwater Availability</w:t>
      </w:r>
      <w:r>
        <w:tab/>
      </w:r>
      <w:r>
        <w:fldChar w:fldCharType="begin"/>
      </w:r>
      <w:r>
        <w:instrText xml:space="preserve"> PAGEREF _Toc477244261 \h </w:instrText>
      </w:r>
      <w:r>
        <w:fldChar w:fldCharType="separate"/>
      </w:r>
      <w:r>
        <w:t>13</w:t>
      </w:r>
      <w:r>
        <w:fldChar w:fldCharType="end"/>
      </w:r>
    </w:p>
    <w:p w14:paraId="7C2AE822" w14:textId="77777777" w:rsidR="002D4586" w:rsidRDefault="002D4586">
      <w:pPr>
        <w:pStyle w:val="TOC2"/>
        <w:rPr>
          <w:rFonts w:asciiTheme="minorHAnsi" w:eastAsiaTheme="minorEastAsia" w:hAnsiTheme="minorHAnsi" w:cstheme="minorBidi"/>
          <w:sz w:val="22"/>
          <w:szCs w:val="22"/>
        </w:rPr>
      </w:pPr>
      <w:r>
        <w:t>Analysis of Precipitation and Recharge</w:t>
      </w:r>
      <w:r>
        <w:tab/>
      </w:r>
      <w:r>
        <w:fldChar w:fldCharType="begin"/>
      </w:r>
      <w:r>
        <w:instrText xml:space="preserve"> PAGEREF _Toc477244262 \h </w:instrText>
      </w:r>
      <w:r>
        <w:fldChar w:fldCharType="separate"/>
      </w:r>
      <w:r>
        <w:t>13</w:t>
      </w:r>
      <w:r>
        <w:fldChar w:fldCharType="end"/>
      </w:r>
    </w:p>
    <w:p w14:paraId="15184A74" w14:textId="77777777" w:rsidR="002D4586" w:rsidRDefault="002D4586">
      <w:pPr>
        <w:pStyle w:val="TOC2"/>
        <w:rPr>
          <w:rFonts w:asciiTheme="minorHAnsi" w:eastAsiaTheme="minorEastAsia" w:hAnsiTheme="minorHAnsi" w:cstheme="minorBidi"/>
          <w:sz w:val="22"/>
          <w:szCs w:val="22"/>
        </w:rPr>
      </w:pPr>
      <w:r>
        <w:t>Comparison of Conceptual and Numerical Models</w:t>
      </w:r>
      <w:r>
        <w:tab/>
      </w:r>
      <w:r>
        <w:fldChar w:fldCharType="begin"/>
      </w:r>
      <w:r>
        <w:instrText xml:space="preserve"> PAGEREF _Toc477244263 \h </w:instrText>
      </w:r>
      <w:r>
        <w:fldChar w:fldCharType="separate"/>
      </w:r>
      <w:r>
        <w:t>16</w:t>
      </w:r>
      <w:r>
        <w:fldChar w:fldCharType="end"/>
      </w:r>
    </w:p>
    <w:p w14:paraId="5FECFF68" w14:textId="77777777" w:rsidR="002D4586" w:rsidRDefault="002D4586">
      <w:pPr>
        <w:pStyle w:val="TOC3"/>
        <w:rPr>
          <w:rFonts w:asciiTheme="minorHAnsi" w:eastAsiaTheme="minorEastAsia" w:hAnsiTheme="minorHAnsi" w:cstheme="minorBidi"/>
          <w:sz w:val="22"/>
          <w:szCs w:val="22"/>
        </w:rPr>
      </w:pPr>
      <w:r>
        <w:t>Groundwater Flow</w:t>
      </w:r>
      <w:r>
        <w:tab/>
      </w:r>
      <w:r>
        <w:fldChar w:fldCharType="begin"/>
      </w:r>
      <w:r>
        <w:instrText xml:space="preserve"> PAGEREF _Toc477244264 \h </w:instrText>
      </w:r>
      <w:r>
        <w:fldChar w:fldCharType="separate"/>
      </w:r>
      <w:r>
        <w:t>16</w:t>
      </w:r>
      <w:r>
        <w:fldChar w:fldCharType="end"/>
      </w:r>
    </w:p>
    <w:p w14:paraId="220F2C9F" w14:textId="77777777" w:rsidR="002D4586" w:rsidRDefault="002D4586">
      <w:pPr>
        <w:pStyle w:val="TOC3"/>
        <w:rPr>
          <w:rFonts w:asciiTheme="minorHAnsi" w:eastAsiaTheme="minorEastAsia" w:hAnsiTheme="minorHAnsi" w:cstheme="minorBidi"/>
          <w:sz w:val="22"/>
          <w:szCs w:val="22"/>
        </w:rPr>
      </w:pPr>
      <w:r>
        <w:t>Average Groundwater-Flow Budget</w:t>
      </w:r>
      <w:r>
        <w:tab/>
      </w:r>
      <w:r>
        <w:fldChar w:fldCharType="begin"/>
      </w:r>
      <w:r>
        <w:instrText xml:space="preserve"> PAGEREF _Toc477244265 \h </w:instrText>
      </w:r>
      <w:r>
        <w:fldChar w:fldCharType="separate"/>
      </w:r>
      <w:r>
        <w:t>17</w:t>
      </w:r>
      <w:r>
        <w:fldChar w:fldCharType="end"/>
      </w:r>
    </w:p>
    <w:p w14:paraId="3B2FA28F" w14:textId="77777777" w:rsidR="002D4586" w:rsidRDefault="002D4586">
      <w:pPr>
        <w:pStyle w:val="TOC2"/>
        <w:rPr>
          <w:rFonts w:asciiTheme="minorHAnsi" w:eastAsiaTheme="minorEastAsia" w:hAnsiTheme="minorHAnsi" w:cstheme="minorBidi"/>
          <w:sz w:val="22"/>
          <w:szCs w:val="22"/>
        </w:rPr>
      </w:pPr>
      <w:r>
        <w:t>Simulated Transient Groundwater-flow budget</w:t>
      </w:r>
      <w:r>
        <w:tab/>
      </w:r>
      <w:r>
        <w:fldChar w:fldCharType="begin"/>
      </w:r>
      <w:r>
        <w:instrText xml:space="preserve"> PAGEREF _Toc477244266 \h </w:instrText>
      </w:r>
      <w:r>
        <w:fldChar w:fldCharType="separate"/>
      </w:r>
      <w:r>
        <w:t>20</w:t>
      </w:r>
      <w:r>
        <w:fldChar w:fldCharType="end"/>
      </w:r>
    </w:p>
    <w:p w14:paraId="2D7C16C6" w14:textId="77777777" w:rsidR="002D4586" w:rsidRDefault="002D4586">
      <w:pPr>
        <w:pStyle w:val="TOC2"/>
        <w:rPr>
          <w:rFonts w:asciiTheme="minorHAnsi" w:eastAsiaTheme="minorEastAsia" w:hAnsiTheme="minorHAnsi" w:cstheme="minorBidi"/>
          <w:sz w:val="22"/>
          <w:szCs w:val="22"/>
        </w:rPr>
      </w:pPr>
      <w:r>
        <w:t>Simulated Groundwater Response to Flowing Wells</w:t>
      </w:r>
      <w:r>
        <w:tab/>
      </w:r>
      <w:r>
        <w:fldChar w:fldCharType="begin"/>
      </w:r>
      <w:r>
        <w:instrText xml:space="preserve"> PAGEREF _Toc477244267 \h </w:instrText>
      </w:r>
      <w:r>
        <w:fldChar w:fldCharType="separate"/>
      </w:r>
      <w:r>
        <w:t>22</w:t>
      </w:r>
      <w:r>
        <w:fldChar w:fldCharType="end"/>
      </w:r>
    </w:p>
    <w:p w14:paraId="0C828712" w14:textId="77777777" w:rsidR="002D4586" w:rsidRDefault="002D4586">
      <w:pPr>
        <w:pStyle w:val="TOC3"/>
        <w:rPr>
          <w:rFonts w:asciiTheme="minorHAnsi" w:eastAsiaTheme="minorEastAsia" w:hAnsiTheme="minorHAnsi" w:cstheme="minorBidi"/>
          <w:sz w:val="22"/>
          <w:szCs w:val="22"/>
        </w:rPr>
      </w:pPr>
      <w:r>
        <w:t>Hydrology of Flowing Wells</w:t>
      </w:r>
      <w:r>
        <w:tab/>
      </w:r>
      <w:r>
        <w:fldChar w:fldCharType="begin"/>
      </w:r>
      <w:r>
        <w:instrText xml:space="preserve"> PAGEREF _Toc477244268 \h </w:instrText>
      </w:r>
      <w:r>
        <w:fldChar w:fldCharType="separate"/>
      </w:r>
      <w:r>
        <w:t>23</w:t>
      </w:r>
      <w:r>
        <w:fldChar w:fldCharType="end"/>
      </w:r>
    </w:p>
    <w:p w14:paraId="0684688D" w14:textId="77777777" w:rsidR="002D4586" w:rsidRDefault="002D4586">
      <w:pPr>
        <w:pStyle w:val="TOC3"/>
        <w:rPr>
          <w:rFonts w:asciiTheme="minorHAnsi" w:eastAsiaTheme="minorEastAsia" w:hAnsiTheme="minorHAnsi" w:cstheme="minorBidi"/>
          <w:sz w:val="22"/>
          <w:szCs w:val="22"/>
        </w:rPr>
      </w:pPr>
      <w:r>
        <w:t>Scenario 1: Flowing Wells</w:t>
      </w:r>
      <w:r>
        <w:tab/>
      </w:r>
      <w:r>
        <w:fldChar w:fldCharType="begin"/>
      </w:r>
      <w:r>
        <w:instrText xml:space="preserve"> PAGEREF _Toc477244269 \h </w:instrText>
      </w:r>
      <w:r>
        <w:fldChar w:fldCharType="separate"/>
      </w:r>
      <w:r>
        <w:t>23</w:t>
      </w:r>
      <w:r>
        <w:fldChar w:fldCharType="end"/>
      </w:r>
    </w:p>
    <w:p w14:paraId="20ABA6BE" w14:textId="77777777" w:rsidR="002D4586" w:rsidRDefault="002D4586">
      <w:pPr>
        <w:pStyle w:val="TOC2"/>
        <w:rPr>
          <w:rFonts w:asciiTheme="minorHAnsi" w:eastAsiaTheme="minorEastAsia" w:hAnsiTheme="minorHAnsi" w:cstheme="minorBidi"/>
          <w:sz w:val="22"/>
          <w:szCs w:val="22"/>
        </w:rPr>
      </w:pPr>
      <w:r>
        <w:t>Simulated Groundwater Responses During Drought</w:t>
      </w:r>
      <w:r>
        <w:tab/>
      </w:r>
      <w:r>
        <w:fldChar w:fldCharType="begin"/>
      </w:r>
      <w:r>
        <w:instrText xml:space="preserve"> PAGEREF _Toc477244270 \h </w:instrText>
      </w:r>
      <w:r>
        <w:fldChar w:fldCharType="separate"/>
      </w:r>
      <w:r>
        <w:t>25</w:t>
      </w:r>
      <w:r>
        <w:fldChar w:fldCharType="end"/>
      </w:r>
    </w:p>
    <w:p w14:paraId="74287F5E" w14:textId="77777777" w:rsidR="002D4586" w:rsidRDefault="002D4586">
      <w:pPr>
        <w:pStyle w:val="TOC3"/>
        <w:rPr>
          <w:rFonts w:asciiTheme="minorHAnsi" w:eastAsiaTheme="minorEastAsia" w:hAnsiTheme="minorHAnsi" w:cstheme="minorBidi"/>
          <w:sz w:val="22"/>
          <w:szCs w:val="22"/>
        </w:rPr>
      </w:pPr>
      <w:r>
        <w:t>Scenario 2: Effects of Drought with No Increase in Groundwater Withdrawals</w:t>
      </w:r>
      <w:r>
        <w:tab/>
      </w:r>
      <w:r>
        <w:fldChar w:fldCharType="begin"/>
      </w:r>
      <w:r>
        <w:instrText xml:space="preserve"> PAGEREF _Toc477244271 \h </w:instrText>
      </w:r>
      <w:r>
        <w:fldChar w:fldCharType="separate"/>
      </w:r>
      <w:r>
        <w:t>25</w:t>
      </w:r>
      <w:r>
        <w:fldChar w:fldCharType="end"/>
      </w:r>
    </w:p>
    <w:p w14:paraId="50AB29C4" w14:textId="77777777" w:rsidR="002D4586" w:rsidRDefault="002D4586">
      <w:pPr>
        <w:pStyle w:val="TOC3"/>
        <w:rPr>
          <w:rFonts w:asciiTheme="minorHAnsi" w:eastAsiaTheme="minorEastAsia" w:hAnsiTheme="minorHAnsi" w:cstheme="minorBidi"/>
          <w:sz w:val="22"/>
          <w:szCs w:val="22"/>
        </w:rPr>
      </w:pPr>
      <w:r>
        <w:t>Scenario 3: Effects of Drought with Increased Groundwater Withdrawals</w:t>
      </w:r>
      <w:r>
        <w:tab/>
      </w:r>
      <w:r>
        <w:fldChar w:fldCharType="begin"/>
      </w:r>
      <w:r>
        <w:instrText xml:space="preserve"> PAGEREF _Toc477244272 \h </w:instrText>
      </w:r>
      <w:r>
        <w:fldChar w:fldCharType="separate"/>
      </w:r>
      <w:r>
        <w:t>26</w:t>
      </w:r>
      <w:r>
        <w:fldChar w:fldCharType="end"/>
      </w:r>
    </w:p>
    <w:p w14:paraId="516E1E57" w14:textId="77777777" w:rsidR="002D4586" w:rsidRDefault="002D4586">
      <w:pPr>
        <w:pStyle w:val="TOC3"/>
        <w:rPr>
          <w:rFonts w:asciiTheme="minorHAnsi" w:eastAsiaTheme="minorEastAsia" w:hAnsiTheme="minorHAnsi" w:cstheme="minorBidi"/>
          <w:sz w:val="22"/>
          <w:szCs w:val="22"/>
        </w:rPr>
      </w:pPr>
      <w:r>
        <w:lastRenderedPageBreak/>
        <w:t>Comparison of Drought to Non-Drought Scenarios</w:t>
      </w:r>
      <w:r>
        <w:tab/>
      </w:r>
      <w:r>
        <w:fldChar w:fldCharType="begin"/>
      </w:r>
      <w:r>
        <w:instrText xml:space="preserve"> PAGEREF _Toc477244273 \h </w:instrText>
      </w:r>
      <w:r>
        <w:fldChar w:fldCharType="separate"/>
      </w:r>
      <w:r>
        <w:t>26</w:t>
      </w:r>
      <w:r>
        <w:fldChar w:fldCharType="end"/>
      </w:r>
    </w:p>
    <w:p w14:paraId="088EDD28" w14:textId="77777777" w:rsidR="002D4586" w:rsidRDefault="002D4586">
      <w:pPr>
        <w:pStyle w:val="TOC2"/>
        <w:rPr>
          <w:rFonts w:asciiTheme="minorHAnsi" w:eastAsiaTheme="minorEastAsia" w:hAnsiTheme="minorHAnsi" w:cstheme="minorBidi"/>
          <w:sz w:val="22"/>
          <w:szCs w:val="22"/>
        </w:rPr>
      </w:pPr>
      <w:r>
        <w:t>Improving Hydrologic Monitoring Networks</w:t>
      </w:r>
      <w:r>
        <w:tab/>
      </w:r>
      <w:r>
        <w:fldChar w:fldCharType="begin"/>
      </w:r>
      <w:r>
        <w:instrText xml:space="preserve"> PAGEREF _Toc477244274 \h </w:instrText>
      </w:r>
      <w:r>
        <w:fldChar w:fldCharType="separate"/>
      </w:r>
      <w:r>
        <w:t>27</w:t>
      </w:r>
      <w:r>
        <w:fldChar w:fldCharType="end"/>
      </w:r>
    </w:p>
    <w:p w14:paraId="6BC6EA12" w14:textId="77777777" w:rsidR="002D4586" w:rsidRDefault="002D4586">
      <w:pPr>
        <w:pStyle w:val="TOC1"/>
        <w:rPr>
          <w:rFonts w:asciiTheme="minorHAnsi" w:eastAsiaTheme="minorEastAsia" w:hAnsiTheme="minorHAnsi" w:cstheme="minorBidi"/>
          <w:sz w:val="22"/>
          <w:szCs w:val="22"/>
        </w:rPr>
      </w:pPr>
      <w:r>
        <w:t>Summary</w:t>
      </w:r>
      <w:r>
        <w:tab/>
      </w:r>
      <w:r>
        <w:fldChar w:fldCharType="begin"/>
      </w:r>
      <w:r>
        <w:instrText xml:space="preserve"> PAGEREF _Toc477244275 \h </w:instrText>
      </w:r>
      <w:r>
        <w:fldChar w:fldCharType="separate"/>
      </w:r>
      <w:r>
        <w:t>31</w:t>
      </w:r>
      <w:r>
        <w:fldChar w:fldCharType="end"/>
      </w:r>
    </w:p>
    <w:p w14:paraId="490EAAA0" w14:textId="77777777" w:rsidR="002D4586" w:rsidRDefault="002D4586">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_Toc477244276 \h </w:instrText>
      </w:r>
      <w:r>
        <w:fldChar w:fldCharType="separate"/>
      </w:r>
      <w:r>
        <w:t>31</w:t>
      </w:r>
      <w:r>
        <w:fldChar w:fldCharType="end"/>
      </w:r>
    </w:p>
    <w:p w14:paraId="52B4A027" w14:textId="77777777" w:rsidR="002D4586" w:rsidRDefault="002D4586">
      <w:pPr>
        <w:pStyle w:val="TOC1"/>
        <w:rPr>
          <w:rFonts w:asciiTheme="minorHAnsi" w:eastAsiaTheme="minorEastAsia" w:hAnsiTheme="minorHAnsi" w:cstheme="minorBidi"/>
          <w:sz w:val="22"/>
          <w:szCs w:val="22"/>
        </w:rPr>
      </w:pPr>
      <w:r>
        <w:t>Glossary</w:t>
      </w:r>
      <w:r>
        <w:tab/>
      </w:r>
      <w:r>
        <w:fldChar w:fldCharType="begin"/>
      </w:r>
      <w:r>
        <w:instrText xml:space="preserve"> PAGEREF _Toc477244277 \h </w:instrText>
      </w:r>
      <w:r>
        <w:fldChar w:fldCharType="separate"/>
      </w:r>
      <w:r>
        <w:t>32</w:t>
      </w:r>
      <w:r>
        <w:fldChar w:fldCharType="end"/>
      </w:r>
    </w:p>
    <w:p w14:paraId="7670E4D0" w14:textId="77777777" w:rsidR="002D4586" w:rsidRDefault="002D4586">
      <w:pPr>
        <w:pStyle w:val="TOC1"/>
        <w:rPr>
          <w:rFonts w:asciiTheme="minorHAnsi" w:eastAsiaTheme="minorEastAsia" w:hAnsiTheme="minorHAnsi" w:cstheme="minorBidi"/>
          <w:sz w:val="22"/>
          <w:szCs w:val="22"/>
        </w:rPr>
      </w:pPr>
      <w:r>
        <w:t>Appendix 1.Additional Character Style Examples</w:t>
      </w:r>
      <w:r>
        <w:tab/>
      </w:r>
      <w:r>
        <w:fldChar w:fldCharType="begin"/>
      </w:r>
      <w:r>
        <w:instrText xml:space="preserve"> PAGEREF _Toc477244278 \h </w:instrText>
      </w:r>
      <w:r>
        <w:fldChar w:fldCharType="separate"/>
      </w:r>
      <w:r>
        <w:t>33</w:t>
      </w:r>
      <w:r>
        <w:fldChar w:fldCharType="end"/>
      </w:r>
    </w:p>
    <w:p w14:paraId="6406E7F0" w14:textId="77777777" w:rsidR="002D4586" w:rsidRDefault="002D4586">
      <w:pPr>
        <w:pStyle w:val="TOC1"/>
        <w:rPr>
          <w:rFonts w:asciiTheme="minorHAnsi" w:eastAsiaTheme="minorEastAsia" w:hAnsiTheme="minorHAnsi" w:cstheme="minorBidi"/>
          <w:sz w:val="22"/>
          <w:szCs w:val="22"/>
        </w:rPr>
      </w:pPr>
      <w:r>
        <w:t>Write-N-Cite</w:t>
      </w:r>
      <w:r>
        <w:tab/>
      </w:r>
      <w:r>
        <w:fldChar w:fldCharType="begin"/>
      </w:r>
      <w:r>
        <w:instrText xml:space="preserve"> PAGEREF _Toc477244279 \h </w:instrText>
      </w:r>
      <w:r>
        <w:fldChar w:fldCharType="separate"/>
      </w:r>
      <w:r>
        <w:t>33</w:t>
      </w:r>
      <w:r>
        <w:fldChar w:fldCharType="end"/>
      </w:r>
    </w:p>
    <w:p w14:paraId="77FCBD13" w14:textId="77777777" w:rsidR="00375D94" w:rsidRPr="005929C3" w:rsidRDefault="00AA07ED" w:rsidP="0029519C">
      <w:pPr>
        <w:pStyle w:val="TOC1"/>
      </w:pPr>
      <w:r>
        <w:fldChar w:fldCharType="end"/>
      </w:r>
    </w:p>
    <w:p w14:paraId="35EE6868" w14:textId="77777777" w:rsidR="00375D94" w:rsidRDefault="00375D94" w:rsidP="00375D94">
      <w:pPr>
        <w:pStyle w:val="TOCHeading2"/>
      </w:pPr>
      <w:bookmarkStart w:id="4" w:name="_Toc59000056"/>
      <w:bookmarkStart w:id="5" w:name="_Toc59001231"/>
      <w:r>
        <w:t>Figures</w:t>
      </w:r>
    </w:p>
    <w:p w14:paraId="162823D8" w14:textId="77777777" w:rsidR="008264D0"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noProof/>
        </w:rPr>
        <w:fldChar w:fldCharType="begin"/>
      </w:r>
      <w:r>
        <w:instrText xml:space="preserve"> TOC \t "FigureCaption" \c </w:instrText>
      </w:r>
      <w:r>
        <w:rPr>
          <w:rFonts w:ascii="Univers 57 Condensed" w:hAnsi="Univers 57 Condensed"/>
          <w:noProof/>
        </w:rPr>
        <w:fldChar w:fldCharType="separate"/>
      </w:r>
      <w:r w:rsidR="008264D0" w:rsidRPr="00A77A19">
        <w:rPr>
          <w:b/>
          <w:noProof/>
        </w:rPr>
        <w:t>Figure 1.</w:t>
      </w:r>
      <w:r w:rsidR="008264D0">
        <w:rPr>
          <w:rFonts w:asciiTheme="minorHAnsi" w:eastAsiaTheme="minorEastAsia" w:hAnsiTheme="minorHAnsi" w:cstheme="minorBidi"/>
          <w:noProof/>
          <w:sz w:val="22"/>
          <w:szCs w:val="22"/>
        </w:rPr>
        <w:tab/>
      </w:r>
      <w:r w:rsidR="008264D0">
        <w:rPr>
          <w:noProof/>
        </w:rPr>
        <w:t xml:space="preserve">General Location of Williston Basin and hydrogeologic unit layers. Line </w:t>
      </w:r>
      <w:r w:rsidR="008264D0" w:rsidRPr="00A77A19">
        <w:rPr>
          <w:i/>
          <w:noProof/>
        </w:rPr>
        <w:t>B</w:t>
      </w:r>
      <w:r w:rsidR="008264D0">
        <w:rPr>
          <w:noProof/>
        </w:rPr>
        <w:t>-</w:t>
      </w:r>
      <w:r w:rsidR="008264D0" w:rsidRPr="00A77A19">
        <w:rPr>
          <w:i/>
          <w:noProof/>
        </w:rPr>
        <w:t>B</w:t>
      </w:r>
      <w:r w:rsidR="008264D0">
        <w:rPr>
          <w:noProof/>
        </w:rPr>
        <w:t>’ is shown in cross-section in Figure 5. Hyrogeologic units and geologic structures modified from Peterson (1984), Love and Christiansen (1985), and Thamke and others (2014). Williston Basin extent from Hamke and others (1966).</w:t>
      </w:r>
      <w:r w:rsidR="008264D0">
        <w:rPr>
          <w:noProof/>
        </w:rPr>
        <w:tab/>
      </w:r>
      <w:r w:rsidR="008264D0">
        <w:rPr>
          <w:noProof/>
        </w:rPr>
        <w:fldChar w:fldCharType="begin"/>
      </w:r>
      <w:r w:rsidR="008264D0">
        <w:rPr>
          <w:noProof/>
        </w:rPr>
        <w:instrText xml:space="preserve"> PAGEREF _Toc486491995 \h </w:instrText>
      </w:r>
      <w:r w:rsidR="008264D0">
        <w:rPr>
          <w:noProof/>
        </w:rPr>
      </w:r>
      <w:r w:rsidR="008264D0">
        <w:rPr>
          <w:noProof/>
        </w:rPr>
        <w:fldChar w:fldCharType="separate"/>
      </w:r>
      <w:r w:rsidR="008264D0">
        <w:rPr>
          <w:noProof/>
        </w:rPr>
        <w:t>2</w:t>
      </w:r>
      <w:r w:rsidR="008264D0">
        <w:rPr>
          <w:noProof/>
        </w:rPr>
        <w:fldChar w:fldCharType="end"/>
      </w:r>
    </w:p>
    <w:p w14:paraId="1CF3C294"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w:t>
      </w:r>
      <w:r>
        <w:rPr>
          <w:rFonts w:asciiTheme="minorHAnsi" w:eastAsiaTheme="minorEastAsia" w:hAnsiTheme="minorHAnsi" w:cstheme="minorBidi"/>
          <w:noProof/>
          <w:sz w:val="22"/>
          <w:szCs w:val="22"/>
        </w:rPr>
        <w:tab/>
      </w:r>
      <w:r>
        <w:rPr>
          <w:noProof/>
        </w:rPr>
        <w:t>Lithostratigraphic and corresponding hydrogeologic units of the Williston basin (from Thamke and others, 2014). Bold lines separate aquifer systems, and colors separate hydrogeologic units. Some lithostratigraphic units are split between two or more hydrogeologic units, as indicated by these colors.</w:t>
      </w:r>
      <w:r>
        <w:rPr>
          <w:noProof/>
        </w:rPr>
        <w:tab/>
      </w:r>
      <w:r>
        <w:rPr>
          <w:noProof/>
        </w:rPr>
        <w:fldChar w:fldCharType="begin"/>
      </w:r>
      <w:r>
        <w:rPr>
          <w:noProof/>
        </w:rPr>
        <w:instrText xml:space="preserve"> PAGEREF _Toc486491996 \h </w:instrText>
      </w:r>
      <w:r>
        <w:rPr>
          <w:noProof/>
        </w:rPr>
      </w:r>
      <w:r>
        <w:rPr>
          <w:noProof/>
        </w:rPr>
        <w:fldChar w:fldCharType="separate"/>
      </w:r>
      <w:r>
        <w:rPr>
          <w:noProof/>
        </w:rPr>
        <w:t>5</w:t>
      </w:r>
      <w:r>
        <w:rPr>
          <w:noProof/>
        </w:rPr>
        <w:fldChar w:fldCharType="end"/>
      </w:r>
    </w:p>
    <w:p w14:paraId="4E7C6894"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3.</w:t>
      </w:r>
      <w:r>
        <w:rPr>
          <w:rFonts w:asciiTheme="minorHAnsi" w:eastAsiaTheme="minorEastAsia" w:hAnsiTheme="minorHAnsi" w:cstheme="minorBidi"/>
          <w:noProof/>
          <w:sz w:val="22"/>
          <w:szCs w:val="22"/>
        </w:rPr>
        <w:tab/>
      </w:r>
      <w:r>
        <w:rPr>
          <w:noProof/>
        </w:rPr>
        <w:t>Three-dimensional view of the top of the basal confining unit in the Williston and Powder River Basins. Selected hydrogeologic cross sections also are shown.</w:t>
      </w:r>
      <w:r>
        <w:rPr>
          <w:noProof/>
        </w:rPr>
        <w:tab/>
      </w:r>
      <w:r>
        <w:rPr>
          <w:noProof/>
        </w:rPr>
        <w:fldChar w:fldCharType="begin"/>
      </w:r>
      <w:r>
        <w:rPr>
          <w:noProof/>
        </w:rPr>
        <w:instrText xml:space="preserve"> PAGEREF _Toc486491997 \h </w:instrText>
      </w:r>
      <w:r>
        <w:rPr>
          <w:noProof/>
        </w:rPr>
      </w:r>
      <w:r>
        <w:rPr>
          <w:noProof/>
        </w:rPr>
        <w:fldChar w:fldCharType="separate"/>
      </w:r>
      <w:r>
        <w:rPr>
          <w:noProof/>
        </w:rPr>
        <w:t>6</w:t>
      </w:r>
      <w:r>
        <w:rPr>
          <w:noProof/>
        </w:rPr>
        <w:fldChar w:fldCharType="end"/>
      </w:r>
    </w:p>
    <w:p w14:paraId="15C4D42E"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4.</w:t>
      </w:r>
      <w:r>
        <w:rPr>
          <w:rFonts w:asciiTheme="minorHAnsi" w:eastAsiaTheme="minorEastAsia" w:hAnsiTheme="minorHAnsi" w:cstheme="minorBidi"/>
          <w:noProof/>
          <w:sz w:val="22"/>
          <w:szCs w:val="22"/>
        </w:rPr>
        <w:tab/>
      </w:r>
      <w:r>
        <w:rPr>
          <w:noProof/>
        </w:rPr>
        <w:t>Hydrogeologic cross-section B-B’ showing the glacial, lower Tertiary, and Upper Cretaceous aquifer systems in the Williston basin.</w:t>
      </w:r>
      <w:r>
        <w:rPr>
          <w:noProof/>
        </w:rPr>
        <w:tab/>
      </w:r>
      <w:r>
        <w:rPr>
          <w:noProof/>
        </w:rPr>
        <w:fldChar w:fldCharType="begin"/>
      </w:r>
      <w:r>
        <w:rPr>
          <w:noProof/>
        </w:rPr>
        <w:instrText xml:space="preserve"> PAGEREF _Toc486491998 \h </w:instrText>
      </w:r>
      <w:r>
        <w:rPr>
          <w:noProof/>
        </w:rPr>
      </w:r>
      <w:r>
        <w:rPr>
          <w:noProof/>
        </w:rPr>
        <w:fldChar w:fldCharType="separate"/>
      </w:r>
      <w:r>
        <w:rPr>
          <w:noProof/>
        </w:rPr>
        <w:t>6</w:t>
      </w:r>
      <w:r>
        <w:rPr>
          <w:noProof/>
        </w:rPr>
        <w:fldChar w:fldCharType="end"/>
      </w:r>
    </w:p>
    <w:p w14:paraId="3B0C9718"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5.</w:t>
      </w:r>
      <w:r>
        <w:rPr>
          <w:rFonts w:asciiTheme="minorHAnsi" w:eastAsiaTheme="minorEastAsia" w:hAnsiTheme="minorHAnsi" w:cstheme="minorBidi"/>
          <w:noProof/>
          <w:sz w:val="22"/>
          <w:szCs w:val="22"/>
        </w:rPr>
        <w:tab/>
      </w:r>
      <w:r>
        <w:rPr>
          <w:noProof/>
        </w:rPr>
        <w:t>Conceptual model of groundwater flow (modified from Long and others, 2014)</w:t>
      </w:r>
      <w:r>
        <w:rPr>
          <w:noProof/>
        </w:rPr>
        <w:tab/>
      </w:r>
      <w:r>
        <w:rPr>
          <w:noProof/>
        </w:rPr>
        <w:fldChar w:fldCharType="begin"/>
      </w:r>
      <w:r>
        <w:rPr>
          <w:noProof/>
        </w:rPr>
        <w:instrText xml:space="preserve"> PAGEREF _Toc486491999 \h </w:instrText>
      </w:r>
      <w:r>
        <w:rPr>
          <w:noProof/>
        </w:rPr>
      </w:r>
      <w:r>
        <w:rPr>
          <w:noProof/>
        </w:rPr>
        <w:fldChar w:fldCharType="separate"/>
      </w:r>
      <w:r>
        <w:rPr>
          <w:noProof/>
        </w:rPr>
        <w:t>10</w:t>
      </w:r>
      <w:r>
        <w:rPr>
          <w:noProof/>
        </w:rPr>
        <w:fldChar w:fldCharType="end"/>
      </w:r>
    </w:p>
    <w:p w14:paraId="6D0D37E7"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lastRenderedPageBreak/>
        <w:t>Figure 6.</w:t>
      </w:r>
      <w:r>
        <w:rPr>
          <w:rFonts w:asciiTheme="minorHAnsi" w:eastAsiaTheme="minorEastAsia" w:hAnsiTheme="minorHAnsi" w:cstheme="minorBidi"/>
          <w:noProof/>
          <w:sz w:val="22"/>
          <w:szCs w:val="22"/>
        </w:rPr>
        <w:tab/>
      </w:r>
      <w:r>
        <w:rPr>
          <w:noProof/>
        </w:rPr>
        <w:t xml:space="preserve">Annual cumulative departure from the mean for, </w:t>
      </w:r>
      <w:r w:rsidRPr="00A77A19">
        <w:rPr>
          <w:i/>
          <w:noProof/>
        </w:rPr>
        <w:t>A</w:t>
      </w:r>
      <w:r>
        <w:rPr>
          <w:noProof/>
        </w:rPr>
        <w:t xml:space="preserve">, precipitation and simulated groundwater recharge as a spatial average within the control volume (Davis and Long, 2017b) and, </w:t>
      </w:r>
      <w:r w:rsidRPr="00A77A19">
        <w:rPr>
          <w:i/>
          <w:noProof/>
        </w:rPr>
        <w:t>B</w:t>
      </w:r>
      <w:r>
        <w:rPr>
          <w:noProof/>
        </w:rPr>
        <w:t>, precipitation for selected weather stations. Climatically dry periods are shown in gray.</w:t>
      </w:r>
      <w:r>
        <w:rPr>
          <w:noProof/>
        </w:rPr>
        <w:tab/>
      </w:r>
      <w:r>
        <w:rPr>
          <w:noProof/>
        </w:rPr>
        <w:fldChar w:fldCharType="begin"/>
      </w:r>
      <w:r>
        <w:rPr>
          <w:noProof/>
        </w:rPr>
        <w:instrText xml:space="preserve"> PAGEREF _Toc486492000 \h </w:instrText>
      </w:r>
      <w:r>
        <w:rPr>
          <w:noProof/>
        </w:rPr>
      </w:r>
      <w:r>
        <w:rPr>
          <w:noProof/>
        </w:rPr>
        <w:fldChar w:fldCharType="separate"/>
      </w:r>
      <w:r>
        <w:rPr>
          <w:noProof/>
        </w:rPr>
        <w:t>15</w:t>
      </w:r>
      <w:r>
        <w:rPr>
          <w:noProof/>
        </w:rPr>
        <w:fldChar w:fldCharType="end"/>
      </w:r>
    </w:p>
    <w:p w14:paraId="2F267DFF"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7.</w:t>
      </w:r>
      <w:r>
        <w:rPr>
          <w:rFonts w:asciiTheme="minorHAnsi" w:eastAsiaTheme="minorEastAsia" w:hAnsiTheme="minorHAnsi" w:cstheme="minorBidi"/>
          <w:noProof/>
          <w:sz w:val="22"/>
          <w:szCs w:val="22"/>
        </w:rPr>
        <w:tab/>
      </w:r>
      <w:r>
        <w:rPr>
          <w:noProof/>
        </w:rPr>
        <w:t>Weather stations and long-term precipitation (1981</w:t>
      </w:r>
      <w:r w:rsidRPr="00A77A19">
        <w:rPr>
          <w:rFonts w:ascii="Times New Roman" w:hAnsi="Times New Roman"/>
          <w:noProof/>
        </w:rPr>
        <w:t>‒</w:t>
      </w:r>
      <w:r>
        <w:rPr>
          <w:noProof/>
        </w:rPr>
        <w:t>2011) in the study area. Precipitation map from Long and others (2014).</w:t>
      </w:r>
      <w:r>
        <w:rPr>
          <w:noProof/>
        </w:rPr>
        <w:tab/>
      </w:r>
      <w:r>
        <w:rPr>
          <w:noProof/>
        </w:rPr>
        <w:fldChar w:fldCharType="begin"/>
      </w:r>
      <w:r>
        <w:rPr>
          <w:noProof/>
        </w:rPr>
        <w:instrText xml:space="preserve"> PAGEREF _Toc486492001 \h </w:instrText>
      </w:r>
      <w:r>
        <w:rPr>
          <w:noProof/>
        </w:rPr>
      </w:r>
      <w:r>
        <w:rPr>
          <w:noProof/>
        </w:rPr>
        <w:fldChar w:fldCharType="separate"/>
      </w:r>
      <w:r>
        <w:rPr>
          <w:noProof/>
        </w:rPr>
        <w:t>17</w:t>
      </w:r>
      <w:r>
        <w:rPr>
          <w:noProof/>
        </w:rPr>
        <w:fldChar w:fldCharType="end"/>
      </w:r>
    </w:p>
    <w:p w14:paraId="72BC7AD2"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8.</w:t>
      </w:r>
      <w:r>
        <w:rPr>
          <w:rFonts w:asciiTheme="minorHAnsi" w:eastAsiaTheme="minorEastAsia" w:hAnsiTheme="minorHAnsi" w:cstheme="minorBidi"/>
          <w:noProof/>
          <w:sz w:val="22"/>
          <w:szCs w:val="22"/>
        </w:rPr>
        <w:tab/>
      </w:r>
      <w:r>
        <w:rPr>
          <w:noProof/>
        </w:rPr>
        <w:t xml:space="preserve">Simulated groundwater-flow budget, showing </w:t>
      </w:r>
      <w:r w:rsidRPr="00A77A19">
        <w:rPr>
          <w:i/>
          <w:noProof/>
        </w:rPr>
        <w:t>A</w:t>
      </w:r>
      <w:r>
        <w:rPr>
          <w:noProof/>
        </w:rPr>
        <w:t xml:space="preserve">, conceptual profile of the groundwater system and </w:t>
      </w:r>
      <w:r w:rsidRPr="00A77A19">
        <w:rPr>
          <w:i/>
          <w:noProof/>
        </w:rPr>
        <w:t>B</w:t>
      </w:r>
      <w:r>
        <w:rPr>
          <w:noProof/>
        </w:rPr>
        <w:t>, relative magnitudes of water-budget components for predevelopment (pre-1961), average conditions (1981-2005), and 2005. This budget applies to the control volume. Values are from Davis and Long (2017a) .</w:t>
      </w:r>
      <w:r>
        <w:rPr>
          <w:noProof/>
        </w:rPr>
        <w:tab/>
      </w:r>
      <w:r>
        <w:rPr>
          <w:noProof/>
        </w:rPr>
        <w:fldChar w:fldCharType="begin"/>
      </w:r>
      <w:r>
        <w:rPr>
          <w:noProof/>
        </w:rPr>
        <w:instrText xml:space="preserve"> PAGEREF _Toc486492002 \h </w:instrText>
      </w:r>
      <w:r>
        <w:rPr>
          <w:noProof/>
        </w:rPr>
      </w:r>
      <w:r>
        <w:rPr>
          <w:noProof/>
        </w:rPr>
        <w:fldChar w:fldCharType="separate"/>
      </w:r>
      <w:r>
        <w:rPr>
          <w:noProof/>
        </w:rPr>
        <w:t>20</w:t>
      </w:r>
      <w:r>
        <w:rPr>
          <w:noProof/>
        </w:rPr>
        <w:fldChar w:fldCharType="end"/>
      </w:r>
    </w:p>
    <w:p w14:paraId="43C0CCAA"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9.</w:t>
      </w:r>
      <w:r>
        <w:rPr>
          <w:rFonts w:asciiTheme="minorHAnsi" w:eastAsiaTheme="minorEastAsia" w:hAnsiTheme="minorHAnsi" w:cstheme="minorBidi"/>
          <w:noProof/>
          <w:sz w:val="22"/>
          <w:szCs w:val="22"/>
        </w:rPr>
        <w:tab/>
      </w:r>
      <w:r>
        <w:rPr>
          <w:noProof/>
        </w:rPr>
        <w:t xml:space="preserve">Simulated groundwater-flow budget by stress period (predevelopment-2005) for, </w:t>
      </w:r>
      <w:r w:rsidRPr="00A77A19">
        <w:rPr>
          <w:i/>
          <w:noProof/>
        </w:rPr>
        <w:t>A</w:t>
      </w:r>
      <w:r>
        <w:rPr>
          <w:noProof/>
        </w:rPr>
        <w:t xml:space="preserve">, the glacial aquifer system; </w:t>
      </w:r>
      <w:r w:rsidRPr="00A77A19">
        <w:rPr>
          <w:i/>
          <w:noProof/>
        </w:rPr>
        <w:t>B</w:t>
      </w:r>
      <w:r>
        <w:rPr>
          <w:noProof/>
        </w:rPr>
        <w:t xml:space="preserve">, the lower Tertiary aquifer system; and </w:t>
      </w:r>
      <w:r w:rsidRPr="00A77A19">
        <w:rPr>
          <w:i/>
          <w:noProof/>
        </w:rPr>
        <w:t>C</w:t>
      </w:r>
      <w:r>
        <w:rPr>
          <w:noProof/>
        </w:rPr>
        <w:t xml:space="preserve">, the Upper Cretaceous aquifer system. Values are from Davis and Long (2017a) . </w:t>
      </w:r>
      <w:r w:rsidRPr="00A77A19">
        <w:rPr>
          <w:noProof/>
          <w:highlight w:val="yellow"/>
        </w:rPr>
        <w:t>[** Kyle will update spreadsheet to show predevelopment for the first stress period. Switch to cfs for entire report.]</w:t>
      </w:r>
      <w:r>
        <w:rPr>
          <w:noProof/>
        </w:rPr>
        <w:tab/>
      </w:r>
      <w:r>
        <w:rPr>
          <w:noProof/>
        </w:rPr>
        <w:fldChar w:fldCharType="begin"/>
      </w:r>
      <w:r>
        <w:rPr>
          <w:noProof/>
        </w:rPr>
        <w:instrText xml:space="preserve"> PAGEREF _Toc486492003 \h </w:instrText>
      </w:r>
      <w:r>
        <w:rPr>
          <w:noProof/>
        </w:rPr>
      </w:r>
      <w:r>
        <w:rPr>
          <w:noProof/>
        </w:rPr>
        <w:fldChar w:fldCharType="separate"/>
      </w:r>
      <w:r>
        <w:rPr>
          <w:noProof/>
        </w:rPr>
        <w:t>23</w:t>
      </w:r>
      <w:r>
        <w:rPr>
          <w:noProof/>
        </w:rPr>
        <w:fldChar w:fldCharType="end"/>
      </w:r>
    </w:p>
    <w:p w14:paraId="567871B2"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10.</w:t>
      </w:r>
      <w:r>
        <w:rPr>
          <w:rFonts w:asciiTheme="minorHAnsi" w:eastAsiaTheme="minorEastAsia" w:hAnsiTheme="minorHAnsi" w:cstheme="minorBidi"/>
          <w:noProof/>
          <w:sz w:val="22"/>
          <w:szCs w:val="22"/>
        </w:rPr>
        <w:tab/>
      </w:r>
      <w:r>
        <w:rPr>
          <w:noProof/>
        </w:rPr>
        <w:t>Groundwater well withdrawals, by aquifer system (predevelopment-2005).</w:t>
      </w:r>
      <w:r>
        <w:rPr>
          <w:noProof/>
        </w:rPr>
        <w:tab/>
      </w:r>
      <w:r>
        <w:rPr>
          <w:noProof/>
        </w:rPr>
        <w:fldChar w:fldCharType="begin"/>
      </w:r>
      <w:r>
        <w:rPr>
          <w:noProof/>
        </w:rPr>
        <w:instrText xml:space="preserve"> PAGEREF _Toc486492004 \h </w:instrText>
      </w:r>
      <w:r>
        <w:rPr>
          <w:noProof/>
        </w:rPr>
      </w:r>
      <w:r>
        <w:rPr>
          <w:noProof/>
        </w:rPr>
        <w:fldChar w:fldCharType="separate"/>
      </w:r>
      <w:r>
        <w:rPr>
          <w:noProof/>
        </w:rPr>
        <w:t>23</w:t>
      </w:r>
      <w:r>
        <w:rPr>
          <w:noProof/>
        </w:rPr>
        <w:fldChar w:fldCharType="end"/>
      </w:r>
    </w:p>
    <w:p w14:paraId="65AE8EA1"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11.</w:t>
      </w:r>
      <w:r>
        <w:rPr>
          <w:rFonts w:asciiTheme="minorHAnsi" w:eastAsiaTheme="minorEastAsia" w:hAnsiTheme="minorHAnsi" w:cstheme="minorBidi"/>
          <w:noProof/>
          <w:sz w:val="22"/>
          <w:szCs w:val="22"/>
        </w:rPr>
        <w:tab/>
      </w:r>
      <w:r>
        <w:rPr>
          <w:noProof/>
        </w:rPr>
        <w:t xml:space="preserve">Measured water-level change in the Fox Hills aquifer, 1960-2005 </w:t>
      </w:r>
      <w:r w:rsidRPr="00A77A19">
        <w:rPr>
          <w:i/>
          <w:noProof/>
        </w:rPr>
        <w:t xml:space="preserve"> Colorflood with isopach.</w:t>
      </w:r>
      <w:r>
        <w:rPr>
          <w:noProof/>
        </w:rPr>
        <w:tab/>
      </w:r>
      <w:r>
        <w:rPr>
          <w:noProof/>
        </w:rPr>
        <w:fldChar w:fldCharType="begin"/>
      </w:r>
      <w:r>
        <w:rPr>
          <w:noProof/>
        </w:rPr>
        <w:instrText xml:space="preserve"> PAGEREF _Toc486492005 \h </w:instrText>
      </w:r>
      <w:r>
        <w:rPr>
          <w:noProof/>
        </w:rPr>
      </w:r>
      <w:r>
        <w:rPr>
          <w:noProof/>
        </w:rPr>
        <w:fldChar w:fldCharType="separate"/>
      </w:r>
      <w:r>
        <w:rPr>
          <w:noProof/>
        </w:rPr>
        <w:t>23</w:t>
      </w:r>
      <w:r>
        <w:rPr>
          <w:noProof/>
        </w:rPr>
        <w:fldChar w:fldCharType="end"/>
      </w:r>
    </w:p>
    <w:p w14:paraId="74A2B5F0"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12.</w:t>
      </w:r>
      <w:r>
        <w:rPr>
          <w:rFonts w:asciiTheme="minorHAnsi" w:eastAsiaTheme="minorEastAsia" w:hAnsiTheme="minorHAnsi" w:cstheme="minorBidi"/>
          <w:noProof/>
          <w:sz w:val="22"/>
          <w:szCs w:val="22"/>
        </w:rPr>
        <w:tab/>
      </w:r>
      <w:r>
        <w:rPr>
          <w:noProof/>
        </w:rPr>
        <w:t>Groundwater-flow budget of the lower Tertiary aquifer system, 1960-2005</w:t>
      </w:r>
      <w:r>
        <w:rPr>
          <w:noProof/>
        </w:rPr>
        <w:tab/>
      </w:r>
      <w:r>
        <w:rPr>
          <w:noProof/>
        </w:rPr>
        <w:fldChar w:fldCharType="begin"/>
      </w:r>
      <w:r>
        <w:rPr>
          <w:noProof/>
        </w:rPr>
        <w:instrText xml:space="preserve"> PAGEREF _Toc486492006 \h </w:instrText>
      </w:r>
      <w:r>
        <w:rPr>
          <w:noProof/>
        </w:rPr>
      </w:r>
      <w:r>
        <w:rPr>
          <w:noProof/>
        </w:rPr>
        <w:fldChar w:fldCharType="separate"/>
      </w:r>
      <w:r>
        <w:rPr>
          <w:noProof/>
        </w:rPr>
        <w:t>24</w:t>
      </w:r>
      <w:r>
        <w:rPr>
          <w:noProof/>
        </w:rPr>
        <w:fldChar w:fldCharType="end"/>
      </w:r>
    </w:p>
    <w:p w14:paraId="212AB745"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13.</w:t>
      </w:r>
      <w:r>
        <w:rPr>
          <w:rFonts w:asciiTheme="minorHAnsi" w:eastAsiaTheme="minorEastAsia" w:hAnsiTheme="minorHAnsi" w:cstheme="minorBidi"/>
          <w:noProof/>
          <w:sz w:val="22"/>
          <w:szCs w:val="22"/>
        </w:rPr>
        <w:tab/>
      </w:r>
      <w:r>
        <w:rPr>
          <w:noProof/>
        </w:rPr>
        <w:t>Groundwater-flow budget of the Upper Cretaceous aquifer system, 1960-2005</w:t>
      </w:r>
      <w:r>
        <w:rPr>
          <w:noProof/>
        </w:rPr>
        <w:tab/>
      </w:r>
      <w:r>
        <w:rPr>
          <w:noProof/>
        </w:rPr>
        <w:fldChar w:fldCharType="begin"/>
      </w:r>
      <w:r>
        <w:rPr>
          <w:noProof/>
        </w:rPr>
        <w:instrText xml:space="preserve"> PAGEREF _Toc486492007 \h </w:instrText>
      </w:r>
      <w:r>
        <w:rPr>
          <w:noProof/>
        </w:rPr>
      </w:r>
      <w:r>
        <w:rPr>
          <w:noProof/>
        </w:rPr>
        <w:fldChar w:fldCharType="separate"/>
      </w:r>
      <w:r>
        <w:rPr>
          <w:noProof/>
        </w:rPr>
        <w:t>24</w:t>
      </w:r>
      <w:r>
        <w:rPr>
          <w:noProof/>
        </w:rPr>
        <w:fldChar w:fldCharType="end"/>
      </w:r>
    </w:p>
    <w:p w14:paraId="7EC587F0"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14.</w:t>
      </w:r>
      <w:r>
        <w:rPr>
          <w:rFonts w:asciiTheme="minorHAnsi" w:eastAsiaTheme="minorEastAsia" w:hAnsiTheme="minorHAnsi" w:cstheme="minorBidi"/>
          <w:noProof/>
          <w:sz w:val="22"/>
          <w:szCs w:val="22"/>
        </w:rPr>
        <w:tab/>
      </w:r>
      <w:r>
        <w:rPr>
          <w:noProof/>
        </w:rPr>
        <w:t>Groundwater-flow budget of local areas, western North Dakota and eastern Montana</w:t>
      </w:r>
      <w:r>
        <w:rPr>
          <w:noProof/>
        </w:rPr>
        <w:tab/>
      </w:r>
      <w:r>
        <w:rPr>
          <w:noProof/>
        </w:rPr>
        <w:fldChar w:fldCharType="begin"/>
      </w:r>
      <w:r>
        <w:rPr>
          <w:noProof/>
        </w:rPr>
        <w:instrText xml:space="preserve"> PAGEREF _Toc486492008 \h </w:instrText>
      </w:r>
      <w:r>
        <w:rPr>
          <w:noProof/>
        </w:rPr>
      </w:r>
      <w:r>
        <w:rPr>
          <w:noProof/>
        </w:rPr>
        <w:fldChar w:fldCharType="separate"/>
      </w:r>
      <w:r>
        <w:rPr>
          <w:noProof/>
        </w:rPr>
        <w:t>24</w:t>
      </w:r>
      <w:r>
        <w:rPr>
          <w:noProof/>
        </w:rPr>
        <w:fldChar w:fldCharType="end"/>
      </w:r>
    </w:p>
    <w:p w14:paraId="7AFCF307"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15.</w:t>
      </w:r>
      <w:r>
        <w:rPr>
          <w:rFonts w:asciiTheme="minorHAnsi" w:eastAsiaTheme="minorEastAsia" w:hAnsiTheme="minorHAnsi" w:cstheme="minorBidi"/>
          <w:noProof/>
          <w:sz w:val="22"/>
          <w:szCs w:val="22"/>
        </w:rPr>
        <w:tab/>
      </w:r>
      <w:r>
        <w:rPr>
          <w:noProof/>
        </w:rPr>
        <w:t>Simulated water-level change map from 2005 to 2035 in the upper Fort Union aquifer as a result of flowing wells.</w:t>
      </w:r>
      <w:r>
        <w:rPr>
          <w:noProof/>
        </w:rPr>
        <w:tab/>
      </w:r>
      <w:r>
        <w:rPr>
          <w:noProof/>
        </w:rPr>
        <w:fldChar w:fldCharType="begin"/>
      </w:r>
      <w:r>
        <w:rPr>
          <w:noProof/>
        </w:rPr>
        <w:instrText xml:space="preserve"> PAGEREF _Toc486492009 \h </w:instrText>
      </w:r>
      <w:r>
        <w:rPr>
          <w:noProof/>
        </w:rPr>
      </w:r>
      <w:r>
        <w:rPr>
          <w:noProof/>
        </w:rPr>
        <w:fldChar w:fldCharType="separate"/>
      </w:r>
      <w:r>
        <w:rPr>
          <w:noProof/>
        </w:rPr>
        <w:t>26</w:t>
      </w:r>
      <w:r>
        <w:rPr>
          <w:noProof/>
        </w:rPr>
        <w:fldChar w:fldCharType="end"/>
      </w:r>
    </w:p>
    <w:p w14:paraId="550442A9"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16.</w:t>
      </w:r>
      <w:r>
        <w:rPr>
          <w:rFonts w:asciiTheme="minorHAnsi" w:eastAsiaTheme="minorEastAsia" w:hAnsiTheme="minorHAnsi" w:cstheme="minorBidi"/>
          <w:noProof/>
          <w:sz w:val="22"/>
          <w:szCs w:val="22"/>
        </w:rPr>
        <w:tab/>
      </w:r>
      <w:r>
        <w:rPr>
          <w:noProof/>
        </w:rPr>
        <w:t>Simulated water-level change map from 2005 to 2035 in the lower Fort Union aquifer as a result of flowing wells.</w:t>
      </w:r>
      <w:r>
        <w:rPr>
          <w:noProof/>
        </w:rPr>
        <w:tab/>
      </w:r>
      <w:r>
        <w:rPr>
          <w:noProof/>
        </w:rPr>
        <w:fldChar w:fldCharType="begin"/>
      </w:r>
      <w:r>
        <w:rPr>
          <w:noProof/>
        </w:rPr>
        <w:instrText xml:space="preserve"> PAGEREF _Toc486492010 \h </w:instrText>
      </w:r>
      <w:r>
        <w:rPr>
          <w:noProof/>
        </w:rPr>
      </w:r>
      <w:r>
        <w:rPr>
          <w:noProof/>
        </w:rPr>
        <w:fldChar w:fldCharType="separate"/>
      </w:r>
      <w:r>
        <w:rPr>
          <w:noProof/>
        </w:rPr>
        <w:t>26</w:t>
      </w:r>
      <w:r>
        <w:rPr>
          <w:noProof/>
        </w:rPr>
        <w:fldChar w:fldCharType="end"/>
      </w:r>
    </w:p>
    <w:p w14:paraId="1F7E359F"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17.</w:t>
      </w:r>
      <w:r>
        <w:rPr>
          <w:rFonts w:asciiTheme="minorHAnsi" w:eastAsiaTheme="minorEastAsia" w:hAnsiTheme="minorHAnsi" w:cstheme="minorBidi"/>
          <w:noProof/>
          <w:sz w:val="22"/>
          <w:szCs w:val="22"/>
        </w:rPr>
        <w:tab/>
      </w:r>
      <w:r>
        <w:rPr>
          <w:noProof/>
        </w:rPr>
        <w:t>Simulated water-level change map from 2005 to 2035 in the Fox Hills aquifer as a result of flowing wells.</w:t>
      </w:r>
      <w:r>
        <w:rPr>
          <w:noProof/>
        </w:rPr>
        <w:tab/>
      </w:r>
      <w:r>
        <w:rPr>
          <w:noProof/>
        </w:rPr>
        <w:fldChar w:fldCharType="begin"/>
      </w:r>
      <w:r>
        <w:rPr>
          <w:noProof/>
        </w:rPr>
        <w:instrText xml:space="preserve"> PAGEREF _Toc486492011 \h </w:instrText>
      </w:r>
      <w:r>
        <w:rPr>
          <w:noProof/>
        </w:rPr>
      </w:r>
      <w:r>
        <w:rPr>
          <w:noProof/>
        </w:rPr>
        <w:fldChar w:fldCharType="separate"/>
      </w:r>
      <w:r>
        <w:rPr>
          <w:noProof/>
        </w:rPr>
        <w:t>26</w:t>
      </w:r>
      <w:r>
        <w:rPr>
          <w:noProof/>
        </w:rPr>
        <w:fldChar w:fldCharType="end"/>
      </w:r>
    </w:p>
    <w:p w14:paraId="47DBE1A3"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lastRenderedPageBreak/>
        <w:t>Figure 18.</w:t>
      </w:r>
      <w:r>
        <w:rPr>
          <w:rFonts w:asciiTheme="minorHAnsi" w:eastAsiaTheme="minorEastAsia" w:hAnsiTheme="minorHAnsi" w:cstheme="minorBidi"/>
          <w:noProof/>
          <w:sz w:val="22"/>
          <w:szCs w:val="22"/>
        </w:rPr>
        <w:tab/>
      </w:r>
      <w:r>
        <w:rPr>
          <w:noProof/>
        </w:rPr>
        <w:t xml:space="preserve">Decline in the number of simulated flowing wells from 2005 to 2035, during which time simulated groundwater recharge and pumping was constant. </w:t>
      </w:r>
      <w:r w:rsidRPr="00A77A19">
        <w:rPr>
          <w:noProof/>
          <w:highlight w:val="yellow"/>
        </w:rPr>
        <w:t>[** line graph with the number of flowing wells on the y-axis and time on the x-axis]</w:t>
      </w:r>
      <w:r>
        <w:rPr>
          <w:noProof/>
        </w:rPr>
        <w:tab/>
      </w:r>
      <w:r>
        <w:rPr>
          <w:noProof/>
        </w:rPr>
        <w:fldChar w:fldCharType="begin"/>
      </w:r>
      <w:r>
        <w:rPr>
          <w:noProof/>
        </w:rPr>
        <w:instrText xml:space="preserve"> PAGEREF _Toc486492012 \h </w:instrText>
      </w:r>
      <w:r>
        <w:rPr>
          <w:noProof/>
        </w:rPr>
      </w:r>
      <w:r>
        <w:rPr>
          <w:noProof/>
        </w:rPr>
        <w:fldChar w:fldCharType="separate"/>
      </w:r>
      <w:r>
        <w:rPr>
          <w:noProof/>
        </w:rPr>
        <w:t>26</w:t>
      </w:r>
      <w:r>
        <w:rPr>
          <w:noProof/>
        </w:rPr>
        <w:fldChar w:fldCharType="end"/>
      </w:r>
    </w:p>
    <w:p w14:paraId="596C11FD"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19.</w:t>
      </w:r>
      <w:r>
        <w:rPr>
          <w:rFonts w:asciiTheme="minorHAnsi" w:eastAsiaTheme="minorEastAsia" w:hAnsiTheme="minorHAnsi" w:cstheme="minorBidi"/>
          <w:noProof/>
          <w:sz w:val="22"/>
          <w:szCs w:val="22"/>
        </w:rPr>
        <w:tab/>
      </w:r>
      <w:r>
        <w:rPr>
          <w:noProof/>
        </w:rPr>
        <w:t>Comparison of scenarios 1 (baseline), 2 (drought), and 3 (drought with increased groundwater withdrawals), showing water-level hydrographs for selected sites.</w:t>
      </w:r>
      <w:r>
        <w:rPr>
          <w:noProof/>
        </w:rPr>
        <w:tab/>
      </w:r>
      <w:r>
        <w:rPr>
          <w:noProof/>
        </w:rPr>
        <w:fldChar w:fldCharType="begin"/>
      </w:r>
      <w:r>
        <w:rPr>
          <w:noProof/>
        </w:rPr>
        <w:instrText xml:space="preserve"> PAGEREF _Toc486492013 \h </w:instrText>
      </w:r>
      <w:r>
        <w:rPr>
          <w:noProof/>
        </w:rPr>
      </w:r>
      <w:r>
        <w:rPr>
          <w:noProof/>
        </w:rPr>
        <w:fldChar w:fldCharType="separate"/>
      </w:r>
      <w:r>
        <w:rPr>
          <w:noProof/>
        </w:rPr>
        <w:t>29</w:t>
      </w:r>
      <w:r>
        <w:rPr>
          <w:noProof/>
        </w:rPr>
        <w:fldChar w:fldCharType="end"/>
      </w:r>
    </w:p>
    <w:p w14:paraId="21FB06B5"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20.</w:t>
      </w:r>
      <w:r>
        <w:rPr>
          <w:rFonts w:asciiTheme="minorHAnsi" w:eastAsiaTheme="minorEastAsia" w:hAnsiTheme="minorHAnsi" w:cstheme="minorBidi"/>
          <w:noProof/>
          <w:sz w:val="22"/>
          <w:szCs w:val="22"/>
        </w:rPr>
        <w:tab/>
      </w:r>
      <w:r>
        <w:rPr>
          <w:noProof/>
        </w:rPr>
        <w:t xml:space="preserve">Simulated water-level change maps from 2005 to 2015 for scenarios 2 and 3 for, </w:t>
      </w:r>
      <w:r w:rsidRPr="00A77A19">
        <w:rPr>
          <w:i/>
          <w:noProof/>
        </w:rPr>
        <w:t>A</w:t>
      </w:r>
      <w:r>
        <w:rPr>
          <w:noProof/>
        </w:rPr>
        <w:t xml:space="preserve">, the glacial aquifer system and, </w:t>
      </w:r>
      <w:r w:rsidRPr="00A77A19">
        <w:rPr>
          <w:i/>
          <w:noProof/>
        </w:rPr>
        <w:t>B</w:t>
      </w:r>
      <w:r>
        <w:rPr>
          <w:noProof/>
        </w:rPr>
        <w:t xml:space="preserve">, the upper Fort Union aquifer. </w:t>
      </w:r>
      <w:r w:rsidRPr="00A77A19">
        <w:rPr>
          <w:noProof/>
          <w:highlight w:val="yellow"/>
        </w:rPr>
        <w:t>[**four maps on one page]</w:t>
      </w:r>
      <w:r>
        <w:rPr>
          <w:noProof/>
        </w:rPr>
        <w:tab/>
      </w:r>
      <w:r>
        <w:rPr>
          <w:noProof/>
        </w:rPr>
        <w:fldChar w:fldCharType="begin"/>
      </w:r>
      <w:r>
        <w:rPr>
          <w:noProof/>
        </w:rPr>
        <w:instrText xml:space="preserve"> PAGEREF _Toc486492014 \h </w:instrText>
      </w:r>
      <w:r>
        <w:rPr>
          <w:noProof/>
        </w:rPr>
      </w:r>
      <w:r>
        <w:rPr>
          <w:noProof/>
        </w:rPr>
        <w:fldChar w:fldCharType="separate"/>
      </w:r>
      <w:r>
        <w:rPr>
          <w:noProof/>
        </w:rPr>
        <w:t>29</w:t>
      </w:r>
      <w:r>
        <w:rPr>
          <w:noProof/>
        </w:rPr>
        <w:fldChar w:fldCharType="end"/>
      </w:r>
    </w:p>
    <w:p w14:paraId="363D0188"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21.</w:t>
      </w:r>
      <w:r>
        <w:rPr>
          <w:rFonts w:asciiTheme="minorHAnsi" w:eastAsiaTheme="minorEastAsia" w:hAnsiTheme="minorHAnsi" w:cstheme="minorBidi"/>
          <w:noProof/>
          <w:sz w:val="22"/>
          <w:szCs w:val="22"/>
        </w:rPr>
        <w:tab/>
      </w:r>
      <w:r>
        <w:rPr>
          <w:noProof/>
        </w:rPr>
        <w:t>Simulated change in groundwater-flow budget from 2005 to 2015 for the glacial aquifer system, upper Fort Union aquifer, and Fox Hills aquifer [</w:t>
      </w:r>
      <w:r w:rsidRPr="00A77A19">
        <w:rPr>
          <w:noProof/>
          <w:highlight w:val="yellow"/>
        </w:rPr>
        <w:t>**this would likely show that most groundwater being removed from shallower aquifers and lesser stress on the deeper aquifers. We could six pie charts: glacial, UFU, and FH for 2005 and 2015.]</w:t>
      </w:r>
      <w:r>
        <w:rPr>
          <w:noProof/>
        </w:rPr>
        <w:tab/>
      </w:r>
      <w:r>
        <w:rPr>
          <w:noProof/>
        </w:rPr>
        <w:fldChar w:fldCharType="begin"/>
      </w:r>
      <w:r>
        <w:rPr>
          <w:noProof/>
        </w:rPr>
        <w:instrText xml:space="preserve"> PAGEREF _Toc486492015 \h </w:instrText>
      </w:r>
      <w:r>
        <w:rPr>
          <w:noProof/>
        </w:rPr>
      </w:r>
      <w:r>
        <w:rPr>
          <w:noProof/>
        </w:rPr>
        <w:fldChar w:fldCharType="separate"/>
      </w:r>
      <w:r>
        <w:rPr>
          <w:noProof/>
        </w:rPr>
        <w:t>29</w:t>
      </w:r>
      <w:r>
        <w:rPr>
          <w:noProof/>
        </w:rPr>
        <w:fldChar w:fldCharType="end"/>
      </w:r>
    </w:p>
    <w:p w14:paraId="5D708596"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22.</w:t>
      </w:r>
      <w:r>
        <w:rPr>
          <w:rFonts w:asciiTheme="minorHAnsi" w:eastAsiaTheme="minorEastAsia" w:hAnsiTheme="minorHAnsi" w:cstheme="minorBidi"/>
          <w:noProof/>
          <w:sz w:val="22"/>
          <w:szCs w:val="22"/>
        </w:rPr>
        <w:tab/>
      </w:r>
      <w:r>
        <w:rPr>
          <w:noProof/>
        </w:rPr>
        <w:t>Cumulative change in groundwater storage by aquifer system, 2005-2015.</w:t>
      </w:r>
      <w:r>
        <w:rPr>
          <w:noProof/>
        </w:rPr>
        <w:tab/>
      </w:r>
      <w:r>
        <w:rPr>
          <w:noProof/>
        </w:rPr>
        <w:fldChar w:fldCharType="begin"/>
      </w:r>
      <w:r>
        <w:rPr>
          <w:noProof/>
        </w:rPr>
        <w:instrText xml:space="preserve"> PAGEREF _Toc486492016 \h </w:instrText>
      </w:r>
      <w:r>
        <w:rPr>
          <w:noProof/>
        </w:rPr>
      </w:r>
      <w:r>
        <w:rPr>
          <w:noProof/>
        </w:rPr>
        <w:fldChar w:fldCharType="separate"/>
      </w:r>
      <w:r>
        <w:rPr>
          <w:noProof/>
        </w:rPr>
        <w:t>29</w:t>
      </w:r>
      <w:r>
        <w:rPr>
          <w:noProof/>
        </w:rPr>
        <w:fldChar w:fldCharType="end"/>
      </w:r>
    </w:p>
    <w:p w14:paraId="40C1BAC3"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23.</w:t>
      </w:r>
      <w:r>
        <w:rPr>
          <w:rFonts w:asciiTheme="minorHAnsi" w:eastAsiaTheme="minorEastAsia" w:hAnsiTheme="minorHAnsi" w:cstheme="minorBidi"/>
          <w:noProof/>
          <w:sz w:val="22"/>
          <w:szCs w:val="22"/>
        </w:rPr>
        <w:tab/>
      </w:r>
      <w:r>
        <w:rPr>
          <w:noProof/>
        </w:rPr>
        <w:t>Data-worth map for streamflow forecast site F3. The map shows the relative data-worth values associated with a potential new observation well that, if installed, could reduce simulated uncertainty of a streamflow forecast.</w:t>
      </w:r>
      <w:r>
        <w:rPr>
          <w:noProof/>
        </w:rPr>
        <w:tab/>
      </w:r>
      <w:r>
        <w:rPr>
          <w:noProof/>
        </w:rPr>
        <w:fldChar w:fldCharType="begin"/>
      </w:r>
      <w:r>
        <w:rPr>
          <w:noProof/>
        </w:rPr>
        <w:instrText xml:space="preserve"> PAGEREF _Toc486492017 \h </w:instrText>
      </w:r>
      <w:r>
        <w:rPr>
          <w:noProof/>
        </w:rPr>
      </w:r>
      <w:r>
        <w:rPr>
          <w:noProof/>
        </w:rPr>
        <w:fldChar w:fldCharType="separate"/>
      </w:r>
      <w:r>
        <w:rPr>
          <w:noProof/>
        </w:rPr>
        <w:t>32</w:t>
      </w:r>
      <w:r>
        <w:rPr>
          <w:noProof/>
        </w:rPr>
        <w:fldChar w:fldCharType="end"/>
      </w:r>
    </w:p>
    <w:p w14:paraId="63269A90"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24.</w:t>
      </w:r>
      <w:r>
        <w:rPr>
          <w:rFonts w:asciiTheme="minorHAnsi" w:eastAsiaTheme="minorEastAsia" w:hAnsiTheme="minorHAnsi" w:cstheme="minorBidi"/>
          <w:noProof/>
          <w:sz w:val="22"/>
          <w:szCs w:val="22"/>
        </w:rPr>
        <w:tab/>
      </w:r>
      <w:r>
        <w:rPr>
          <w:noProof/>
        </w:rPr>
        <w:t>Data-worth map for streamflow forecast site F7. The map shows the relative data-worth values associated with a potential new observation well that, if installed, could reduce simulated uncertainty of a streamflow forecast.</w:t>
      </w:r>
      <w:r>
        <w:rPr>
          <w:noProof/>
        </w:rPr>
        <w:tab/>
      </w:r>
      <w:r>
        <w:rPr>
          <w:noProof/>
        </w:rPr>
        <w:fldChar w:fldCharType="begin"/>
      </w:r>
      <w:r>
        <w:rPr>
          <w:noProof/>
        </w:rPr>
        <w:instrText xml:space="preserve"> PAGEREF _Toc486492018 \h </w:instrText>
      </w:r>
      <w:r>
        <w:rPr>
          <w:noProof/>
        </w:rPr>
      </w:r>
      <w:r>
        <w:rPr>
          <w:noProof/>
        </w:rPr>
        <w:fldChar w:fldCharType="separate"/>
      </w:r>
      <w:r>
        <w:rPr>
          <w:noProof/>
        </w:rPr>
        <w:t>32</w:t>
      </w:r>
      <w:r>
        <w:rPr>
          <w:noProof/>
        </w:rPr>
        <w:fldChar w:fldCharType="end"/>
      </w:r>
    </w:p>
    <w:p w14:paraId="5B046A57"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25.</w:t>
      </w:r>
      <w:r>
        <w:rPr>
          <w:rFonts w:asciiTheme="minorHAnsi" w:eastAsiaTheme="minorEastAsia" w:hAnsiTheme="minorHAnsi" w:cstheme="minorBidi"/>
          <w:noProof/>
          <w:sz w:val="22"/>
          <w:szCs w:val="22"/>
        </w:rPr>
        <w:tab/>
      </w:r>
      <w:r>
        <w:rPr>
          <w:noProof/>
        </w:rPr>
        <w:t>Data-worth map for groundwater-level forecast site H4. The map shows the relative data-worth values associated with a potential new observation well that, if installed, could reduce simulated uncertainty of a streamflow forecast.</w:t>
      </w:r>
      <w:r>
        <w:rPr>
          <w:noProof/>
        </w:rPr>
        <w:tab/>
      </w:r>
      <w:r>
        <w:rPr>
          <w:noProof/>
        </w:rPr>
        <w:fldChar w:fldCharType="begin"/>
      </w:r>
      <w:r>
        <w:rPr>
          <w:noProof/>
        </w:rPr>
        <w:instrText xml:space="preserve"> PAGEREF _Toc486492019 \h </w:instrText>
      </w:r>
      <w:r>
        <w:rPr>
          <w:noProof/>
        </w:rPr>
      </w:r>
      <w:r>
        <w:rPr>
          <w:noProof/>
        </w:rPr>
        <w:fldChar w:fldCharType="separate"/>
      </w:r>
      <w:r>
        <w:rPr>
          <w:noProof/>
        </w:rPr>
        <w:t>32</w:t>
      </w:r>
      <w:r>
        <w:rPr>
          <w:noProof/>
        </w:rPr>
        <w:fldChar w:fldCharType="end"/>
      </w:r>
    </w:p>
    <w:p w14:paraId="53707840" w14:textId="77777777" w:rsidR="008264D0" w:rsidRDefault="008264D0">
      <w:pPr>
        <w:pStyle w:val="TableofFigures"/>
        <w:tabs>
          <w:tab w:val="left" w:pos="1200"/>
          <w:tab w:val="right" w:leader="dot" w:pos="9350"/>
        </w:tabs>
        <w:rPr>
          <w:rFonts w:asciiTheme="minorHAnsi" w:eastAsiaTheme="minorEastAsia" w:hAnsiTheme="minorHAnsi" w:cstheme="minorBidi"/>
          <w:noProof/>
          <w:sz w:val="22"/>
          <w:szCs w:val="22"/>
        </w:rPr>
      </w:pPr>
      <w:r w:rsidRPr="00A77A19">
        <w:rPr>
          <w:b/>
          <w:noProof/>
        </w:rPr>
        <w:t>Figure 26.</w:t>
      </w:r>
      <w:r>
        <w:rPr>
          <w:rFonts w:asciiTheme="minorHAnsi" w:eastAsiaTheme="minorEastAsia" w:hAnsiTheme="minorHAnsi" w:cstheme="minorBidi"/>
          <w:noProof/>
          <w:sz w:val="22"/>
          <w:szCs w:val="22"/>
        </w:rPr>
        <w:tab/>
      </w:r>
      <w:r>
        <w:rPr>
          <w:noProof/>
        </w:rPr>
        <w:t>Data-worth map for groundwater-level forecast site H5. The map shows the relative data-worth values associated with a potential new observation well that, if installed, could reduce simulated uncertainty of a streamflow forecast.</w:t>
      </w:r>
      <w:r>
        <w:rPr>
          <w:noProof/>
        </w:rPr>
        <w:tab/>
      </w:r>
      <w:r>
        <w:rPr>
          <w:noProof/>
        </w:rPr>
        <w:fldChar w:fldCharType="begin"/>
      </w:r>
      <w:r>
        <w:rPr>
          <w:noProof/>
        </w:rPr>
        <w:instrText xml:space="preserve"> PAGEREF _Toc486492020 \h </w:instrText>
      </w:r>
      <w:r>
        <w:rPr>
          <w:noProof/>
        </w:rPr>
      </w:r>
      <w:r>
        <w:rPr>
          <w:noProof/>
        </w:rPr>
        <w:fldChar w:fldCharType="separate"/>
      </w:r>
      <w:r>
        <w:rPr>
          <w:noProof/>
        </w:rPr>
        <w:t>32</w:t>
      </w:r>
      <w:r>
        <w:rPr>
          <w:noProof/>
        </w:rPr>
        <w:fldChar w:fldCharType="end"/>
      </w:r>
    </w:p>
    <w:p w14:paraId="1CC217A1" w14:textId="77777777" w:rsidR="00375D94" w:rsidRDefault="00375D94" w:rsidP="00375D94">
      <w:pPr>
        <w:pStyle w:val="TOCHeading2"/>
      </w:pPr>
      <w:r>
        <w:lastRenderedPageBreak/>
        <w:fldChar w:fldCharType="end"/>
      </w:r>
      <w:r>
        <w:t>Tables</w:t>
      </w:r>
    </w:p>
    <w:p w14:paraId="5D112FF0" w14:textId="77777777" w:rsidR="00866047" w:rsidRDefault="00375D94">
      <w:pPr>
        <w:pStyle w:val="TableofFigures"/>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TOC \t "TableTitle" \c </w:instrText>
      </w:r>
      <w:r>
        <w:fldChar w:fldCharType="separate"/>
      </w:r>
      <w:r w:rsidR="00866047" w:rsidRPr="008842E3">
        <w:rPr>
          <w:b/>
          <w:noProof/>
        </w:rPr>
        <w:t>Table 1.</w:t>
      </w:r>
      <w:r w:rsidR="00866047">
        <w:rPr>
          <w:rFonts w:asciiTheme="minorHAnsi" w:eastAsiaTheme="minorEastAsia" w:hAnsiTheme="minorHAnsi" w:cstheme="minorBidi"/>
          <w:noProof/>
          <w:sz w:val="22"/>
          <w:szCs w:val="22"/>
        </w:rPr>
        <w:tab/>
      </w:r>
      <w:r w:rsidR="00866047">
        <w:rPr>
          <w:noProof/>
        </w:rPr>
        <w:t>Estimated and simulated average groundwater recharge and discharge components for 1981–2005 within a control volume</w:t>
      </w:r>
      <w:r w:rsidR="00866047" w:rsidRPr="008842E3">
        <w:rPr>
          <w:noProof/>
          <w:vertAlign w:val="superscript"/>
        </w:rPr>
        <w:t>a</w:t>
      </w:r>
      <w:r w:rsidR="00866047">
        <w:rPr>
          <w:noProof/>
        </w:rPr>
        <w:t xml:space="preserve"> of the model domain (modified from </w:t>
      </w:r>
      <w:r w:rsidR="00AB7647">
        <w:rPr>
          <w:noProof/>
        </w:rPr>
        <w:t>Davis and Long, 2017a</w:t>
      </w:r>
      <w:r w:rsidR="00866047">
        <w:rPr>
          <w:noProof/>
        </w:rPr>
        <w:t>).</w:t>
      </w:r>
      <w:r w:rsidR="00866047">
        <w:rPr>
          <w:noProof/>
        </w:rPr>
        <w:tab/>
      </w:r>
      <w:r w:rsidR="00866047">
        <w:rPr>
          <w:noProof/>
        </w:rPr>
        <w:fldChar w:fldCharType="begin"/>
      </w:r>
      <w:r w:rsidR="00866047">
        <w:rPr>
          <w:noProof/>
        </w:rPr>
        <w:instrText xml:space="preserve"> PAGEREF _Toc476317914 \h </w:instrText>
      </w:r>
      <w:r w:rsidR="00866047">
        <w:rPr>
          <w:noProof/>
        </w:rPr>
      </w:r>
      <w:r w:rsidR="00866047">
        <w:rPr>
          <w:noProof/>
        </w:rPr>
        <w:fldChar w:fldCharType="separate"/>
      </w:r>
      <w:r w:rsidR="00866047">
        <w:rPr>
          <w:noProof/>
        </w:rPr>
        <w:t>13</w:t>
      </w:r>
      <w:r w:rsidR="00866047">
        <w:rPr>
          <w:noProof/>
        </w:rPr>
        <w:fldChar w:fldCharType="end"/>
      </w:r>
    </w:p>
    <w:p w14:paraId="7768E9B8" w14:textId="77777777" w:rsidR="00375D94" w:rsidRDefault="00375D94" w:rsidP="0029519C">
      <w:pPr>
        <w:pStyle w:val="TOCListsGrouped"/>
      </w:pPr>
      <w:r>
        <w:fldChar w:fldCharType="end"/>
      </w:r>
    </w:p>
    <w:p w14:paraId="0EDB2864" w14:textId="77777777" w:rsidR="0029519C" w:rsidRDefault="0029519C" w:rsidP="0029519C">
      <w:pPr>
        <w:pStyle w:val="TOCListsGrouped"/>
      </w:pPr>
    </w:p>
    <w:p w14:paraId="08A93137" w14:textId="77777777" w:rsidR="0029519C" w:rsidRDefault="0029519C" w:rsidP="00375D94">
      <w:pPr>
        <w:pStyle w:val="SectionHeading"/>
        <w:sectPr w:rsidR="0029519C" w:rsidSect="0029519C">
          <w:pgSz w:w="12240" w:h="15840"/>
          <w:pgMar w:top="1440" w:right="1440" w:bottom="1440" w:left="1440" w:header="720" w:footer="720" w:gutter="0"/>
          <w:pgNumType w:fmt="lowerRoman"/>
          <w:cols w:space="720"/>
          <w:docGrid w:linePitch="360"/>
        </w:sectPr>
      </w:pPr>
    </w:p>
    <w:p w14:paraId="5DD1B6E3" w14:textId="77777777" w:rsidR="002C09AF" w:rsidRPr="008973A5" w:rsidRDefault="002C09AF" w:rsidP="008973A5">
      <w:pPr>
        <w:pStyle w:val="TOCHeading1"/>
      </w:pPr>
      <w:bookmarkStart w:id="6" w:name="_Toc59000057"/>
      <w:bookmarkStart w:id="7" w:name="_Toc59001232"/>
      <w:bookmarkEnd w:id="4"/>
      <w:bookmarkEnd w:id="5"/>
      <w:r w:rsidRPr="008973A5">
        <w:lastRenderedPageBreak/>
        <w:t>Conversion Factors</w:t>
      </w:r>
    </w:p>
    <w:p w14:paraId="51620D3D" w14:textId="77777777" w:rsidR="002C09AF" w:rsidRDefault="009150D9" w:rsidP="00087A89">
      <w:pPr>
        <w:pStyle w:val="ConvFactorNote"/>
      </w:pPr>
      <w:r w:rsidRPr="009150D9">
        <w:t>U.S. customary units</w:t>
      </w:r>
      <w:r>
        <w:t xml:space="preserve"> </w:t>
      </w:r>
      <w:r w:rsidR="002C09AF" w:rsidRPr="00087A89">
        <w:t xml:space="preserve">to </w:t>
      </w:r>
      <w:r w:rsidR="0064351F">
        <w:t>International System of Units</w:t>
      </w:r>
      <w:bookmarkEnd w:id="6"/>
      <w:bookmarkEnd w:id="7"/>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015"/>
        <w:gridCol w:w="1295"/>
        <w:gridCol w:w="4266"/>
      </w:tblGrid>
      <w:tr w:rsidR="00842F3C" w:rsidRPr="00BA340B" w14:paraId="5894CDC5" w14:textId="77777777" w:rsidTr="00283214">
        <w:tc>
          <w:tcPr>
            <w:tcW w:w="4015" w:type="dxa"/>
          </w:tcPr>
          <w:p w14:paraId="39A2B0C8" w14:textId="77777777" w:rsidR="00842F3C" w:rsidRPr="00842F3C" w:rsidRDefault="00842F3C" w:rsidP="00842F3C">
            <w:pPr>
              <w:pStyle w:val="TableCellHeading"/>
            </w:pPr>
            <w:r w:rsidRPr="00BA340B">
              <w:t>Multiply</w:t>
            </w:r>
          </w:p>
        </w:tc>
        <w:tc>
          <w:tcPr>
            <w:tcW w:w="1295" w:type="dxa"/>
          </w:tcPr>
          <w:p w14:paraId="3164B768" w14:textId="77777777" w:rsidR="00842F3C" w:rsidRPr="00842F3C" w:rsidRDefault="00842F3C" w:rsidP="00842F3C">
            <w:pPr>
              <w:pStyle w:val="TableCellHeading"/>
            </w:pPr>
            <w:r w:rsidRPr="00842F3C">
              <w:t>By</w:t>
            </w:r>
          </w:p>
        </w:tc>
        <w:tc>
          <w:tcPr>
            <w:tcW w:w="4266" w:type="dxa"/>
          </w:tcPr>
          <w:p w14:paraId="7FDCE6F2" w14:textId="77777777" w:rsidR="00842F3C" w:rsidRPr="00842F3C" w:rsidRDefault="00842F3C" w:rsidP="00842F3C">
            <w:pPr>
              <w:pStyle w:val="TableCellHeading"/>
            </w:pPr>
            <w:r w:rsidRPr="00842F3C">
              <w:t>To obtain</w:t>
            </w:r>
          </w:p>
        </w:tc>
      </w:tr>
      <w:tr w:rsidR="00842F3C" w:rsidRPr="00BA340B" w14:paraId="203E8EA5" w14:textId="77777777" w:rsidTr="00283214">
        <w:tc>
          <w:tcPr>
            <w:tcW w:w="9576" w:type="dxa"/>
            <w:gridSpan w:val="3"/>
            <w:tcBorders>
              <w:bottom w:val="single" w:sz="4" w:space="0" w:color="auto"/>
            </w:tcBorders>
          </w:tcPr>
          <w:p w14:paraId="5FA6E225" w14:textId="77777777" w:rsidR="00842F3C" w:rsidRPr="00BA340B" w:rsidRDefault="00842F3C" w:rsidP="00283214">
            <w:pPr>
              <w:pStyle w:val="TableSpanner"/>
            </w:pPr>
            <w:r w:rsidRPr="00BA340B">
              <w:t>Length</w:t>
            </w:r>
          </w:p>
        </w:tc>
      </w:tr>
      <w:tr w:rsidR="00842F3C" w:rsidRPr="00BA340B" w14:paraId="345CA733" w14:textId="77777777" w:rsidTr="00283214">
        <w:tc>
          <w:tcPr>
            <w:tcW w:w="4015" w:type="dxa"/>
            <w:tcBorders>
              <w:bottom w:val="nil"/>
            </w:tcBorders>
          </w:tcPr>
          <w:p w14:paraId="1AF30452" w14:textId="77777777" w:rsidR="00842F3C" w:rsidRPr="00BA340B" w:rsidRDefault="00842F3C" w:rsidP="00842F3C">
            <w:pPr>
              <w:pStyle w:val="TableCellBody"/>
            </w:pPr>
            <w:proofErr w:type="gramStart"/>
            <w:r w:rsidRPr="00BA340B">
              <w:t>inch</w:t>
            </w:r>
            <w:proofErr w:type="gramEnd"/>
            <w:r w:rsidRPr="00BA340B">
              <w:t xml:space="preserve"> (in.)</w:t>
            </w:r>
          </w:p>
        </w:tc>
        <w:tc>
          <w:tcPr>
            <w:tcW w:w="1295" w:type="dxa"/>
            <w:tcBorders>
              <w:bottom w:val="nil"/>
            </w:tcBorders>
          </w:tcPr>
          <w:p w14:paraId="77F96FFD" w14:textId="77777777" w:rsidR="00842F3C" w:rsidRPr="00BA340B" w:rsidRDefault="00842F3C" w:rsidP="00842F3C">
            <w:pPr>
              <w:pStyle w:val="TableCellDecAlign"/>
            </w:pPr>
            <w:r w:rsidRPr="00BA340B">
              <w:t>2.54</w:t>
            </w:r>
          </w:p>
        </w:tc>
        <w:tc>
          <w:tcPr>
            <w:tcW w:w="4266" w:type="dxa"/>
            <w:tcBorders>
              <w:bottom w:val="nil"/>
            </w:tcBorders>
          </w:tcPr>
          <w:p w14:paraId="374A3193" w14:textId="77777777" w:rsidR="00842F3C" w:rsidRPr="00BA340B" w:rsidRDefault="00842F3C" w:rsidP="00842F3C">
            <w:pPr>
              <w:pStyle w:val="TableCellBody"/>
            </w:pPr>
            <w:proofErr w:type="gramStart"/>
            <w:r w:rsidRPr="00BA340B">
              <w:t>centimeter</w:t>
            </w:r>
            <w:proofErr w:type="gramEnd"/>
            <w:r w:rsidRPr="00BA340B">
              <w:t xml:space="preserve"> (cm)</w:t>
            </w:r>
          </w:p>
        </w:tc>
      </w:tr>
      <w:tr w:rsidR="00842F3C" w:rsidRPr="00BA340B" w14:paraId="71CA6CA0" w14:textId="77777777" w:rsidTr="00283214">
        <w:tc>
          <w:tcPr>
            <w:tcW w:w="4015" w:type="dxa"/>
            <w:tcBorders>
              <w:top w:val="nil"/>
              <w:bottom w:val="nil"/>
            </w:tcBorders>
          </w:tcPr>
          <w:p w14:paraId="61871E5A" w14:textId="77777777" w:rsidR="00842F3C" w:rsidRPr="00BA340B" w:rsidRDefault="00842F3C" w:rsidP="00842F3C">
            <w:pPr>
              <w:pStyle w:val="TableCellBody"/>
            </w:pPr>
            <w:proofErr w:type="gramStart"/>
            <w:r w:rsidRPr="00BA340B">
              <w:t>inch</w:t>
            </w:r>
            <w:proofErr w:type="gramEnd"/>
            <w:r w:rsidRPr="00BA340B">
              <w:t xml:space="preserve"> (in.)</w:t>
            </w:r>
          </w:p>
        </w:tc>
        <w:tc>
          <w:tcPr>
            <w:tcW w:w="1295" w:type="dxa"/>
            <w:tcBorders>
              <w:top w:val="nil"/>
              <w:bottom w:val="nil"/>
            </w:tcBorders>
          </w:tcPr>
          <w:p w14:paraId="17A43FD5" w14:textId="77777777" w:rsidR="00842F3C" w:rsidRPr="00BA340B" w:rsidRDefault="00842F3C" w:rsidP="00842F3C">
            <w:pPr>
              <w:pStyle w:val="TableCellDecAlign"/>
            </w:pPr>
            <w:r w:rsidRPr="00BA340B">
              <w:t>25.4</w:t>
            </w:r>
          </w:p>
        </w:tc>
        <w:tc>
          <w:tcPr>
            <w:tcW w:w="4266" w:type="dxa"/>
            <w:tcBorders>
              <w:top w:val="nil"/>
              <w:bottom w:val="nil"/>
            </w:tcBorders>
          </w:tcPr>
          <w:p w14:paraId="13319FC1" w14:textId="77777777" w:rsidR="00842F3C" w:rsidRPr="00BA340B" w:rsidRDefault="00842F3C" w:rsidP="00842F3C">
            <w:pPr>
              <w:pStyle w:val="TableCellBody"/>
            </w:pPr>
            <w:proofErr w:type="gramStart"/>
            <w:r w:rsidRPr="00BA340B">
              <w:t>millimeter</w:t>
            </w:r>
            <w:proofErr w:type="gramEnd"/>
            <w:r w:rsidRPr="00BA340B">
              <w:t xml:space="preserve"> (mm)</w:t>
            </w:r>
          </w:p>
        </w:tc>
      </w:tr>
      <w:tr w:rsidR="00842F3C" w:rsidRPr="00BA340B" w14:paraId="32CD284B" w14:textId="77777777" w:rsidTr="00283214">
        <w:tc>
          <w:tcPr>
            <w:tcW w:w="4015" w:type="dxa"/>
            <w:tcBorders>
              <w:top w:val="nil"/>
              <w:bottom w:val="nil"/>
            </w:tcBorders>
          </w:tcPr>
          <w:p w14:paraId="7DB63B32" w14:textId="77777777" w:rsidR="00842F3C" w:rsidRPr="00BA340B" w:rsidRDefault="00842F3C" w:rsidP="00842F3C">
            <w:pPr>
              <w:pStyle w:val="TableCellBody"/>
            </w:pPr>
            <w:proofErr w:type="gramStart"/>
            <w:r w:rsidRPr="00BA340B">
              <w:t>foot</w:t>
            </w:r>
            <w:proofErr w:type="gramEnd"/>
            <w:r w:rsidRPr="00BA340B">
              <w:t xml:space="preserve"> (</w:t>
            </w:r>
            <w:proofErr w:type="spellStart"/>
            <w:r w:rsidRPr="00BA340B">
              <w:t>ft</w:t>
            </w:r>
            <w:proofErr w:type="spellEnd"/>
            <w:r w:rsidRPr="00BA340B">
              <w:t>)</w:t>
            </w:r>
          </w:p>
        </w:tc>
        <w:tc>
          <w:tcPr>
            <w:tcW w:w="1295" w:type="dxa"/>
            <w:tcBorders>
              <w:top w:val="nil"/>
              <w:bottom w:val="nil"/>
            </w:tcBorders>
          </w:tcPr>
          <w:p w14:paraId="5309DDC8" w14:textId="77777777" w:rsidR="00842F3C" w:rsidRPr="00BA340B" w:rsidRDefault="00842F3C" w:rsidP="00842F3C">
            <w:pPr>
              <w:pStyle w:val="TableCellDecAlign"/>
            </w:pPr>
            <w:r w:rsidRPr="00BA340B">
              <w:t>0.3048</w:t>
            </w:r>
          </w:p>
        </w:tc>
        <w:tc>
          <w:tcPr>
            <w:tcW w:w="4266" w:type="dxa"/>
            <w:tcBorders>
              <w:top w:val="nil"/>
              <w:bottom w:val="nil"/>
            </w:tcBorders>
          </w:tcPr>
          <w:p w14:paraId="3C8E1BCC" w14:textId="77777777" w:rsidR="00842F3C" w:rsidRPr="00BA340B" w:rsidRDefault="00842F3C" w:rsidP="00842F3C">
            <w:pPr>
              <w:pStyle w:val="TableCellBody"/>
            </w:pPr>
            <w:proofErr w:type="gramStart"/>
            <w:r w:rsidRPr="00BA340B">
              <w:t>meter</w:t>
            </w:r>
            <w:proofErr w:type="gramEnd"/>
            <w:r w:rsidRPr="00BA340B">
              <w:t xml:space="preserve"> (m)</w:t>
            </w:r>
          </w:p>
        </w:tc>
      </w:tr>
      <w:tr w:rsidR="00842F3C" w:rsidRPr="00BA340B" w14:paraId="5A07B934" w14:textId="77777777" w:rsidTr="00283214">
        <w:tc>
          <w:tcPr>
            <w:tcW w:w="4015" w:type="dxa"/>
            <w:tcBorders>
              <w:top w:val="nil"/>
              <w:bottom w:val="nil"/>
            </w:tcBorders>
          </w:tcPr>
          <w:p w14:paraId="038F8E28" w14:textId="77777777" w:rsidR="00842F3C" w:rsidRPr="00BA340B" w:rsidRDefault="00842F3C" w:rsidP="00842F3C">
            <w:pPr>
              <w:pStyle w:val="TableCellBody"/>
            </w:pPr>
            <w:proofErr w:type="gramStart"/>
            <w:r w:rsidRPr="00BA340B">
              <w:t>mile</w:t>
            </w:r>
            <w:proofErr w:type="gramEnd"/>
            <w:r w:rsidRPr="00BA340B">
              <w:t xml:space="preserve"> (mi)</w:t>
            </w:r>
          </w:p>
        </w:tc>
        <w:tc>
          <w:tcPr>
            <w:tcW w:w="1295" w:type="dxa"/>
            <w:tcBorders>
              <w:top w:val="nil"/>
              <w:bottom w:val="nil"/>
            </w:tcBorders>
          </w:tcPr>
          <w:p w14:paraId="354D3DE5" w14:textId="77777777" w:rsidR="00842F3C" w:rsidRPr="00BA340B" w:rsidRDefault="00842F3C" w:rsidP="00842F3C">
            <w:pPr>
              <w:pStyle w:val="TableCellDecAlign"/>
            </w:pPr>
            <w:r w:rsidRPr="00BA340B">
              <w:t>1.609</w:t>
            </w:r>
          </w:p>
        </w:tc>
        <w:tc>
          <w:tcPr>
            <w:tcW w:w="4266" w:type="dxa"/>
            <w:tcBorders>
              <w:top w:val="nil"/>
              <w:bottom w:val="nil"/>
            </w:tcBorders>
          </w:tcPr>
          <w:p w14:paraId="6F4C37DB" w14:textId="77777777" w:rsidR="00842F3C" w:rsidRPr="00BA340B" w:rsidRDefault="00842F3C" w:rsidP="00842F3C">
            <w:pPr>
              <w:pStyle w:val="TableCellBody"/>
            </w:pPr>
            <w:proofErr w:type="gramStart"/>
            <w:r w:rsidRPr="00BA340B">
              <w:t>kilometer</w:t>
            </w:r>
            <w:proofErr w:type="gramEnd"/>
            <w:r w:rsidRPr="00BA340B">
              <w:t xml:space="preserve"> (km)</w:t>
            </w:r>
          </w:p>
        </w:tc>
      </w:tr>
      <w:tr w:rsidR="00842F3C" w:rsidRPr="00BA340B" w14:paraId="4A97BBD0" w14:textId="77777777" w:rsidTr="00283214">
        <w:tc>
          <w:tcPr>
            <w:tcW w:w="4015" w:type="dxa"/>
            <w:tcBorders>
              <w:top w:val="nil"/>
              <w:bottom w:val="nil"/>
            </w:tcBorders>
          </w:tcPr>
          <w:p w14:paraId="7558E86A" w14:textId="77777777" w:rsidR="00842F3C" w:rsidRPr="00BA340B" w:rsidRDefault="00842F3C" w:rsidP="00842F3C">
            <w:pPr>
              <w:pStyle w:val="TableCellBody"/>
            </w:pPr>
            <w:proofErr w:type="gramStart"/>
            <w:r w:rsidRPr="00BA340B">
              <w:t>mile</w:t>
            </w:r>
            <w:proofErr w:type="gramEnd"/>
            <w:r w:rsidRPr="00BA340B">
              <w:t>, nautical (</w:t>
            </w:r>
            <w:proofErr w:type="spellStart"/>
            <w:r w:rsidRPr="00BA340B">
              <w:t>nmi</w:t>
            </w:r>
            <w:proofErr w:type="spellEnd"/>
            <w:r w:rsidRPr="00BA340B">
              <w:t>)</w:t>
            </w:r>
          </w:p>
        </w:tc>
        <w:tc>
          <w:tcPr>
            <w:tcW w:w="1295" w:type="dxa"/>
            <w:tcBorders>
              <w:top w:val="nil"/>
              <w:bottom w:val="nil"/>
            </w:tcBorders>
          </w:tcPr>
          <w:p w14:paraId="6ED91341" w14:textId="77777777" w:rsidR="00842F3C" w:rsidRPr="00BA340B" w:rsidRDefault="00842F3C" w:rsidP="00842F3C">
            <w:pPr>
              <w:pStyle w:val="TableCellDecAlign"/>
            </w:pPr>
            <w:r w:rsidRPr="00BA340B">
              <w:t>1.852</w:t>
            </w:r>
          </w:p>
        </w:tc>
        <w:tc>
          <w:tcPr>
            <w:tcW w:w="4266" w:type="dxa"/>
            <w:tcBorders>
              <w:top w:val="nil"/>
              <w:bottom w:val="nil"/>
            </w:tcBorders>
          </w:tcPr>
          <w:p w14:paraId="18C4A26C" w14:textId="77777777" w:rsidR="00842F3C" w:rsidRPr="00BA340B" w:rsidRDefault="00842F3C" w:rsidP="00842F3C">
            <w:pPr>
              <w:pStyle w:val="TableCellBody"/>
            </w:pPr>
            <w:proofErr w:type="gramStart"/>
            <w:r w:rsidRPr="00BA340B">
              <w:t>kilometer</w:t>
            </w:r>
            <w:proofErr w:type="gramEnd"/>
            <w:r w:rsidRPr="00BA340B">
              <w:t xml:space="preserve"> (km)</w:t>
            </w:r>
          </w:p>
        </w:tc>
      </w:tr>
      <w:tr w:rsidR="00842F3C" w:rsidRPr="00BA340B" w14:paraId="455880DB" w14:textId="77777777" w:rsidTr="00283214">
        <w:tc>
          <w:tcPr>
            <w:tcW w:w="4015" w:type="dxa"/>
            <w:tcBorders>
              <w:top w:val="nil"/>
            </w:tcBorders>
          </w:tcPr>
          <w:p w14:paraId="3A0CE557" w14:textId="77777777" w:rsidR="00842F3C" w:rsidRPr="00BA340B" w:rsidRDefault="00842F3C" w:rsidP="00842F3C">
            <w:pPr>
              <w:pStyle w:val="TableCellBody"/>
            </w:pPr>
            <w:proofErr w:type="gramStart"/>
            <w:r w:rsidRPr="00BA340B">
              <w:t>yard</w:t>
            </w:r>
            <w:proofErr w:type="gramEnd"/>
            <w:r w:rsidRPr="00BA340B">
              <w:t xml:space="preserve"> (</w:t>
            </w:r>
            <w:proofErr w:type="spellStart"/>
            <w:r w:rsidRPr="00BA340B">
              <w:t>yd</w:t>
            </w:r>
            <w:proofErr w:type="spellEnd"/>
            <w:r w:rsidRPr="00BA340B">
              <w:t>)</w:t>
            </w:r>
          </w:p>
        </w:tc>
        <w:tc>
          <w:tcPr>
            <w:tcW w:w="1295" w:type="dxa"/>
            <w:tcBorders>
              <w:top w:val="nil"/>
            </w:tcBorders>
          </w:tcPr>
          <w:p w14:paraId="1BC71F16" w14:textId="77777777" w:rsidR="00842F3C" w:rsidRPr="00BA340B" w:rsidRDefault="00842F3C" w:rsidP="00842F3C">
            <w:pPr>
              <w:pStyle w:val="TableCellDecAlign"/>
            </w:pPr>
            <w:r w:rsidRPr="00BA340B">
              <w:t>0.9144</w:t>
            </w:r>
          </w:p>
        </w:tc>
        <w:tc>
          <w:tcPr>
            <w:tcW w:w="4266" w:type="dxa"/>
            <w:tcBorders>
              <w:top w:val="nil"/>
            </w:tcBorders>
          </w:tcPr>
          <w:p w14:paraId="410058B9" w14:textId="77777777" w:rsidR="00842F3C" w:rsidRPr="00BA340B" w:rsidRDefault="00842F3C" w:rsidP="00842F3C">
            <w:pPr>
              <w:pStyle w:val="TableCellBody"/>
            </w:pPr>
            <w:proofErr w:type="gramStart"/>
            <w:r w:rsidRPr="00BA340B">
              <w:t>meter</w:t>
            </w:r>
            <w:proofErr w:type="gramEnd"/>
            <w:r w:rsidRPr="00BA340B">
              <w:t xml:space="preserve"> (m)</w:t>
            </w:r>
          </w:p>
        </w:tc>
      </w:tr>
      <w:tr w:rsidR="00842F3C" w:rsidRPr="00BA340B" w14:paraId="0B8D542B" w14:textId="77777777" w:rsidTr="00283214">
        <w:tc>
          <w:tcPr>
            <w:tcW w:w="9576" w:type="dxa"/>
            <w:gridSpan w:val="3"/>
            <w:tcBorders>
              <w:bottom w:val="single" w:sz="4" w:space="0" w:color="auto"/>
            </w:tcBorders>
          </w:tcPr>
          <w:p w14:paraId="6F542E9E" w14:textId="77777777" w:rsidR="00842F3C" w:rsidRPr="00BA340B" w:rsidRDefault="00842F3C" w:rsidP="00283214">
            <w:pPr>
              <w:pStyle w:val="TableSpanner"/>
            </w:pPr>
            <w:r w:rsidRPr="00BA340B">
              <w:t>Area</w:t>
            </w:r>
          </w:p>
        </w:tc>
      </w:tr>
      <w:tr w:rsidR="00842F3C" w:rsidRPr="00BA340B" w14:paraId="4FF4979D" w14:textId="77777777" w:rsidTr="00283214">
        <w:tc>
          <w:tcPr>
            <w:tcW w:w="4015" w:type="dxa"/>
            <w:tcBorders>
              <w:bottom w:val="nil"/>
            </w:tcBorders>
          </w:tcPr>
          <w:p w14:paraId="47E2B755" w14:textId="77777777" w:rsidR="00842F3C" w:rsidRPr="00BA340B" w:rsidRDefault="00842F3C" w:rsidP="00842F3C">
            <w:pPr>
              <w:pStyle w:val="TableCellBody"/>
            </w:pPr>
            <w:proofErr w:type="gramStart"/>
            <w:r w:rsidRPr="00BA340B">
              <w:t>acre</w:t>
            </w:r>
            <w:proofErr w:type="gramEnd"/>
          </w:p>
        </w:tc>
        <w:tc>
          <w:tcPr>
            <w:tcW w:w="1295" w:type="dxa"/>
            <w:tcBorders>
              <w:bottom w:val="nil"/>
            </w:tcBorders>
          </w:tcPr>
          <w:p w14:paraId="5FA01D2E" w14:textId="77777777" w:rsidR="00842F3C" w:rsidRPr="00BA340B" w:rsidRDefault="00842F3C" w:rsidP="00842F3C">
            <w:pPr>
              <w:pStyle w:val="TableCellDecAlign"/>
            </w:pPr>
            <w:r w:rsidRPr="00BA340B">
              <w:t>4,047</w:t>
            </w:r>
          </w:p>
        </w:tc>
        <w:tc>
          <w:tcPr>
            <w:tcW w:w="4266" w:type="dxa"/>
            <w:tcBorders>
              <w:bottom w:val="nil"/>
            </w:tcBorders>
          </w:tcPr>
          <w:p w14:paraId="1C8C5DBB" w14:textId="77777777" w:rsidR="00842F3C" w:rsidRPr="00BA340B" w:rsidRDefault="00842F3C" w:rsidP="00842F3C">
            <w:pPr>
              <w:pStyle w:val="TableCellBody"/>
            </w:pPr>
            <w:proofErr w:type="gramStart"/>
            <w:r w:rsidRPr="00BA340B">
              <w:t>square</w:t>
            </w:r>
            <w:proofErr w:type="gramEnd"/>
            <w:r w:rsidRPr="00BA340B">
              <w:t xml:space="preserve"> meter (m</w:t>
            </w:r>
            <w:r w:rsidRPr="00BA340B">
              <w:rPr>
                <w:rStyle w:val="Superscript"/>
              </w:rPr>
              <w:t>2</w:t>
            </w:r>
            <w:r w:rsidRPr="00BA340B">
              <w:t>)</w:t>
            </w:r>
          </w:p>
        </w:tc>
      </w:tr>
      <w:tr w:rsidR="00842F3C" w:rsidRPr="00BA340B" w14:paraId="74D91AD8" w14:textId="77777777" w:rsidTr="00283214">
        <w:tc>
          <w:tcPr>
            <w:tcW w:w="4015" w:type="dxa"/>
            <w:tcBorders>
              <w:top w:val="nil"/>
              <w:bottom w:val="nil"/>
            </w:tcBorders>
          </w:tcPr>
          <w:p w14:paraId="75694337" w14:textId="77777777" w:rsidR="00842F3C" w:rsidRPr="00BA340B" w:rsidRDefault="00842F3C" w:rsidP="00842F3C">
            <w:pPr>
              <w:pStyle w:val="TableCellBody"/>
            </w:pPr>
            <w:proofErr w:type="gramStart"/>
            <w:r w:rsidRPr="00BA340B">
              <w:t>acre</w:t>
            </w:r>
            <w:proofErr w:type="gramEnd"/>
          </w:p>
        </w:tc>
        <w:tc>
          <w:tcPr>
            <w:tcW w:w="1295" w:type="dxa"/>
            <w:tcBorders>
              <w:top w:val="nil"/>
              <w:bottom w:val="nil"/>
            </w:tcBorders>
          </w:tcPr>
          <w:p w14:paraId="6244855F" w14:textId="77777777" w:rsidR="00842F3C" w:rsidRPr="00BA340B" w:rsidRDefault="00842F3C" w:rsidP="00842F3C">
            <w:pPr>
              <w:pStyle w:val="TableCellDecAlign"/>
            </w:pPr>
            <w:r w:rsidRPr="00BA340B">
              <w:t>0.4047</w:t>
            </w:r>
          </w:p>
        </w:tc>
        <w:tc>
          <w:tcPr>
            <w:tcW w:w="4266" w:type="dxa"/>
            <w:tcBorders>
              <w:top w:val="nil"/>
              <w:bottom w:val="nil"/>
            </w:tcBorders>
          </w:tcPr>
          <w:p w14:paraId="79BD7908" w14:textId="77777777" w:rsidR="00842F3C" w:rsidRPr="00BA340B" w:rsidRDefault="00842F3C" w:rsidP="00842F3C">
            <w:pPr>
              <w:pStyle w:val="TableCellBody"/>
            </w:pPr>
            <w:proofErr w:type="gramStart"/>
            <w:r w:rsidRPr="00BA340B">
              <w:t>hectare</w:t>
            </w:r>
            <w:proofErr w:type="gramEnd"/>
            <w:r w:rsidRPr="00BA340B">
              <w:t xml:space="preserve"> (ha)</w:t>
            </w:r>
          </w:p>
        </w:tc>
      </w:tr>
      <w:tr w:rsidR="00842F3C" w:rsidRPr="00BA340B" w14:paraId="75EB738A" w14:textId="77777777" w:rsidTr="00283214">
        <w:tc>
          <w:tcPr>
            <w:tcW w:w="4015" w:type="dxa"/>
            <w:tcBorders>
              <w:top w:val="nil"/>
              <w:bottom w:val="nil"/>
            </w:tcBorders>
          </w:tcPr>
          <w:p w14:paraId="47E7C2E2" w14:textId="77777777" w:rsidR="00842F3C" w:rsidRPr="00BA340B" w:rsidRDefault="00842F3C" w:rsidP="00842F3C">
            <w:pPr>
              <w:pStyle w:val="TableCellBody"/>
            </w:pPr>
            <w:proofErr w:type="gramStart"/>
            <w:r w:rsidRPr="00BA340B">
              <w:t>acre</w:t>
            </w:r>
            <w:proofErr w:type="gramEnd"/>
          </w:p>
        </w:tc>
        <w:tc>
          <w:tcPr>
            <w:tcW w:w="1295" w:type="dxa"/>
            <w:tcBorders>
              <w:top w:val="nil"/>
              <w:bottom w:val="nil"/>
            </w:tcBorders>
          </w:tcPr>
          <w:p w14:paraId="212C4008" w14:textId="77777777" w:rsidR="00842F3C" w:rsidRPr="00BA340B" w:rsidRDefault="00842F3C" w:rsidP="00842F3C">
            <w:pPr>
              <w:pStyle w:val="TableCellDecAlign"/>
            </w:pPr>
            <w:r w:rsidRPr="00BA340B">
              <w:t>0.4047</w:t>
            </w:r>
          </w:p>
        </w:tc>
        <w:tc>
          <w:tcPr>
            <w:tcW w:w="4266" w:type="dxa"/>
            <w:tcBorders>
              <w:top w:val="nil"/>
              <w:bottom w:val="nil"/>
            </w:tcBorders>
          </w:tcPr>
          <w:p w14:paraId="39A123E9" w14:textId="77777777" w:rsidR="00842F3C" w:rsidRPr="00BA340B" w:rsidRDefault="00842F3C" w:rsidP="00842F3C">
            <w:pPr>
              <w:pStyle w:val="TableCellBody"/>
            </w:pPr>
            <w:proofErr w:type="gramStart"/>
            <w:r w:rsidRPr="00BA340B">
              <w:t>square</w:t>
            </w:r>
            <w:proofErr w:type="gramEnd"/>
            <w:r w:rsidRPr="00BA340B">
              <w:t xml:space="preserve"> hectometer (hm</w:t>
            </w:r>
            <w:r w:rsidRPr="00BA340B">
              <w:rPr>
                <w:rStyle w:val="Superscript"/>
              </w:rPr>
              <w:t>2</w:t>
            </w:r>
            <w:r w:rsidRPr="00BA340B">
              <w:t xml:space="preserve">) </w:t>
            </w:r>
          </w:p>
        </w:tc>
      </w:tr>
      <w:tr w:rsidR="00842F3C" w:rsidRPr="00BA340B" w14:paraId="3329D5D2" w14:textId="77777777" w:rsidTr="00283214">
        <w:tc>
          <w:tcPr>
            <w:tcW w:w="4015" w:type="dxa"/>
            <w:tcBorders>
              <w:top w:val="nil"/>
              <w:bottom w:val="nil"/>
            </w:tcBorders>
          </w:tcPr>
          <w:p w14:paraId="64BC636D" w14:textId="77777777" w:rsidR="00842F3C" w:rsidRPr="00BA340B" w:rsidRDefault="00842F3C" w:rsidP="00842F3C">
            <w:pPr>
              <w:pStyle w:val="TableCellBody"/>
            </w:pPr>
            <w:proofErr w:type="gramStart"/>
            <w:r w:rsidRPr="00BA340B">
              <w:t>acre</w:t>
            </w:r>
            <w:proofErr w:type="gramEnd"/>
          </w:p>
        </w:tc>
        <w:tc>
          <w:tcPr>
            <w:tcW w:w="1295" w:type="dxa"/>
            <w:tcBorders>
              <w:top w:val="nil"/>
              <w:bottom w:val="nil"/>
            </w:tcBorders>
          </w:tcPr>
          <w:p w14:paraId="2A3F34D3" w14:textId="77777777" w:rsidR="00842F3C" w:rsidRPr="00BA340B" w:rsidRDefault="00842F3C" w:rsidP="00842F3C">
            <w:pPr>
              <w:pStyle w:val="TableCellDecAlign"/>
            </w:pPr>
            <w:r w:rsidRPr="00BA340B">
              <w:t>0.004047</w:t>
            </w:r>
          </w:p>
        </w:tc>
        <w:tc>
          <w:tcPr>
            <w:tcW w:w="4266" w:type="dxa"/>
            <w:tcBorders>
              <w:top w:val="nil"/>
              <w:bottom w:val="nil"/>
            </w:tcBorders>
          </w:tcPr>
          <w:p w14:paraId="55DA4F87" w14:textId="77777777" w:rsidR="00842F3C" w:rsidRPr="00BA340B" w:rsidRDefault="00842F3C" w:rsidP="00842F3C">
            <w:pPr>
              <w:pStyle w:val="TableCellBody"/>
            </w:pPr>
            <w:proofErr w:type="gramStart"/>
            <w:r w:rsidRPr="00BA340B">
              <w:t>square</w:t>
            </w:r>
            <w:proofErr w:type="gramEnd"/>
            <w:r w:rsidRPr="00BA340B">
              <w:t xml:space="preserve"> kilometer (km</w:t>
            </w:r>
            <w:r w:rsidRPr="00BA340B">
              <w:rPr>
                <w:rStyle w:val="Superscript"/>
              </w:rPr>
              <w:t>2</w:t>
            </w:r>
            <w:r w:rsidRPr="00BA340B">
              <w:t>)</w:t>
            </w:r>
          </w:p>
        </w:tc>
      </w:tr>
      <w:tr w:rsidR="00842F3C" w:rsidRPr="00BA340B" w14:paraId="22F8E6D7" w14:textId="77777777" w:rsidTr="00283214">
        <w:tc>
          <w:tcPr>
            <w:tcW w:w="4015" w:type="dxa"/>
            <w:tcBorders>
              <w:top w:val="nil"/>
              <w:bottom w:val="nil"/>
            </w:tcBorders>
          </w:tcPr>
          <w:p w14:paraId="66FCA2B7" w14:textId="77777777" w:rsidR="00842F3C" w:rsidRPr="00BA340B" w:rsidRDefault="00842F3C" w:rsidP="00842F3C">
            <w:pPr>
              <w:pStyle w:val="TableCellBody"/>
            </w:pPr>
            <w:proofErr w:type="gramStart"/>
            <w:r w:rsidRPr="00BA340B">
              <w:t>square</w:t>
            </w:r>
            <w:proofErr w:type="gramEnd"/>
            <w:r w:rsidRPr="00BA340B">
              <w:t xml:space="preserve"> foot (ft</w:t>
            </w:r>
            <w:r w:rsidRPr="00BA340B">
              <w:rPr>
                <w:rStyle w:val="Superscript"/>
              </w:rPr>
              <w:t>2</w:t>
            </w:r>
            <w:r w:rsidRPr="00BA340B">
              <w:t>)</w:t>
            </w:r>
          </w:p>
        </w:tc>
        <w:tc>
          <w:tcPr>
            <w:tcW w:w="1295" w:type="dxa"/>
            <w:tcBorders>
              <w:top w:val="nil"/>
              <w:bottom w:val="nil"/>
            </w:tcBorders>
          </w:tcPr>
          <w:p w14:paraId="04FB46FD" w14:textId="77777777" w:rsidR="00842F3C" w:rsidRPr="00BA340B" w:rsidRDefault="00842F3C" w:rsidP="00842F3C">
            <w:pPr>
              <w:pStyle w:val="TableCellDecAlign"/>
            </w:pPr>
            <w:r w:rsidRPr="00BA340B">
              <w:t>929.0</w:t>
            </w:r>
          </w:p>
        </w:tc>
        <w:tc>
          <w:tcPr>
            <w:tcW w:w="4266" w:type="dxa"/>
            <w:tcBorders>
              <w:top w:val="nil"/>
              <w:bottom w:val="nil"/>
            </w:tcBorders>
          </w:tcPr>
          <w:p w14:paraId="36DEF8BB" w14:textId="77777777" w:rsidR="00842F3C" w:rsidRPr="00BA340B" w:rsidRDefault="00842F3C" w:rsidP="00842F3C">
            <w:pPr>
              <w:pStyle w:val="TableCellBody"/>
            </w:pPr>
            <w:proofErr w:type="gramStart"/>
            <w:r w:rsidRPr="00BA340B">
              <w:t>square</w:t>
            </w:r>
            <w:proofErr w:type="gramEnd"/>
            <w:r w:rsidRPr="00BA340B">
              <w:t xml:space="preserve"> centimeter (cm</w:t>
            </w:r>
            <w:r w:rsidRPr="00BA340B">
              <w:rPr>
                <w:rStyle w:val="Superscript"/>
              </w:rPr>
              <w:t>2</w:t>
            </w:r>
            <w:r w:rsidRPr="00BA340B">
              <w:t>)</w:t>
            </w:r>
          </w:p>
        </w:tc>
      </w:tr>
      <w:tr w:rsidR="00842F3C" w:rsidRPr="00BA340B" w14:paraId="6B09201A" w14:textId="77777777" w:rsidTr="00283214">
        <w:tc>
          <w:tcPr>
            <w:tcW w:w="4015" w:type="dxa"/>
            <w:tcBorders>
              <w:top w:val="nil"/>
              <w:bottom w:val="nil"/>
            </w:tcBorders>
          </w:tcPr>
          <w:p w14:paraId="41BC95D4" w14:textId="77777777" w:rsidR="00842F3C" w:rsidRPr="00BA340B" w:rsidRDefault="00842F3C" w:rsidP="00842F3C">
            <w:pPr>
              <w:pStyle w:val="TableCellBody"/>
            </w:pPr>
            <w:proofErr w:type="gramStart"/>
            <w:r w:rsidRPr="00BA340B">
              <w:t>square</w:t>
            </w:r>
            <w:proofErr w:type="gramEnd"/>
            <w:r w:rsidRPr="00BA340B">
              <w:t xml:space="preserve"> foot (ft</w:t>
            </w:r>
            <w:r w:rsidRPr="00BA340B">
              <w:rPr>
                <w:rStyle w:val="Superscript"/>
              </w:rPr>
              <w:t>2</w:t>
            </w:r>
            <w:r w:rsidRPr="00BA340B">
              <w:t>)</w:t>
            </w:r>
          </w:p>
        </w:tc>
        <w:tc>
          <w:tcPr>
            <w:tcW w:w="1295" w:type="dxa"/>
            <w:tcBorders>
              <w:top w:val="nil"/>
              <w:bottom w:val="nil"/>
            </w:tcBorders>
          </w:tcPr>
          <w:p w14:paraId="7ACCCA0B" w14:textId="77777777" w:rsidR="00842F3C" w:rsidRPr="00BA340B" w:rsidRDefault="00842F3C" w:rsidP="00842F3C">
            <w:pPr>
              <w:pStyle w:val="TableCellDecAlign"/>
            </w:pPr>
            <w:r w:rsidRPr="00BA340B">
              <w:t>0.09290</w:t>
            </w:r>
          </w:p>
        </w:tc>
        <w:tc>
          <w:tcPr>
            <w:tcW w:w="4266" w:type="dxa"/>
            <w:tcBorders>
              <w:top w:val="nil"/>
              <w:bottom w:val="nil"/>
            </w:tcBorders>
          </w:tcPr>
          <w:p w14:paraId="1D6FF4A5" w14:textId="77777777" w:rsidR="00842F3C" w:rsidRPr="00BA340B" w:rsidRDefault="00842F3C" w:rsidP="00842F3C">
            <w:pPr>
              <w:pStyle w:val="TableCellBody"/>
            </w:pPr>
            <w:proofErr w:type="gramStart"/>
            <w:r w:rsidRPr="00BA340B">
              <w:t>square</w:t>
            </w:r>
            <w:proofErr w:type="gramEnd"/>
            <w:r w:rsidRPr="00BA340B">
              <w:t xml:space="preserve"> meter (m</w:t>
            </w:r>
            <w:r w:rsidRPr="00BA340B">
              <w:rPr>
                <w:rStyle w:val="Superscript"/>
              </w:rPr>
              <w:t>2</w:t>
            </w:r>
            <w:r w:rsidRPr="00BA340B">
              <w:t>)</w:t>
            </w:r>
          </w:p>
        </w:tc>
      </w:tr>
      <w:tr w:rsidR="00842F3C" w:rsidRPr="00BA340B" w14:paraId="034F4C29" w14:textId="77777777" w:rsidTr="00283214">
        <w:tc>
          <w:tcPr>
            <w:tcW w:w="4015" w:type="dxa"/>
            <w:tcBorders>
              <w:top w:val="nil"/>
              <w:bottom w:val="nil"/>
            </w:tcBorders>
          </w:tcPr>
          <w:p w14:paraId="58216E32" w14:textId="77777777" w:rsidR="00842F3C" w:rsidRPr="00BA340B" w:rsidRDefault="00842F3C" w:rsidP="00842F3C">
            <w:pPr>
              <w:pStyle w:val="TableCellBody"/>
            </w:pPr>
            <w:proofErr w:type="gramStart"/>
            <w:r w:rsidRPr="00BA340B">
              <w:t>square</w:t>
            </w:r>
            <w:proofErr w:type="gramEnd"/>
            <w:r w:rsidRPr="00BA340B">
              <w:t xml:space="preserve"> inch (in</w:t>
            </w:r>
            <w:r w:rsidRPr="00BA340B">
              <w:rPr>
                <w:rStyle w:val="Superscript"/>
              </w:rPr>
              <w:t>2</w:t>
            </w:r>
            <w:r w:rsidRPr="00BA340B">
              <w:t>)</w:t>
            </w:r>
          </w:p>
        </w:tc>
        <w:tc>
          <w:tcPr>
            <w:tcW w:w="1295" w:type="dxa"/>
            <w:tcBorders>
              <w:top w:val="nil"/>
              <w:bottom w:val="nil"/>
            </w:tcBorders>
          </w:tcPr>
          <w:p w14:paraId="158D4B9C" w14:textId="77777777" w:rsidR="00842F3C" w:rsidRPr="00BA340B" w:rsidRDefault="00842F3C" w:rsidP="00842F3C">
            <w:pPr>
              <w:pStyle w:val="TableCellDecAlign"/>
            </w:pPr>
            <w:r w:rsidRPr="00BA340B">
              <w:t>6.452</w:t>
            </w:r>
          </w:p>
        </w:tc>
        <w:tc>
          <w:tcPr>
            <w:tcW w:w="4266" w:type="dxa"/>
            <w:tcBorders>
              <w:top w:val="nil"/>
              <w:bottom w:val="nil"/>
            </w:tcBorders>
          </w:tcPr>
          <w:p w14:paraId="689A522C" w14:textId="77777777" w:rsidR="00842F3C" w:rsidRPr="00BA340B" w:rsidRDefault="00842F3C" w:rsidP="00842F3C">
            <w:pPr>
              <w:pStyle w:val="TableCellBody"/>
            </w:pPr>
            <w:proofErr w:type="gramStart"/>
            <w:r w:rsidRPr="00BA340B">
              <w:t>square</w:t>
            </w:r>
            <w:proofErr w:type="gramEnd"/>
            <w:r w:rsidRPr="00BA340B">
              <w:t xml:space="preserve"> centimeter (cm</w:t>
            </w:r>
            <w:r w:rsidRPr="00BA340B">
              <w:rPr>
                <w:rStyle w:val="Superscript"/>
              </w:rPr>
              <w:t>2</w:t>
            </w:r>
            <w:r w:rsidRPr="00BA340B">
              <w:t>)</w:t>
            </w:r>
          </w:p>
        </w:tc>
      </w:tr>
      <w:tr w:rsidR="00842F3C" w:rsidRPr="00BA340B" w14:paraId="095FE9B4" w14:textId="77777777" w:rsidTr="00283214">
        <w:tc>
          <w:tcPr>
            <w:tcW w:w="4015" w:type="dxa"/>
            <w:tcBorders>
              <w:top w:val="nil"/>
              <w:bottom w:val="nil"/>
            </w:tcBorders>
          </w:tcPr>
          <w:p w14:paraId="14298322" w14:textId="77777777" w:rsidR="00842F3C" w:rsidRPr="00BA340B" w:rsidRDefault="00842F3C" w:rsidP="00842F3C">
            <w:pPr>
              <w:pStyle w:val="TableCellBody"/>
            </w:pPr>
            <w:proofErr w:type="gramStart"/>
            <w:r w:rsidRPr="00BA340B">
              <w:t>section</w:t>
            </w:r>
            <w:proofErr w:type="gramEnd"/>
            <w:r w:rsidRPr="00BA340B">
              <w:t xml:space="preserve"> (640 acres or 1 square mile)</w:t>
            </w:r>
          </w:p>
        </w:tc>
        <w:tc>
          <w:tcPr>
            <w:tcW w:w="1295" w:type="dxa"/>
            <w:tcBorders>
              <w:top w:val="nil"/>
              <w:bottom w:val="nil"/>
            </w:tcBorders>
          </w:tcPr>
          <w:p w14:paraId="179878B6" w14:textId="77777777" w:rsidR="00842F3C" w:rsidRPr="00BA340B" w:rsidRDefault="00842F3C" w:rsidP="00842F3C">
            <w:pPr>
              <w:pStyle w:val="TableCellDecAlign"/>
            </w:pPr>
            <w:r w:rsidRPr="00BA340B">
              <w:t>259.0</w:t>
            </w:r>
          </w:p>
        </w:tc>
        <w:tc>
          <w:tcPr>
            <w:tcW w:w="4266" w:type="dxa"/>
            <w:tcBorders>
              <w:top w:val="nil"/>
              <w:bottom w:val="nil"/>
            </w:tcBorders>
          </w:tcPr>
          <w:p w14:paraId="4F5BA1ED" w14:textId="77777777" w:rsidR="00842F3C" w:rsidRPr="00BA340B" w:rsidRDefault="00842F3C" w:rsidP="00842F3C">
            <w:pPr>
              <w:pStyle w:val="TableCellBody"/>
            </w:pPr>
            <w:proofErr w:type="gramStart"/>
            <w:r w:rsidRPr="00BA340B">
              <w:t>square</w:t>
            </w:r>
            <w:proofErr w:type="gramEnd"/>
            <w:r w:rsidRPr="00BA340B">
              <w:t xml:space="preserve"> hectometer (hm</w:t>
            </w:r>
            <w:r w:rsidRPr="00BA340B">
              <w:rPr>
                <w:rStyle w:val="Superscript"/>
              </w:rPr>
              <w:t>2</w:t>
            </w:r>
            <w:r w:rsidRPr="00BA340B">
              <w:t xml:space="preserve">) </w:t>
            </w:r>
          </w:p>
        </w:tc>
      </w:tr>
      <w:tr w:rsidR="00842F3C" w:rsidRPr="00BA340B" w14:paraId="48725854" w14:textId="77777777" w:rsidTr="00283214">
        <w:tc>
          <w:tcPr>
            <w:tcW w:w="4015" w:type="dxa"/>
            <w:tcBorders>
              <w:top w:val="nil"/>
              <w:bottom w:val="nil"/>
            </w:tcBorders>
          </w:tcPr>
          <w:p w14:paraId="3F954162" w14:textId="77777777" w:rsidR="00842F3C" w:rsidRPr="00BA340B" w:rsidRDefault="00842F3C" w:rsidP="00842F3C">
            <w:pPr>
              <w:pStyle w:val="TableCellBody"/>
            </w:pPr>
            <w:proofErr w:type="gramStart"/>
            <w:r w:rsidRPr="00BA340B">
              <w:t>square</w:t>
            </w:r>
            <w:proofErr w:type="gramEnd"/>
            <w:r w:rsidRPr="00BA340B">
              <w:t xml:space="preserve"> mile (mi</w:t>
            </w:r>
            <w:r w:rsidRPr="00BA340B">
              <w:rPr>
                <w:rStyle w:val="Superscript"/>
              </w:rPr>
              <w:t>2</w:t>
            </w:r>
            <w:r w:rsidRPr="00BA340B">
              <w:t>)</w:t>
            </w:r>
          </w:p>
        </w:tc>
        <w:tc>
          <w:tcPr>
            <w:tcW w:w="1295" w:type="dxa"/>
            <w:tcBorders>
              <w:top w:val="nil"/>
              <w:bottom w:val="nil"/>
            </w:tcBorders>
          </w:tcPr>
          <w:p w14:paraId="5BFA1FC5" w14:textId="77777777" w:rsidR="00842F3C" w:rsidRPr="00BA340B" w:rsidRDefault="00842F3C" w:rsidP="00842F3C">
            <w:pPr>
              <w:pStyle w:val="TableCellDecAlign"/>
            </w:pPr>
            <w:r w:rsidRPr="00BA340B">
              <w:t>259.0</w:t>
            </w:r>
          </w:p>
        </w:tc>
        <w:tc>
          <w:tcPr>
            <w:tcW w:w="4266" w:type="dxa"/>
            <w:tcBorders>
              <w:top w:val="nil"/>
              <w:bottom w:val="nil"/>
            </w:tcBorders>
          </w:tcPr>
          <w:p w14:paraId="25A1BA3C" w14:textId="77777777" w:rsidR="00842F3C" w:rsidRPr="00BA340B" w:rsidRDefault="00842F3C" w:rsidP="00842F3C">
            <w:pPr>
              <w:pStyle w:val="TableCellBody"/>
            </w:pPr>
            <w:proofErr w:type="gramStart"/>
            <w:r w:rsidRPr="00BA340B">
              <w:t>hectare</w:t>
            </w:r>
            <w:proofErr w:type="gramEnd"/>
            <w:r w:rsidRPr="00BA340B">
              <w:t xml:space="preserve"> (ha)</w:t>
            </w:r>
          </w:p>
        </w:tc>
      </w:tr>
      <w:tr w:rsidR="00842F3C" w:rsidRPr="00BA340B" w14:paraId="20FACB89" w14:textId="77777777" w:rsidTr="00283214">
        <w:tc>
          <w:tcPr>
            <w:tcW w:w="4015" w:type="dxa"/>
            <w:tcBorders>
              <w:top w:val="nil"/>
            </w:tcBorders>
          </w:tcPr>
          <w:p w14:paraId="65B361C2" w14:textId="77777777" w:rsidR="00842F3C" w:rsidRPr="00BA340B" w:rsidRDefault="00842F3C" w:rsidP="00842F3C">
            <w:pPr>
              <w:pStyle w:val="TableCellBody"/>
            </w:pPr>
            <w:proofErr w:type="gramStart"/>
            <w:r w:rsidRPr="00BA340B">
              <w:t>square</w:t>
            </w:r>
            <w:proofErr w:type="gramEnd"/>
            <w:r w:rsidRPr="00BA340B">
              <w:t xml:space="preserve"> mile (mi</w:t>
            </w:r>
            <w:r w:rsidRPr="00BA340B">
              <w:rPr>
                <w:rStyle w:val="Superscript"/>
              </w:rPr>
              <w:t>2</w:t>
            </w:r>
            <w:r w:rsidRPr="00BA340B">
              <w:t>)</w:t>
            </w:r>
          </w:p>
        </w:tc>
        <w:tc>
          <w:tcPr>
            <w:tcW w:w="1295" w:type="dxa"/>
            <w:tcBorders>
              <w:top w:val="nil"/>
            </w:tcBorders>
          </w:tcPr>
          <w:p w14:paraId="2DBA481D" w14:textId="77777777" w:rsidR="00842F3C" w:rsidRPr="00BA340B" w:rsidRDefault="00842F3C" w:rsidP="00842F3C">
            <w:pPr>
              <w:pStyle w:val="TableCellDecAlign"/>
            </w:pPr>
            <w:r w:rsidRPr="00BA340B">
              <w:t>2.590</w:t>
            </w:r>
          </w:p>
        </w:tc>
        <w:tc>
          <w:tcPr>
            <w:tcW w:w="4266" w:type="dxa"/>
            <w:tcBorders>
              <w:top w:val="nil"/>
            </w:tcBorders>
          </w:tcPr>
          <w:p w14:paraId="5E6D44F1" w14:textId="77777777" w:rsidR="00842F3C" w:rsidRPr="00BA340B" w:rsidRDefault="00842F3C" w:rsidP="00842F3C">
            <w:pPr>
              <w:pStyle w:val="TableCellBody"/>
            </w:pPr>
            <w:proofErr w:type="gramStart"/>
            <w:r w:rsidRPr="00BA340B">
              <w:t>square</w:t>
            </w:r>
            <w:proofErr w:type="gramEnd"/>
            <w:r w:rsidRPr="00BA340B">
              <w:t xml:space="preserve"> kilometer (km</w:t>
            </w:r>
            <w:r w:rsidRPr="00BA340B">
              <w:rPr>
                <w:rStyle w:val="Superscript"/>
              </w:rPr>
              <w:t>2</w:t>
            </w:r>
            <w:r w:rsidRPr="00BA340B">
              <w:t xml:space="preserve">) </w:t>
            </w:r>
          </w:p>
        </w:tc>
      </w:tr>
      <w:tr w:rsidR="00842F3C" w:rsidRPr="00BA340B" w14:paraId="6AC9657B" w14:textId="77777777" w:rsidTr="00283214">
        <w:tc>
          <w:tcPr>
            <w:tcW w:w="9576" w:type="dxa"/>
            <w:gridSpan w:val="3"/>
            <w:tcBorders>
              <w:bottom w:val="single" w:sz="4" w:space="0" w:color="auto"/>
            </w:tcBorders>
          </w:tcPr>
          <w:p w14:paraId="505F1585" w14:textId="77777777" w:rsidR="00842F3C" w:rsidRPr="00BA340B" w:rsidRDefault="00842F3C" w:rsidP="00283214">
            <w:pPr>
              <w:pStyle w:val="TableSpanner"/>
            </w:pPr>
            <w:r w:rsidRPr="00BA340B">
              <w:t>Volume</w:t>
            </w:r>
          </w:p>
        </w:tc>
      </w:tr>
      <w:tr w:rsidR="00842F3C" w:rsidRPr="00BA340B" w14:paraId="7A8F712A" w14:textId="77777777" w:rsidTr="00283214">
        <w:tc>
          <w:tcPr>
            <w:tcW w:w="4015" w:type="dxa"/>
            <w:tcBorders>
              <w:bottom w:val="nil"/>
            </w:tcBorders>
          </w:tcPr>
          <w:p w14:paraId="4B471B8A" w14:textId="77777777" w:rsidR="00842F3C" w:rsidRPr="00BA340B" w:rsidRDefault="00842F3C" w:rsidP="00842F3C">
            <w:pPr>
              <w:pStyle w:val="TableCellBody"/>
            </w:pPr>
            <w:proofErr w:type="gramStart"/>
            <w:r w:rsidRPr="00BA340B">
              <w:t>barrel</w:t>
            </w:r>
            <w:proofErr w:type="gramEnd"/>
            <w:r w:rsidRPr="00BA340B">
              <w:t xml:space="preserve"> (</w:t>
            </w:r>
            <w:proofErr w:type="spellStart"/>
            <w:r w:rsidRPr="00BA340B">
              <w:t>bbl</w:t>
            </w:r>
            <w:proofErr w:type="spellEnd"/>
            <w:r w:rsidRPr="00BA340B">
              <w:t>; petroleum, 1 barrel=42 gal)</w:t>
            </w:r>
          </w:p>
        </w:tc>
        <w:tc>
          <w:tcPr>
            <w:tcW w:w="1295" w:type="dxa"/>
            <w:tcBorders>
              <w:bottom w:val="nil"/>
            </w:tcBorders>
          </w:tcPr>
          <w:p w14:paraId="01F860B7" w14:textId="77777777" w:rsidR="00842F3C" w:rsidRPr="00BA340B" w:rsidRDefault="00842F3C" w:rsidP="00842F3C">
            <w:pPr>
              <w:pStyle w:val="TableCellDecAlign"/>
            </w:pPr>
            <w:r w:rsidRPr="00BA340B">
              <w:t>0.1590</w:t>
            </w:r>
          </w:p>
        </w:tc>
        <w:tc>
          <w:tcPr>
            <w:tcW w:w="4266" w:type="dxa"/>
            <w:tcBorders>
              <w:bottom w:val="nil"/>
            </w:tcBorders>
          </w:tcPr>
          <w:p w14:paraId="30A30F51"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 xml:space="preserve">) </w:t>
            </w:r>
          </w:p>
        </w:tc>
      </w:tr>
      <w:tr w:rsidR="00842F3C" w:rsidRPr="00BA340B" w14:paraId="2271E2A7" w14:textId="77777777" w:rsidTr="00283214">
        <w:tc>
          <w:tcPr>
            <w:tcW w:w="4015" w:type="dxa"/>
            <w:tcBorders>
              <w:top w:val="nil"/>
              <w:bottom w:val="nil"/>
            </w:tcBorders>
          </w:tcPr>
          <w:p w14:paraId="6BF547D3" w14:textId="77777777" w:rsidR="00842F3C" w:rsidRPr="00BA340B" w:rsidRDefault="00842F3C" w:rsidP="00842F3C">
            <w:pPr>
              <w:pStyle w:val="TableCellBody"/>
            </w:pPr>
            <w:proofErr w:type="gramStart"/>
            <w:r w:rsidRPr="00BA340B">
              <w:t>ounce</w:t>
            </w:r>
            <w:proofErr w:type="gramEnd"/>
            <w:r w:rsidRPr="00BA340B">
              <w:t xml:space="preserve">, fluid (fl. </w:t>
            </w:r>
            <w:proofErr w:type="spellStart"/>
            <w:r w:rsidRPr="00BA340B">
              <w:t>oz</w:t>
            </w:r>
            <w:proofErr w:type="spellEnd"/>
            <w:r w:rsidRPr="00BA340B">
              <w:t>)</w:t>
            </w:r>
          </w:p>
        </w:tc>
        <w:tc>
          <w:tcPr>
            <w:tcW w:w="1295" w:type="dxa"/>
            <w:tcBorders>
              <w:top w:val="nil"/>
              <w:bottom w:val="nil"/>
            </w:tcBorders>
          </w:tcPr>
          <w:p w14:paraId="3BD15553" w14:textId="77777777" w:rsidR="00842F3C" w:rsidRPr="00BA340B" w:rsidRDefault="00842F3C" w:rsidP="00842F3C">
            <w:pPr>
              <w:pStyle w:val="TableCellDecAlign"/>
            </w:pPr>
            <w:r w:rsidRPr="00BA340B">
              <w:t>0.02957</w:t>
            </w:r>
          </w:p>
        </w:tc>
        <w:tc>
          <w:tcPr>
            <w:tcW w:w="4266" w:type="dxa"/>
            <w:tcBorders>
              <w:top w:val="nil"/>
              <w:bottom w:val="nil"/>
            </w:tcBorders>
          </w:tcPr>
          <w:p w14:paraId="68C32BBD" w14:textId="77777777" w:rsidR="00842F3C" w:rsidRPr="00BA340B" w:rsidRDefault="00842F3C" w:rsidP="00842F3C">
            <w:pPr>
              <w:pStyle w:val="TableCellBody"/>
            </w:pPr>
            <w:proofErr w:type="gramStart"/>
            <w:r w:rsidRPr="00BA340B">
              <w:t>liter</w:t>
            </w:r>
            <w:proofErr w:type="gramEnd"/>
            <w:r w:rsidRPr="00BA340B">
              <w:t xml:space="preserve"> (L) </w:t>
            </w:r>
          </w:p>
        </w:tc>
      </w:tr>
      <w:tr w:rsidR="00842F3C" w:rsidRPr="00BA340B" w14:paraId="383FE738" w14:textId="77777777" w:rsidTr="00283214">
        <w:tc>
          <w:tcPr>
            <w:tcW w:w="4015" w:type="dxa"/>
            <w:tcBorders>
              <w:top w:val="nil"/>
              <w:bottom w:val="nil"/>
            </w:tcBorders>
          </w:tcPr>
          <w:p w14:paraId="0610F737" w14:textId="77777777" w:rsidR="00842F3C" w:rsidRPr="00BA340B" w:rsidRDefault="00842F3C" w:rsidP="00842F3C">
            <w:pPr>
              <w:pStyle w:val="TableCellBody"/>
            </w:pPr>
            <w:proofErr w:type="gramStart"/>
            <w:r w:rsidRPr="00BA340B">
              <w:t>pint</w:t>
            </w:r>
            <w:proofErr w:type="gramEnd"/>
            <w:r w:rsidRPr="00BA340B">
              <w:t xml:space="preserve"> (</w:t>
            </w:r>
            <w:proofErr w:type="spellStart"/>
            <w:r w:rsidRPr="00BA340B">
              <w:t>pt</w:t>
            </w:r>
            <w:proofErr w:type="spellEnd"/>
            <w:r w:rsidRPr="00BA340B">
              <w:t>)</w:t>
            </w:r>
          </w:p>
        </w:tc>
        <w:tc>
          <w:tcPr>
            <w:tcW w:w="1295" w:type="dxa"/>
            <w:tcBorders>
              <w:top w:val="nil"/>
              <w:bottom w:val="nil"/>
            </w:tcBorders>
          </w:tcPr>
          <w:p w14:paraId="53E8A496" w14:textId="77777777" w:rsidR="00842F3C" w:rsidRPr="00BA340B" w:rsidRDefault="00842F3C" w:rsidP="00842F3C">
            <w:pPr>
              <w:pStyle w:val="TableCellDecAlign"/>
            </w:pPr>
            <w:r w:rsidRPr="00BA340B">
              <w:t>0.4732</w:t>
            </w:r>
          </w:p>
        </w:tc>
        <w:tc>
          <w:tcPr>
            <w:tcW w:w="4266" w:type="dxa"/>
            <w:tcBorders>
              <w:top w:val="nil"/>
              <w:bottom w:val="nil"/>
            </w:tcBorders>
          </w:tcPr>
          <w:p w14:paraId="1EFF03C2" w14:textId="77777777" w:rsidR="00842F3C" w:rsidRPr="00BA340B" w:rsidRDefault="00842F3C" w:rsidP="00842F3C">
            <w:pPr>
              <w:pStyle w:val="TableCellBody"/>
            </w:pPr>
            <w:proofErr w:type="gramStart"/>
            <w:r w:rsidRPr="00BA340B">
              <w:t>liter</w:t>
            </w:r>
            <w:proofErr w:type="gramEnd"/>
            <w:r w:rsidRPr="00BA340B">
              <w:t xml:space="preserve"> (L) </w:t>
            </w:r>
          </w:p>
        </w:tc>
      </w:tr>
      <w:tr w:rsidR="00842F3C" w:rsidRPr="00BA340B" w14:paraId="42F11F74" w14:textId="77777777" w:rsidTr="00283214">
        <w:tc>
          <w:tcPr>
            <w:tcW w:w="4015" w:type="dxa"/>
            <w:tcBorders>
              <w:top w:val="nil"/>
              <w:bottom w:val="nil"/>
            </w:tcBorders>
          </w:tcPr>
          <w:p w14:paraId="06961C99" w14:textId="77777777" w:rsidR="00842F3C" w:rsidRPr="00BA340B" w:rsidRDefault="00842F3C" w:rsidP="00842F3C">
            <w:pPr>
              <w:pStyle w:val="TableCellBody"/>
            </w:pPr>
            <w:proofErr w:type="gramStart"/>
            <w:r w:rsidRPr="00BA340B">
              <w:t>quart</w:t>
            </w:r>
            <w:proofErr w:type="gramEnd"/>
            <w:r w:rsidRPr="00BA340B">
              <w:t xml:space="preserve"> (</w:t>
            </w:r>
            <w:proofErr w:type="spellStart"/>
            <w:r w:rsidRPr="00BA340B">
              <w:t>qt</w:t>
            </w:r>
            <w:proofErr w:type="spellEnd"/>
            <w:r w:rsidRPr="00BA340B">
              <w:t>)</w:t>
            </w:r>
          </w:p>
        </w:tc>
        <w:tc>
          <w:tcPr>
            <w:tcW w:w="1295" w:type="dxa"/>
            <w:tcBorders>
              <w:top w:val="nil"/>
              <w:bottom w:val="nil"/>
            </w:tcBorders>
          </w:tcPr>
          <w:p w14:paraId="47D3D779" w14:textId="77777777" w:rsidR="00842F3C" w:rsidRPr="00BA340B" w:rsidRDefault="00842F3C" w:rsidP="00842F3C">
            <w:pPr>
              <w:pStyle w:val="TableCellDecAlign"/>
            </w:pPr>
            <w:r w:rsidRPr="00BA340B">
              <w:t>0.9464</w:t>
            </w:r>
          </w:p>
        </w:tc>
        <w:tc>
          <w:tcPr>
            <w:tcW w:w="4266" w:type="dxa"/>
            <w:tcBorders>
              <w:top w:val="nil"/>
              <w:bottom w:val="nil"/>
            </w:tcBorders>
          </w:tcPr>
          <w:p w14:paraId="24FE1826" w14:textId="77777777" w:rsidR="00842F3C" w:rsidRPr="00BA340B" w:rsidRDefault="00842F3C" w:rsidP="00842F3C">
            <w:pPr>
              <w:pStyle w:val="TableCellBody"/>
            </w:pPr>
            <w:proofErr w:type="gramStart"/>
            <w:r w:rsidRPr="00BA340B">
              <w:t>liter</w:t>
            </w:r>
            <w:proofErr w:type="gramEnd"/>
            <w:r w:rsidRPr="00BA340B">
              <w:t xml:space="preserve"> (L) </w:t>
            </w:r>
          </w:p>
        </w:tc>
      </w:tr>
      <w:tr w:rsidR="00842F3C" w:rsidRPr="00BA340B" w14:paraId="172D942F" w14:textId="77777777" w:rsidTr="00283214">
        <w:tc>
          <w:tcPr>
            <w:tcW w:w="4015" w:type="dxa"/>
            <w:tcBorders>
              <w:top w:val="nil"/>
              <w:bottom w:val="nil"/>
            </w:tcBorders>
          </w:tcPr>
          <w:p w14:paraId="37508114" w14:textId="77777777" w:rsidR="00842F3C" w:rsidRPr="00BA340B" w:rsidRDefault="00842F3C" w:rsidP="00842F3C">
            <w:pPr>
              <w:pStyle w:val="TableCellBody"/>
            </w:pPr>
            <w:proofErr w:type="gramStart"/>
            <w:r w:rsidRPr="00BA340B">
              <w:t>gallon</w:t>
            </w:r>
            <w:proofErr w:type="gramEnd"/>
            <w:r w:rsidRPr="00BA340B">
              <w:t xml:space="preserve"> (gal)</w:t>
            </w:r>
          </w:p>
        </w:tc>
        <w:tc>
          <w:tcPr>
            <w:tcW w:w="1295" w:type="dxa"/>
            <w:tcBorders>
              <w:top w:val="nil"/>
              <w:bottom w:val="nil"/>
            </w:tcBorders>
          </w:tcPr>
          <w:p w14:paraId="2674B13C" w14:textId="77777777" w:rsidR="00842F3C" w:rsidRPr="00BA340B" w:rsidRDefault="00842F3C" w:rsidP="00842F3C">
            <w:pPr>
              <w:pStyle w:val="TableCellDecAlign"/>
            </w:pPr>
            <w:r w:rsidRPr="00BA340B">
              <w:t>3.785</w:t>
            </w:r>
          </w:p>
        </w:tc>
        <w:tc>
          <w:tcPr>
            <w:tcW w:w="4266" w:type="dxa"/>
            <w:tcBorders>
              <w:top w:val="nil"/>
              <w:bottom w:val="nil"/>
            </w:tcBorders>
          </w:tcPr>
          <w:p w14:paraId="65C023E2" w14:textId="77777777" w:rsidR="00842F3C" w:rsidRPr="00BA340B" w:rsidRDefault="00842F3C" w:rsidP="00842F3C">
            <w:pPr>
              <w:pStyle w:val="TableCellBody"/>
            </w:pPr>
            <w:proofErr w:type="gramStart"/>
            <w:r w:rsidRPr="00BA340B">
              <w:t>liter</w:t>
            </w:r>
            <w:proofErr w:type="gramEnd"/>
            <w:r w:rsidRPr="00BA340B">
              <w:t xml:space="preserve"> (L) </w:t>
            </w:r>
          </w:p>
        </w:tc>
      </w:tr>
      <w:tr w:rsidR="00842F3C" w:rsidRPr="00BA340B" w14:paraId="20F0F6D8" w14:textId="77777777" w:rsidTr="00283214">
        <w:tc>
          <w:tcPr>
            <w:tcW w:w="4015" w:type="dxa"/>
            <w:tcBorders>
              <w:top w:val="nil"/>
              <w:bottom w:val="nil"/>
            </w:tcBorders>
          </w:tcPr>
          <w:p w14:paraId="4A9A84F3" w14:textId="77777777" w:rsidR="00842F3C" w:rsidRPr="00BA340B" w:rsidRDefault="00842F3C" w:rsidP="00842F3C">
            <w:pPr>
              <w:pStyle w:val="TableCellBody"/>
            </w:pPr>
            <w:proofErr w:type="gramStart"/>
            <w:r w:rsidRPr="00BA340B">
              <w:t>gallon</w:t>
            </w:r>
            <w:proofErr w:type="gramEnd"/>
            <w:r w:rsidRPr="00BA340B">
              <w:t xml:space="preserve"> (gal)</w:t>
            </w:r>
          </w:p>
        </w:tc>
        <w:tc>
          <w:tcPr>
            <w:tcW w:w="1295" w:type="dxa"/>
            <w:tcBorders>
              <w:top w:val="nil"/>
              <w:bottom w:val="nil"/>
            </w:tcBorders>
          </w:tcPr>
          <w:p w14:paraId="24EB28C2" w14:textId="77777777" w:rsidR="00842F3C" w:rsidRPr="00BA340B" w:rsidRDefault="00842F3C" w:rsidP="00842F3C">
            <w:pPr>
              <w:pStyle w:val="TableCellDecAlign"/>
            </w:pPr>
            <w:r w:rsidRPr="00BA340B">
              <w:t>0.003785</w:t>
            </w:r>
          </w:p>
        </w:tc>
        <w:tc>
          <w:tcPr>
            <w:tcW w:w="4266" w:type="dxa"/>
            <w:tcBorders>
              <w:top w:val="nil"/>
              <w:bottom w:val="nil"/>
            </w:tcBorders>
          </w:tcPr>
          <w:p w14:paraId="6C876314"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 xml:space="preserve">) </w:t>
            </w:r>
          </w:p>
        </w:tc>
      </w:tr>
      <w:tr w:rsidR="00842F3C" w:rsidRPr="00BA340B" w14:paraId="645C0396" w14:textId="77777777" w:rsidTr="00283214">
        <w:tc>
          <w:tcPr>
            <w:tcW w:w="4015" w:type="dxa"/>
            <w:tcBorders>
              <w:top w:val="nil"/>
              <w:bottom w:val="nil"/>
            </w:tcBorders>
          </w:tcPr>
          <w:p w14:paraId="573A8A9E" w14:textId="77777777" w:rsidR="00842F3C" w:rsidRPr="00BA340B" w:rsidRDefault="00842F3C" w:rsidP="00842F3C">
            <w:pPr>
              <w:pStyle w:val="TableCellBody"/>
            </w:pPr>
            <w:proofErr w:type="gramStart"/>
            <w:r w:rsidRPr="00BA340B">
              <w:t>gallon</w:t>
            </w:r>
            <w:proofErr w:type="gramEnd"/>
            <w:r w:rsidRPr="00BA340B">
              <w:t xml:space="preserve"> (gal)</w:t>
            </w:r>
          </w:p>
        </w:tc>
        <w:tc>
          <w:tcPr>
            <w:tcW w:w="1295" w:type="dxa"/>
            <w:tcBorders>
              <w:top w:val="nil"/>
              <w:bottom w:val="nil"/>
            </w:tcBorders>
          </w:tcPr>
          <w:p w14:paraId="7BE4BA8B" w14:textId="77777777" w:rsidR="00842F3C" w:rsidRPr="00BA340B" w:rsidRDefault="00842F3C" w:rsidP="00842F3C">
            <w:pPr>
              <w:pStyle w:val="TableCellDecAlign"/>
            </w:pPr>
            <w:r w:rsidRPr="00BA340B">
              <w:t>3.785</w:t>
            </w:r>
          </w:p>
        </w:tc>
        <w:tc>
          <w:tcPr>
            <w:tcW w:w="4266" w:type="dxa"/>
            <w:tcBorders>
              <w:top w:val="nil"/>
              <w:bottom w:val="nil"/>
            </w:tcBorders>
          </w:tcPr>
          <w:p w14:paraId="10D55CF6" w14:textId="77777777" w:rsidR="00842F3C" w:rsidRPr="00BA340B" w:rsidRDefault="00842F3C" w:rsidP="00842F3C">
            <w:pPr>
              <w:pStyle w:val="TableCellBody"/>
            </w:pPr>
            <w:proofErr w:type="gramStart"/>
            <w:r w:rsidRPr="00BA340B">
              <w:t>cubic</w:t>
            </w:r>
            <w:proofErr w:type="gramEnd"/>
            <w:r w:rsidRPr="00BA340B">
              <w:t xml:space="preserve"> decimeter (dm</w:t>
            </w:r>
            <w:r w:rsidRPr="00BA340B">
              <w:rPr>
                <w:rStyle w:val="Superscript"/>
              </w:rPr>
              <w:t>3</w:t>
            </w:r>
            <w:r w:rsidRPr="00BA340B">
              <w:t xml:space="preserve">) </w:t>
            </w:r>
          </w:p>
        </w:tc>
      </w:tr>
      <w:tr w:rsidR="00842F3C" w:rsidRPr="00BA340B" w14:paraId="2DB45A41" w14:textId="77777777" w:rsidTr="00283214">
        <w:tc>
          <w:tcPr>
            <w:tcW w:w="4015" w:type="dxa"/>
            <w:tcBorders>
              <w:top w:val="nil"/>
              <w:bottom w:val="nil"/>
            </w:tcBorders>
          </w:tcPr>
          <w:p w14:paraId="39027081" w14:textId="77777777" w:rsidR="00842F3C" w:rsidRPr="00BA340B" w:rsidRDefault="00842F3C" w:rsidP="00842F3C">
            <w:pPr>
              <w:pStyle w:val="TableCellBody"/>
            </w:pPr>
            <w:proofErr w:type="gramStart"/>
            <w:r w:rsidRPr="00BA340B">
              <w:t>million</w:t>
            </w:r>
            <w:proofErr w:type="gramEnd"/>
            <w:r w:rsidRPr="00BA340B">
              <w:t xml:space="preserve"> gallons (</w:t>
            </w:r>
            <w:proofErr w:type="spellStart"/>
            <w:r w:rsidRPr="00BA340B">
              <w:t>Mgal</w:t>
            </w:r>
            <w:proofErr w:type="spellEnd"/>
            <w:r w:rsidRPr="00BA340B">
              <w:t>)</w:t>
            </w:r>
          </w:p>
        </w:tc>
        <w:tc>
          <w:tcPr>
            <w:tcW w:w="1295" w:type="dxa"/>
            <w:tcBorders>
              <w:top w:val="nil"/>
              <w:bottom w:val="nil"/>
            </w:tcBorders>
          </w:tcPr>
          <w:p w14:paraId="2DA2C4A1" w14:textId="77777777" w:rsidR="00842F3C" w:rsidRPr="00BA340B" w:rsidRDefault="00842F3C" w:rsidP="00842F3C">
            <w:pPr>
              <w:pStyle w:val="TableCellDecAlign"/>
            </w:pPr>
            <w:r w:rsidRPr="00BA340B">
              <w:t>3,785</w:t>
            </w:r>
          </w:p>
        </w:tc>
        <w:tc>
          <w:tcPr>
            <w:tcW w:w="4266" w:type="dxa"/>
            <w:tcBorders>
              <w:top w:val="nil"/>
              <w:bottom w:val="nil"/>
            </w:tcBorders>
          </w:tcPr>
          <w:p w14:paraId="585E1E11"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w:t>
            </w:r>
          </w:p>
        </w:tc>
      </w:tr>
      <w:tr w:rsidR="00842F3C" w:rsidRPr="00BA340B" w14:paraId="48FEB205" w14:textId="77777777" w:rsidTr="00283214">
        <w:tc>
          <w:tcPr>
            <w:tcW w:w="4015" w:type="dxa"/>
            <w:tcBorders>
              <w:top w:val="nil"/>
              <w:bottom w:val="nil"/>
            </w:tcBorders>
          </w:tcPr>
          <w:p w14:paraId="7AF72E8D" w14:textId="77777777" w:rsidR="00842F3C" w:rsidRPr="00BA340B" w:rsidRDefault="00842F3C" w:rsidP="00842F3C">
            <w:pPr>
              <w:pStyle w:val="TableCellBody"/>
            </w:pPr>
            <w:proofErr w:type="gramStart"/>
            <w:r w:rsidRPr="00BA340B">
              <w:t>cubic</w:t>
            </w:r>
            <w:proofErr w:type="gramEnd"/>
            <w:r w:rsidRPr="00BA340B">
              <w:t xml:space="preserve"> inch (in</w:t>
            </w:r>
            <w:r w:rsidRPr="00BA340B">
              <w:rPr>
                <w:rStyle w:val="Superscript"/>
              </w:rPr>
              <w:t>3</w:t>
            </w:r>
            <w:r w:rsidRPr="00BA340B">
              <w:t>)</w:t>
            </w:r>
          </w:p>
        </w:tc>
        <w:tc>
          <w:tcPr>
            <w:tcW w:w="1295" w:type="dxa"/>
            <w:tcBorders>
              <w:top w:val="nil"/>
              <w:bottom w:val="nil"/>
            </w:tcBorders>
          </w:tcPr>
          <w:p w14:paraId="77C1C73D" w14:textId="77777777" w:rsidR="00842F3C" w:rsidRPr="00BA340B" w:rsidRDefault="00842F3C" w:rsidP="00842F3C">
            <w:pPr>
              <w:pStyle w:val="TableCellDecAlign"/>
            </w:pPr>
            <w:r w:rsidRPr="00BA340B">
              <w:t>16.39</w:t>
            </w:r>
          </w:p>
        </w:tc>
        <w:tc>
          <w:tcPr>
            <w:tcW w:w="4266" w:type="dxa"/>
            <w:tcBorders>
              <w:top w:val="nil"/>
              <w:bottom w:val="nil"/>
            </w:tcBorders>
          </w:tcPr>
          <w:p w14:paraId="60055E47" w14:textId="77777777" w:rsidR="00842F3C" w:rsidRPr="00BA340B" w:rsidRDefault="00842F3C" w:rsidP="00842F3C">
            <w:pPr>
              <w:pStyle w:val="TableCellBody"/>
            </w:pPr>
            <w:proofErr w:type="gramStart"/>
            <w:r w:rsidRPr="00BA340B">
              <w:t>cubic</w:t>
            </w:r>
            <w:proofErr w:type="gramEnd"/>
            <w:r w:rsidRPr="00BA340B">
              <w:t xml:space="preserve"> centimeter (cm</w:t>
            </w:r>
            <w:r w:rsidRPr="00BA340B">
              <w:rPr>
                <w:rStyle w:val="Superscript"/>
              </w:rPr>
              <w:t>3</w:t>
            </w:r>
            <w:r w:rsidRPr="00BA340B">
              <w:t xml:space="preserve">) </w:t>
            </w:r>
          </w:p>
        </w:tc>
      </w:tr>
      <w:tr w:rsidR="00842F3C" w:rsidRPr="00BA340B" w14:paraId="19F27AAD" w14:textId="77777777" w:rsidTr="00283214">
        <w:tc>
          <w:tcPr>
            <w:tcW w:w="4015" w:type="dxa"/>
            <w:tcBorders>
              <w:top w:val="nil"/>
              <w:bottom w:val="nil"/>
            </w:tcBorders>
          </w:tcPr>
          <w:p w14:paraId="6E0036B1" w14:textId="77777777" w:rsidR="00842F3C" w:rsidRPr="00BA340B" w:rsidRDefault="00842F3C" w:rsidP="00842F3C">
            <w:pPr>
              <w:pStyle w:val="TableCellBody"/>
            </w:pPr>
            <w:proofErr w:type="gramStart"/>
            <w:r w:rsidRPr="00BA340B">
              <w:t>cubic</w:t>
            </w:r>
            <w:proofErr w:type="gramEnd"/>
            <w:r w:rsidRPr="00BA340B">
              <w:t xml:space="preserve"> inch (in</w:t>
            </w:r>
            <w:r w:rsidRPr="00BA340B">
              <w:rPr>
                <w:rStyle w:val="Superscript"/>
              </w:rPr>
              <w:t>3</w:t>
            </w:r>
            <w:r w:rsidRPr="00BA340B">
              <w:t>)</w:t>
            </w:r>
          </w:p>
        </w:tc>
        <w:tc>
          <w:tcPr>
            <w:tcW w:w="1295" w:type="dxa"/>
            <w:tcBorders>
              <w:top w:val="nil"/>
              <w:bottom w:val="nil"/>
            </w:tcBorders>
          </w:tcPr>
          <w:p w14:paraId="193F0C14" w14:textId="77777777" w:rsidR="00842F3C" w:rsidRPr="00BA340B" w:rsidRDefault="00842F3C" w:rsidP="00842F3C">
            <w:pPr>
              <w:pStyle w:val="TableCellDecAlign"/>
            </w:pPr>
            <w:r w:rsidRPr="00BA340B">
              <w:t>0.01639</w:t>
            </w:r>
          </w:p>
        </w:tc>
        <w:tc>
          <w:tcPr>
            <w:tcW w:w="4266" w:type="dxa"/>
            <w:tcBorders>
              <w:top w:val="nil"/>
              <w:bottom w:val="nil"/>
            </w:tcBorders>
          </w:tcPr>
          <w:p w14:paraId="22BF24C6" w14:textId="77777777" w:rsidR="00842F3C" w:rsidRPr="00BA340B" w:rsidRDefault="00842F3C" w:rsidP="00842F3C">
            <w:pPr>
              <w:pStyle w:val="TableCellBody"/>
            </w:pPr>
            <w:proofErr w:type="gramStart"/>
            <w:r w:rsidRPr="00BA340B">
              <w:t>cubic</w:t>
            </w:r>
            <w:proofErr w:type="gramEnd"/>
            <w:r w:rsidRPr="00BA340B">
              <w:t xml:space="preserve"> decimeter (dm</w:t>
            </w:r>
            <w:r w:rsidRPr="00BA340B">
              <w:rPr>
                <w:rStyle w:val="Superscript"/>
              </w:rPr>
              <w:t>3</w:t>
            </w:r>
            <w:r w:rsidRPr="00BA340B">
              <w:t xml:space="preserve">) </w:t>
            </w:r>
          </w:p>
        </w:tc>
      </w:tr>
      <w:tr w:rsidR="00842F3C" w:rsidRPr="00BA340B" w14:paraId="3FA4F966" w14:textId="77777777" w:rsidTr="00283214">
        <w:tc>
          <w:tcPr>
            <w:tcW w:w="4015" w:type="dxa"/>
            <w:tcBorders>
              <w:top w:val="nil"/>
              <w:bottom w:val="nil"/>
            </w:tcBorders>
          </w:tcPr>
          <w:p w14:paraId="065901EA" w14:textId="77777777" w:rsidR="00842F3C" w:rsidRPr="00BA340B" w:rsidRDefault="00842F3C" w:rsidP="00842F3C">
            <w:pPr>
              <w:pStyle w:val="TableCellBody"/>
            </w:pPr>
            <w:proofErr w:type="gramStart"/>
            <w:r w:rsidRPr="00BA340B">
              <w:t>cubic</w:t>
            </w:r>
            <w:proofErr w:type="gramEnd"/>
            <w:r w:rsidRPr="00BA340B">
              <w:t xml:space="preserve"> inch (in</w:t>
            </w:r>
            <w:r w:rsidRPr="00BA340B">
              <w:rPr>
                <w:rStyle w:val="Superscript"/>
              </w:rPr>
              <w:t>3</w:t>
            </w:r>
            <w:r w:rsidRPr="00BA340B">
              <w:t>)</w:t>
            </w:r>
          </w:p>
        </w:tc>
        <w:tc>
          <w:tcPr>
            <w:tcW w:w="1295" w:type="dxa"/>
            <w:tcBorders>
              <w:top w:val="nil"/>
              <w:bottom w:val="nil"/>
            </w:tcBorders>
          </w:tcPr>
          <w:p w14:paraId="1FAB10ED" w14:textId="77777777" w:rsidR="00842F3C" w:rsidRPr="00BA340B" w:rsidRDefault="00842F3C" w:rsidP="00842F3C">
            <w:pPr>
              <w:pStyle w:val="TableCellDecAlign"/>
            </w:pPr>
            <w:r w:rsidRPr="00BA340B">
              <w:t>0.01639</w:t>
            </w:r>
          </w:p>
        </w:tc>
        <w:tc>
          <w:tcPr>
            <w:tcW w:w="4266" w:type="dxa"/>
            <w:tcBorders>
              <w:top w:val="nil"/>
              <w:bottom w:val="nil"/>
            </w:tcBorders>
          </w:tcPr>
          <w:p w14:paraId="00B5204E" w14:textId="77777777" w:rsidR="00842F3C" w:rsidRPr="00BA340B" w:rsidRDefault="00842F3C" w:rsidP="00842F3C">
            <w:pPr>
              <w:pStyle w:val="TableCellBody"/>
            </w:pPr>
            <w:proofErr w:type="gramStart"/>
            <w:r w:rsidRPr="00BA340B">
              <w:t>liter</w:t>
            </w:r>
            <w:proofErr w:type="gramEnd"/>
            <w:r w:rsidRPr="00BA340B">
              <w:t xml:space="preserve"> (L)</w:t>
            </w:r>
          </w:p>
        </w:tc>
      </w:tr>
      <w:tr w:rsidR="00842F3C" w:rsidRPr="00BA340B" w14:paraId="2B55747E" w14:textId="77777777" w:rsidTr="00283214">
        <w:tc>
          <w:tcPr>
            <w:tcW w:w="4015" w:type="dxa"/>
            <w:tcBorders>
              <w:top w:val="nil"/>
              <w:bottom w:val="nil"/>
            </w:tcBorders>
          </w:tcPr>
          <w:p w14:paraId="37008636" w14:textId="77777777" w:rsidR="00842F3C" w:rsidRPr="00BA340B" w:rsidRDefault="00842F3C" w:rsidP="00842F3C">
            <w:pPr>
              <w:pStyle w:val="TableCellBody"/>
            </w:pPr>
            <w:proofErr w:type="gramStart"/>
            <w:r w:rsidRPr="00BA340B">
              <w:t>cubic</w:t>
            </w:r>
            <w:proofErr w:type="gramEnd"/>
            <w:r w:rsidRPr="00BA340B">
              <w:t xml:space="preserve"> foot (ft</w:t>
            </w:r>
            <w:r w:rsidRPr="00BA340B">
              <w:rPr>
                <w:rStyle w:val="Superscript"/>
              </w:rPr>
              <w:t>3</w:t>
            </w:r>
            <w:r w:rsidRPr="00BA340B">
              <w:t>)</w:t>
            </w:r>
          </w:p>
        </w:tc>
        <w:tc>
          <w:tcPr>
            <w:tcW w:w="1295" w:type="dxa"/>
            <w:tcBorders>
              <w:top w:val="nil"/>
              <w:bottom w:val="nil"/>
            </w:tcBorders>
          </w:tcPr>
          <w:p w14:paraId="2A29A7DA" w14:textId="77777777" w:rsidR="00842F3C" w:rsidRPr="00BA340B" w:rsidRDefault="00842F3C" w:rsidP="00842F3C">
            <w:pPr>
              <w:pStyle w:val="TableCellDecAlign"/>
            </w:pPr>
            <w:r w:rsidRPr="00BA340B">
              <w:t>28.32</w:t>
            </w:r>
          </w:p>
        </w:tc>
        <w:tc>
          <w:tcPr>
            <w:tcW w:w="4266" w:type="dxa"/>
            <w:tcBorders>
              <w:top w:val="nil"/>
              <w:bottom w:val="nil"/>
            </w:tcBorders>
          </w:tcPr>
          <w:p w14:paraId="1B190EB2" w14:textId="77777777" w:rsidR="00842F3C" w:rsidRPr="00BA340B" w:rsidRDefault="00842F3C" w:rsidP="00842F3C">
            <w:pPr>
              <w:pStyle w:val="TableCellBody"/>
            </w:pPr>
            <w:proofErr w:type="gramStart"/>
            <w:r w:rsidRPr="00BA340B">
              <w:t>cubic</w:t>
            </w:r>
            <w:proofErr w:type="gramEnd"/>
            <w:r w:rsidRPr="00BA340B">
              <w:t xml:space="preserve"> decimeter (dm</w:t>
            </w:r>
            <w:r w:rsidRPr="00BA340B">
              <w:rPr>
                <w:rStyle w:val="Superscript"/>
              </w:rPr>
              <w:t>3</w:t>
            </w:r>
            <w:r w:rsidRPr="00BA340B">
              <w:t xml:space="preserve">) </w:t>
            </w:r>
          </w:p>
        </w:tc>
      </w:tr>
      <w:tr w:rsidR="00842F3C" w:rsidRPr="00BA340B" w14:paraId="084FBBF9" w14:textId="77777777" w:rsidTr="00283214">
        <w:tc>
          <w:tcPr>
            <w:tcW w:w="4015" w:type="dxa"/>
            <w:tcBorders>
              <w:top w:val="nil"/>
              <w:bottom w:val="nil"/>
            </w:tcBorders>
          </w:tcPr>
          <w:p w14:paraId="0862D799" w14:textId="77777777" w:rsidR="00842F3C" w:rsidRPr="00BA340B" w:rsidRDefault="00842F3C" w:rsidP="00842F3C">
            <w:pPr>
              <w:pStyle w:val="TableCellBody"/>
            </w:pPr>
            <w:proofErr w:type="gramStart"/>
            <w:r w:rsidRPr="00BA340B">
              <w:t>cubic</w:t>
            </w:r>
            <w:proofErr w:type="gramEnd"/>
            <w:r w:rsidRPr="00BA340B">
              <w:t xml:space="preserve"> foot (ft</w:t>
            </w:r>
            <w:r w:rsidRPr="00BA340B">
              <w:rPr>
                <w:rStyle w:val="Superscript"/>
              </w:rPr>
              <w:t>3</w:t>
            </w:r>
            <w:r w:rsidRPr="00BA340B">
              <w:t>)</w:t>
            </w:r>
          </w:p>
        </w:tc>
        <w:tc>
          <w:tcPr>
            <w:tcW w:w="1295" w:type="dxa"/>
            <w:tcBorders>
              <w:top w:val="nil"/>
              <w:bottom w:val="nil"/>
            </w:tcBorders>
          </w:tcPr>
          <w:p w14:paraId="52F5C98B" w14:textId="77777777" w:rsidR="00842F3C" w:rsidRPr="00BA340B" w:rsidRDefault="00842F3C" w:rsidP="00842F3C">
            <w:pPr>
              <w:pStyle w:val="TableCellDecAlign"/>
            </w:pPr>
            <w:r w:rsidRPr="00BA340B">
              <w:t>0.02832</w:t>
            </w:r>
          </w:p>
        </w:tc>
        <w:tc>
          <w:tcPr>
            <w:tcW w:w="4266" w:type="dxa"/>
            <w:tcBorders>
              <w:top w:val="nil"/>
              <w:bottom w:val="nil"/>
            </w:tcBorders>
          </w:tcPr>
          <w:p w14:paraId="3A41C5D8"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 xml:space="preserve">) </w:t>
            </w:r>
          </w:p>
        </w:tc>
      </w:tr>
      <w:tr w:rsidR="00842F3C" w:rsidRPr="00BA340B" w14:paraId="21039163" w14:textId="77777777" w:rsidTr="00283214">
        <w:tc>
          <w:tcPr>
            <w:tcW w:w="4015" w:type="dxa"/>
            <w:tcBorders>
              <w:top w:val="nil"/>
              <w:bottom w:val="nil"/>
            </w:tcBorders>
          </w:tcPr>
          <w:p w14:paraId="75EB0463" w14:textId="77777777" w:rsidR="00842F3C" w:rsidRPr="00BA340B" w:rsidRDefault="00842F3C" w:rsidP="00842F3C">
            <w:pPr>
              <w:pStyle w:val="TableCellBody"/>
            </w:pPr>
            <w:proofErr w:type="gramStart"/>
            <w:r w:rsidRPr="00BA340B">
              <w:t>cubic</w:t>
            </w:r>
            <w:proofErr w:type="gramEnd"/>
            <w:r w:rsidRPr="00BA340B">
              <w:t xml:space="preserve"> yard (yd</w:t>
            </w:r>
            <w:r w:rsidRPr="00BA340B">
              <w:rPr>
                <w:rStyle w:val="Superscript"/>
              </w:rPr>
              <w:t>3</w:t>
            </w:r>
            <w:r w:rsidRPr="00BA340B">
              <w:t>)</w:t>
            </w:r>
          </w:p>
        </w:tc>
        <w:tc>
          <w:tcPr>
            <w:tcW w:w="1295" w:type="dxa"/>
            <w:tcBorders>
              <w:top w:val="nil"/>
              <w:bottom w:val="nil"/>
            </w:tcBorders>
          </w:tcPr>
          <w:p w14:paraId="54144E5D" w14:textId="77777777" w:rsidR="00842F3C" w:rsidRPr="00BA340B" w:rsidRDefault="00842F3C" w:rsidP="00842F3C">
            <w:pPr>
              <w:pStyle w:val="TableCellDecAlign"/>
            </w:pPr>
            <w:r w:rsidRPr="00BA340B">
              <w:t>0.7646</w:t>
            </w:r>
          </w:p>
        </w:tc>
        <w:tc>
          <w:tcPr>
            <w:tcW w:w="4266" w:type="dxa"/>
            <w:tcBorders>
              <w:top w:val="nil"/>
              <w:bottom w:val="nil"/>
            </w:tcBorders>
          </w:tcPr>
          <w:p w14:paraId="2A0F1E21"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 xml:space="preserve">) </w:t>
            </w:r>
          </w:p>
        </w:tc>
      </w:tr>
      <w:tr w:rsidR="00842F3C" w:rsidRPr="00BA340B" w14:paraId="5F588200" w14:textId="77777777" w:rsidTr="00283214">
        <w:tc>
          <w:tcPr>
            <w:tcW w:w="4015" w:type="dxa"/>
            <w:tcBorders>
              <w:top w:val="nil"/>
              <w:bottom w:val="nil"/>
            </w:tcBorders>
          </w:tcPr>
          <w:p w14:paraId="20ED3BB0" w14:textId="77777777" w:rsidR="00842F3C" w:rsidRPr="00BA340B" w:rsidRDefault="00842F3C" w:rsidP="00842F3C">
            <w:pPr>
              <w:pStyle w:val="TableCellBody"/>
            </w:pPr>
            <w:proofErr w:type="gramStart"/>
            <w:r w:rsidRPr="00BA340B">
              <w:t>cubic</w:t>
            </w:r>
            <w:proofErr w:type="gramEnd"/>
            <w:r w:rsidRPr="00BA340B">
              <w:t xml:space="preserve"> mile (mi</w:t>
            </w:r>
            <w:r w:rsidRPr="00BA340B">
              <w:rPr>
                <w:rStyle w:val="Superscript"/>
              </w:rPr>
              <w:t>3</w:t>
            </w:r>
            <w:r w:rsidRPr="00BA340B">
              <w:t>)</w:t>
            </w:r>
          </w:p>
        </w:tc>
        <w:tc>
          <w:tcPr>
            <w:tcW w:w="1295" w:type="dxa"/>
            <w:tcBorders>
              <w:top w:val="nil"/>
              <w:bottom w:val="nil"/>
            </w:tcBorders>
          </w:tcPr>
          <w:p w14:paraId="481795AB" w14:textId="77777777" w:rsidR="00842F3C" w:rsidRPr="00BA340B" w:rsidRDefault="00842F3C" w:rsidP="00842F3C">
            <w:pPr>
              <w:pStyle w:val="TableCellDecAlign"/>
            </w:pPr>
            <w:r w:rsidRPr="00BA340B">
              <w:t>4.168</w:t>
            </w:r>
          </w:p>
        </w:tc>
        <w:tc>
          <w:tcPr>
            <w:tcW w:w="4266" w:type="dxa"/>
            <w:tcBorders>
              <w:top w:val="nil"/>
              <w:bottom w:val="nil"/>
            </w:tcBorders>
          </w:tcPr>
          <w:p w14:paraId="4BD5ACF1" w14:textId="77777777" w:rsidR="00842F3C" w:rsidRPr="00BA340B" w:rsidRDefault="00842F3C" w:rsidP="00842F3C">
            <w:pPr>
              <w:pStyle w:val="TableCellBody"/>
            </w:pPr>
            <w:proofErr w:type="gramStart"/>
            <w:r w:rsidRPr="00BA340B">
              <w:t>cubic</w:t>
            </w:r>
            <w:proofErr w:type="gramEnd"/>
            <w:r w:rsidRPr="00BA340B">
              <w:t xml:space="preserve"> kilometer (km</w:t>
            </w:r>
            <w:r w:rsidRPr="00BA340B">
              <w:rPr>
                <w:rStyle w:val="Superscript"/>
              </w:rPr>
              <w:t>3</w:t>
            </w:r>
            <w:r w:rsidRPr="00BA340B">
              <w:t xml:space="preserve">) </w:t>
            </w:r>
          </w:p>
        </w:tc>
      </w:tr>
      <w:tr w:rsidR="00842F3C" w:rsidRPr="00BA340B" w14:paraId="18FBCC4C" w14:textId="77777777" w:rsidTr="00283214">
        <w:tc>
          <w:tcPr>
            <w:tcW w:w="4015" w:type="dxa"/>
            <w:tcBorders>
              <w:top w:val="nil"/>
              <w:bottom w:val="nil"/>
            </w:tcBorders>
          </w:tcPr>
          <w:p w14:paraId="61801BC8" w14:textId="77777777" w:rsidR="00842F3C" w:rsidRPr="00BA340B" w:rsidRDefault="00842F3C" w:rsidP="00842F3C">
            <w:pPr>
              <w:pStyle w:val="TableCellBody"/>
            </w:pPr>
            <w:proofErr w:type="gramStart"/>
            <w:r w:rsidRPr="00BA340B">
              <w:t>acre</w:t>
            </w:r>
            <w:proofErr w:type="gramEnd"/>
            <w:r w:rsidRPr="00BA340B">
              <w:t>-foot (acre-</w:t>
            </w:r>
            <w:proofErr w:type="spellStart"/>
            <w:r w:rsidRPr="00BA340B">
              <w:t>ft</w:t>
            </w:r>
            <w:proofErr w:type="spellEnd"/>
            <w:r w:rsidRPr="00BA340B">
              <w:t>)</w:t>
            </w:r>
          </w:p>
        </w:tc>
        <w:tc>
          <w:tcPr>
            <w:tcW w:w="1295" w:type="dxa"/>
            <w:tcBorders>
              <w:top w:val="nil"/>
              <w:bottom w:val="nil"/>
            </w:tcBorders>
          </w:tcPr>
          <w:p w14:paraId="0AB6A313" w14:textId="77777777" w:rsidR="00842F3C" w:rsidRPr="00BA340B" w:rsidRDefault="00842F3C" w:rsidP="00842F3C">
            <w:pPr>
              <w:pStyle w:val="TableCellDecAlign"/>
            </w:pPr>
            <w:r w:rsidRPr="00BA340B">
              <w:t>1,233</w:t>
            </w:r>
          </w:p>
        </w:tc>
        <w:tc>
          <w:tcPr>
            <w:tcW w:w="4266" w:type="dxa"/>
            <w:tcBorders>
              <w:top w:val="nil"/>
              <w:bottom w:val="nil"/>
            </w:tcBorders>
          </w:tcPr>
          <w:p w14:paraId="1B9AB418" w14:textId="77777777" w:rsidR="00842F3C" w:rsidRPr="00BA340B" w:rsidRDefault="00842F3C" w:rsidP="00842F3C">
            <w:pPr>
              <w:pStyle w:val="TableCellBody"/>
            </w:pPr>
            <w:proofErr w:type="gramStart"/>
            <w:r w:rsidRPr="00BA340B">
              <w:t>cubic</w:t>
            </w:r>
            <w:proofErr w:type="gramEnd"/>
            <w:r w:rsidRPr="00BA340B">
              <w:t xml:space="preserve"> meter (m</w:t>
            </w:r>
            <w:r w:rsidRPr="00BA340B">
              <w:rPr>
                <w:rStyle w:val="Superscript"/>
              </w:rPr>
              <w:t>3</w:t>
            </w:r>
            <w:r w:rsidRPr="00BA340B">
              <w:t>)</w:t>
            </w:r>
          </w:p>
        </w:tc>
      </w:tr>
      <w:tr w:rsidR="00842F3C" w:rsidRPr="00BA340B" w14:paraId="4E8EC0E4" w14:textId="77777777" w:rsidTr="00283214">
        <w:tc>
          <w:tcPr>
            <w:tcW w:w="4015" w:type="dxa"/>
            <w:tcBorders>
              <w:top w:val="nil"/>
            </w:tcBorders>
          </w:tcPr>
          <w:p w14:paraId="0ED92F58" w14:textId="77777777" w:rsidR="00842F3C" w:rsidRPr="00BA340B" w:rsidRDefault="00842F3C" w:rsidP="00842F3C">
            <w:pPr>
              <w:pStyle w:val="TableCellBody"/>
            </w:pPr>
            <w:proofErr w:type="gramStart"/>
            <w:r w:rsidRPr="00BA340B">
              <w:t>acre</w:t>
            </w:r>
            <w:proofErr w:type="gramEnd"/>
            <w:r w:rsidRPr="00BA340B">
              <w:t>-foot (acre-</w:t>
            </w:r>
            <w:proofErr w:type="spellStart"/>
            <w:r w:rsidRPr="00BA340B">
              <w:t>ft</w:t>
            </w:r>
            <w:proofErr w:type="spellEnd"/>
            <w:r w:rsidRPr="00BA340B">
              <w:t>)</w:t>
            </w:r>
          </w:p>
        </w:tc>
        <w:tc>
          <w:tcPr>
            <w:tcW w:w="1295" w:type="dxa"/>
            <w:tcBorders>
              <w:top w:val="nil"/>
            </w:tcBorders>
          </w:tcPr>
          <w:p w14:paraId="3CF9EB21" w14:textId="77777777" w:rsidR="00842F3C" w:rsidRPr="00BA340B" w:rsidRDefault="00842F3C" w:rsidP="00842F3C">
            <w:pPr>
              <w:pStyle w:val="TableCellDecAlign"/>
            </w:pPr>
            <w:r w:rsidRPr="00BA340B">
              <w:t>0.001233</w:t>
            </w:r>
          </w:p>
        </w:tc>
        <w:tc>
          <w:tcPr>
            <w:tcW w:w="4266" w:type="dxa"/>
            <w:tcBorders>
              <w:top w:val="nil"/>
            </w:tcBorders>
          </w:tcPr>
          <w:p w14:paraId="5ABE389D" w14:textId="77777777" w:rsidR="00842F3C" w:rsidRPr="00BA340B" w:rsidRDefault="00842F3C" w:rsidP="00842F3C">
            <w:pPr>
              <w:pStyle w:val="TableCellBody"/>
            </w:pPr>
            <w:proofErr w:type="gramStart"/>
            <w:r w:rsidRPr="00BA340B">
              <w:t>cubic</w:t>
            </w:r>
            <w:proofErr w:type="gramEnd"/>
            <w:r w:rsidRPr="00BA340B">
              <w:t xml:space="preserve"> hectometer (hm</w:t>
            </w:r>
            <w:r w:rsidRPr="00BA340B">
              <w:rPr>
                <w:rStyle w:val="Superscript"/>
              </w:rPr>
              <w:t>3</w:t>
            </w:r>
            <w:r w:rsidRPr="00BA340B">
              <w:t xml:space="preserve">) </w:t>
            </w:r>
          </w:p>
        </w:tc>
      </w:tr>
      <w:tr w:rsidR="00842F3C" w:rsidRPr="00BA340B" w14:paraId="48EF570D" w14:textId="77777777" w:rsidTr="00283214">
        <w:tc>
          <w:tcPr>
            <w:tcW w:w="9576" w:type="dxa"/>
            <w:gridSpan w:val="3"/>
            <w:tcBorders>
              <w:bottom w:val="single" w:sz="4" w:space="0" w:color="auto"/>
            </w:tcBorders>
          </w:tcPr>
          <w:p w14:paraId="558ACD35" w14:textId="77777777" w:rsidR="00842F3C" w:rsidRPr="00BA340B" w:rsidRDefault="00842F3C" w:rsidP="00283214">
            <w:pPr>
              <w:pStyle w:val="TableSpanner"/>
            </w:pPr>
            <w:r w:rsidRPr="00BA340B">
              <w:t>Flow rate</w:t>
            </w:r>
          </w:p>
        </w:tc>
      </w:tr>
      <w:tr w:rsidR="00842F3C" w:rsidRPr="00BA340B" w14:paraId="4C0566A6" w14:textId="77777777" w:rsidTr="00283214">
        <w:tc>
          <w:tcPr>
            <w:tcW w:w="4015" w:type="dxa"/>
            <w:tcBorders>
              <w:bottom w:val="nil"/>
            </w:tcBorders>
          </w:tcPr>
          <w:p w14:paraId="20EB5DAC" w14:textId="77777777" w:rsidR="00842F3C" w:rsidRPr="00BA340B" w:rsidRDefault="00842F3C" w:rsidP="00842F3C">
            <w:pPr>
              <w:pStyle w:val="TableCellBody"/>
            </w:pPr>
            <w:proofErr w:type="gramStart"/>
            <w:r w:rsidRPr="00BA340B">
              <w:t>acre</w:t>
            </w:r>
            <w:proofErr w:type="gramEnd"/>
            <w:r w:rsidRPr="00BA340B">
              <w:t>-foot per day (acre-</w:t>
            </w:r>
            <w:proofErr w:type="spellStart"/>
            <w:r w:rsidRPr="00BA340B">
              <w:t>ft</w:t>
            </w:r>
            <w:proofErr w:type="spellEnd"/>
            <w:r w:rsidRPr="00BA340B">
              <w:t>/d)</w:t>
            </w:r>
          </w:p>
        </w:tc>
        <w:tc>
          <w:tcPr>
            <w:tcW w:w="1295" w:type="dxa"/>
            <w:tcBorders>
              <w:bottom w:val="nil"/>
            </w:tcBorders>
          </w:tcPr>
          <w:p w14:paraId="0075620F" w14:textId="77777777" w:rsidR="00842F3C" w:rsidRPr="00BA340B" w:rsidRDefault="00842F3C" w:rsidP="00842F3C">
            <w:pPr>
              <w:pStyle w:val="TableCellDecAlign"/>
            </w:pPr>
            <w:r w:rsidRPr="00BA340B">
              <w:t>0.01427</w:t>
            </w:r>
          </w:p>
        </w:tc>
        <w:tc>
          <w:tcPr>
            <w:tcW w:w="4266" w:type="dxa"/>
            <w:tcBorders>
              <w:bottom w:val="nil"/>
            </w:tcBorders>
          </w:tcPr>
          <w:p w14:paraId="323F935F" w14:textId="77777777" w:rsidR="00842F3C" w:rsidRPr="00BA340B" w:rsidRDefault="00842F3C" w:rsidP="00842F3C">
            <w:pPr>
              <w:pStyle w:val="TableCellBody"/>
            </w:pPr>
            <w:proofErr w:type="gramStart"/>
            <w:r w:rsidRPr="00BA340B">
              <w:t>cubic</w:t>
            </w:r>
            <w:proofErr w:type="gramEnd"/>
            <w:r w:rsidRPr="00BA340B">
              <w:t xml:space="preserve"> meter per second (m</w:t>
            </w:r>
            <w:r w:rsidRPr="00BA340B">
              <w:rPr>
                <w:rStyle w:val="Superscript"/>
              </w:rPr>
              <w:t>3</w:t>
            </w:r>
            <w:r w:rsidRPr="00BA340B">
              <w:t>/s)</w:t>
            </w:r>
          </w:p>
        </w:tc>
      </w:tr>
      <w:tr w:rsidR="00842F3C" w:rsidRPr="00BA340B" w14:paraId="47853E70" w14:textId="77777777" w:rsidTr="00283214">
        <w:tc>
          <w:tcPr>
            <w:tcW w:w="4015" w:type="dxa"/>
            <w:tcBorders>
              <w:top w:val="nil"/>
              <w:bottom w:val="nil"/>
            </w:tcBorders>
          </w:tcPr>
          <w:p w14:paraId="063FCA0F" w14:textId="77777777" w:rsidR="00842F3C" w:rsidRPr="00BA340B" w:rsidRDefault="00842F3C" w:rsidP="00842F3C">
            <w:pPr>
              <w:pStyle w:val="TableCellBody"/>
            </w:pPr>
            <w:proofErr w:type="gramStart"/>
            <w:r w:rsidRPr="00BA340B">
              <w:t>acre</w:t>
            </w:r>
            <w:proofErr w:type="gramEnd"/>
            <w:r w:rsidRPr="00BA340B">
              <w:t>-foot per year (acre-</w:t>
            </w:r>
            <w:proofErr w:type="spellStart"/>
            <w:r w:rsidRPr="00BA340B">
              <w:t>ft</w:t>
            </w:r>
            <w:proofErr w:type="spellEnd"/>
            <w:r w:rsidRPr="00BA340B">
              <w:t>/</w:t>
            </w:r>
            <w:proofErr w:type="spellStart"/>
            <w:r w:rsidRPr="00BA340B">
              <w:t>yr</w:t>
            </w:r>
            <w:proofErr w:type="spellEnd"/>
            <w:r w:rsidRPr="00BA340B">
              <w:t>)</w:t>
            </w:r>
          </w:p>
        </w:tc>
        <w:tc>
          <w:tcPr>
            <w:tcW w:w="1295" w:type="dxa"/>
            <w:tcBorders>
              <w:top w:val="nil"/>
              <w:bottom w:val="nil"/>
            </w:tcBorders>
          </w:tcPr>
          <w:p w14:paraId="583751DA" w14:textId="77777777" w:rsidR="00842F3C" w:rsidRPr="00BA340B" w:rsidRDefault="00842F3C" w:rsidP="00842F3C">
            <w:pPr>
              <w:pStyle w:val="TableCellDecAlign"/>
            </w:pPr>
            <w:r w:rsidRPr="00BA340B">
              <w:t>1,233</w:t>
            </w:r>
          </w:p>
        </w:tc>
        <w:tc>
          <w:tcPr>
            <w:tcW w:w="4266" w:type="dxa"/>
            <w:tcBorders>
              <w:top w:val="nil"/>
              <w:bottom w:val="nil"/>
            </w:tcBorders>
          </w:tcPr>
          <w:p w14:paraId="5D4BFF12" w14:textId="77777777" w:rsidR="00842F3C" w:rsidRPr="00BA340B" w:rsidRDefault="00842F3C" w:rsidP="00842F3C">
            <w:pPr>
              <w:pStyle w:val="TableCellBody"/>
            </w:pPr>
            <w:proofErr w:type="gramStart"/>
            <w:r w:rsidRPr="00BA340B">
              <w:t>cubic</w:t>
            </w:r>
            <w:proofErr w:type="gramEnd"/>
            <w:r w:rsidRPr="00BA340B">
              <w:t xml:space="preserve"> meter per year (m</w:t>
            </w:r>
            <w:r w:rsidRPr="00BA340B">
              <w:rPr>
                <w:rStyle w:val="Superscript"/>
              </w:rPr>
              <w:t>3</w:t>
            </w:r>
            <w:r w:rsidRPr="00BA340B">
              <w:t>/</w:t>
            </w:r>
            <w:proofErr w:type="spellStart"/>
            <w:r w:rsidRPr="00BA340B">
              <w:t>yr</w:t>
            </w:r>
            <w:proofErr w:type="spellEnd"/>
            <w:r w:rsidRPr="00BA340B">
              <w:t>)</w:t>
            </w:r>
          </w:p>
        </w:tc>
      </w:tr>
      <w:tr w:rsidR="00842F3C" w:rsidRPr="00BA340B" w14:paraId="03091D10" w14:textId="77777777" w:rsidTr="00283214">
        <w:tc>
          <w:tcPr>
            <w:tcW w:w="4015" w:type="dxa"/>
            <w:tcBorders>
              <w:top w:val="nil"/>
              <w:bottom w:val="nil"/>
            </w:tcBorders>
          </w:tcPr>
          <w:p w14:paraId="5DB933EA" w14:textId="77777777" w:rsidR="00842F3C" w:rsidRPr="00BA340B" w:rsidRDefault="00842F3C" w:rsidP="00842F3C">
            <w:pPr>
              <w:pStyle w:val="TableCellBody"/>
            </w:pPr>
            <w:proofErr w:type="gramStart"/>
            <w:r w:rsidRPr="00BA340B">
              <w:t>acre</w:t>
            </w:r>
            <w:proofErr w:type="gramEnd"/>
            <w:r w:rsidRPr="00BA340B">
              <w:t>-foot per year (acre-</w:t>
            </w:r>
            <w:proofErr w:type="spellStart"/>
            <w:r w:rsidRPr="00BA340B">
              <w:t>ft</w:t>
            </w:r>
            <w:proofErr w:type="spellEnd"/>
            <w:r w:rsidRPr="00BA340B">
              <w:t>/</w:t>
            </w:r>
            <w:proofErr w:type="spellStart"/>
            <w:r w:rsidRPr="00BA340B">
              <w:t>yr</w:t>
            </w:r>
            <w:proofErr w:type="spellEnd"/>
            <w:r w:rsidRPr="00BA340B">
              <w:t>)</w:t>
            </w:r>
          </w:p>
        </w:tc>
        <w:tc>
          <w:tcPr>
            <w:tcW w:w="1295" w:type="dxa"/>
            <w:tcBorders>
              <w:top w:val="nil"/>
              <w:bottom w:val="nil"/>
            </w:tcBorders>
          </w:tcPr>
          <w:p w14:paraId="2509810F" w14:textId="77777777" w:rsidR="00842F3C" w:rsidRPr="00BA340B" w:rsidRDefault="00842F3C" w:rsidP="00842F3C">
            <w:pPr>
              <w:pStyle w:val="TableCellDecAlign"/>
            </w:pPr>
            <w:r w:rsidRPr="00BA340B">
              <w:t>0.001233</w:t>
            </w:r>
          </w:p>
        </w:tc>
        <w:tc>
          <w:tcPr>
            <w:tcW w:w="4266" w:type="dxa"/>
            <w:tcBorders>
              <w:top w:val="nil"/>
              <w:bottom w:val="nil"/>
            </w:tcBorders>
          </w:tcPr>
          <w:p w14:paraId="78A8E93F" w14:textId="77777777" w:rsidR="00842F3C" w:rsidRPr="00BA340B" w:rsidRDefault="00842F3C" w:rsidP="00842F3C">
            <w:pPr>
              <w:pStyle w:val="TableCellBody"/>
            </w:pPr>
            <w:proofErr w:type="gramStart"/>
            <w:r w:rsidRPr="00BA340B">
              <w:t>cubic</w:t>
            </w:r>
            <w:proofErr w:type="gramEnd"/>
            <w:r w:rsidRPr="00BA340B">
              <w:t xml:space="preserve"> hectometer per year (hm</w:t>
            </w:r>
            <w:r w:rsidRPr="00BA340B">
              <w:rPr>
                <w:rStyle w:val="Superscript"/>
              </w:rPr>
              <w:t>3</w:t>
            </w:r>
            <w:r w:rsidRPr="00BA340B">
              <w:t>/</w:t>
            </w:r>
            <w:proofErr w:type="spellStart"/>
            <w:r w:rsidRPr="00BA340B">
              <w:t>yr</w:t>
            </w:r>
            <w:proofErr w:type="spellEnd"/>
            <w:r w:rsidRPr="00BA340B">
              <w:t>)</w:t>
            </w:r>
          </w:p>
        </w:tc>
      </w:tr>
      <w:tr w:rsidR="00842F3C" w:rsidRPr="00BA340B" w14:paraId="24E34E17" w14:textId="77777777" w:rsidTr="00283214">
        <w:tc>
          <w:tcPr>
            <w:tcW w:w="4015" w:type="dxa"/>
            <w:tcBorders>
              <w:top w:val="nil"/>
              <w:bottom w:val="nil"/>
            </w:tcBorders>
          </w:tcPr>
          <w:p w14:paraId="0FAC9601" w14:textId="77777777" w:rsidR="00842F3C" w:rsidRPr="00BA340B" w:rsidRDefault="00842F3C" w:rsidP="00842F3C">
            <w:pPr>
              <w:pStyle w:val="TableCellBody"/>
            </w:pPr>
            <w:proofErr w:type="gramStart"/>
            <w:r w:rsidRPr="00BA340B">
              <w:t>foot</w:t>
            </w:r>
            <w:proofErr w:type="gramEnd"/>
            <w:r w:rsidRPr="00BA340B">
              <w:t xml:space="preserve"> per second (</w:t>
            </w:r>
            <w:proofErr w:type="spellStart"/>
            <w:r w:rsidRPr="00BA340B">
              <w:t>ft</w:t>
            </w:r>
            <w:proofErr w:type="spellEnd"/>
            <w:r w:rsidRPr="00BA340B">
              <w:t>/s)</w:t>
            </w:r>
          </w:p>
        </w:tc>
        <w:tc>
          <w:tcPr>
            <w:tcW w:w="1295" w:type="dxa"/>
            <w:tcBorders>
              <w:top w:val="nil"/>
              <w:bottom w:val="nil"/>
            </w:tcBorders>
          </w:tcPr>
          <w:p w14:paraId="6B0357C4" w14:textId="77777777" w:rsidR="00842F3C" w:rsidRPr="00BA340B" w:rsidRDefault="00842F3C" w:rsidP="00842F3C">
            <w:pPr>
              <w:pStyle w:val="TableCellDecAlign"/>
            </w:pPr>
            <w:r w:rsidRPr="00BA340B">
              <w:t>0.3048</w:t>
            </w:r>
          </w:p>
        </w:tc>
        <w:tc>
          <w:tcPr>
            <w:tcW w:w="4266" w:type="dxa"/>
            <w:tcBorders>
              <w:top w:val="nil"/>
              <w:bottom w:val="nil"/>
            </w:tcBorders>
          </w:tcPr>
          <w:p w14:paraId="7A4ADBE8" w14:textId="77777777" w:rsidR="00842F3C" w:rsidRPr="00BA340B" w:rsidRDefault="00842F3C" w:rsidP="00842F3C">
            <w:pPr>
              <w:pStyle w:val="TableCellBody"/>
            </w:pPr>
            <w:proofErr w:type="gramStart"/>
            <w:r w:rsidRPr="00BA340B">
              <w:t>meter</w:t>
            </w:r>
            <w:proofErr w:type="gramEnd"/>
            <w:r w:rsidRPr="00BA340B">
              <w:t xml:space="preserve"> per second (m/s)</w:t>
            </w:r>
          </w:p>
        </w:tc>
      </w:tr>
      <w:tr w:rsidR="00842F3C" w:rsidRPr="00BA340B" w14:paraId="28121892" w14:textId="77777777" w:rsidTr="00283214">
        <w:tc>
          <w:tcPr>
            <w:tcW w:w="4015" w:type="dxa"/>
            <w:tcBorders>
              <w:top w:val="nil"/>
              <w:bottom w:val="nil"/>
            </w:tcBorders>
          </w:tcPr>
          <w:p w14:paraId="3F37971B" w14:textId="77777777" w:rsidR="00842F3C" w:rsidRPr="00BA340B" w:rsidRDefault="00842F3C" w:rsidP="00842F3C">
            <w:pPr>
              <w:pStyle w:val="TableCellBody"/>
            </w:pPr>
            <w:proofErr w:type="gramStart"/>
            <w:r w:rsidRPr="00BA340B">
              <w:t>foot</w:t>
            </w:r>
            <w:proofErr w:type="gramEnd"/>
            <w:r w:rsidRPr="00BA340B">
              <w:t xml:space="preserve"> per minute (</w:t>
            </w:r>
            <w:proofErr w:type="spellStart"/>
            <w:r w:rsidRPr="00BA340B">
              <w:t>ft</w:t>
            </w:r>
            <w:proofErr w:type="spellEnd"/>
            <w:r w:rsidRPr="00BA340B">
              <w:t>/min)</w:t>
            </w:r>
          </w:p>
        </w:tc>
        <w:tc>
          <w:tcPr>
            <w:tcW w:w="1295" w:type="dxa"/>
            <w:tcBorders>
              <w:top w:val="nil"/>
              <w:bottom w:val="nil"/>
            </w:tcBorders>
          </w:tcPr>
          <w:p w14:paraId="52ACBCFA" w14:textId="77777777" w:rsidR="00842F3C" w:rsidRPr="00BA340B" w:rsidRDefault="00842F3C" w:rsidP="00842F3C">
            <w:pPr>
              <w:pStyle w:val="TableCellDecAlign"/>
            </w:pPr>
            <w:r w:rsidRPr="00BA340B">
              <w:t>0.3048</w:t>
            </w:r>
          </w:p>
        </w:tc>
        <w:tc>
          <w:tcPr>
            <w:tcW w:w="4266" w:type="dxa"/>
            <w:tcBorders>
              <w:top w:val="nil"/>
              <w:bottom w:val="nil"/>
            </w:tcBorders>
          </w:tcPr>
          <w:p w14:paraId="47DA9850" w14:textId="77777777" w:rsidR="00842F3C" w:rsidRPr="00BA340B" w:rsidRDefault="00842F3C" w:rsidP="00842F3C">
            <w:pPr>
              <w:pStyle w:val="TableCellBody"/>
            </w:pPr>
            <w:proofErr w:type="gramStart"/>
            <w:r w:rsidRPr="00BA340B">
              <w:t>meter</w:t>
            </w:r>
            <w:proofErr w:type="gramEnd"/>
            <w:r w:rsidRPr="00BA340B">
              <w:t xml:space="preserve"> per minute (m/min)</w:t>
            </w:r>
          </w:p>
        </w:tc>
      </w:tr>
      <w:tr w:rsidR="00842F3C" w:rsidRPr="00BA340B" w14:paraId="6A7DF0E3" w14:textId="77777777" w:rsidTr="00283214">
        <w:tc>
          <w:tcPr>
            <w:tcW w:w="4015" w:type="dxa"/>
            <w:tcBorders>
              <w:top w:val="nil"/>
              <w:bottom w:val="nil"/>
            </w:tcBorders>
          </w:tcPr>
          <w:p w14:paraId="594554E8" w14:textId="77777777" w:rsidR="00842F3C" w:rsidRPr="00BA340B" w:rsidRDefault="00842F3C" w:rsidP="00842F3C">
            <w:pPr>
              <w:pStyle w:val="TableCellBody"/>
            </w:pPr>
            <w:proofErr w:type="gramStart"/>
            <w:r w:rsidRPr="00BA340B">
              <w:t>foot</w:t>
            </w:r>
            <w:proofErr w:type="gramEnd"/>
            <w:r w:rsidRPr="00BA340B">
              <w:t xml:space="preserve"> per hour (</w:t>
            </w:r>
            <w:proofErr w:type="spellStart"/>
            <w:r w:rsidRPr="00BA340B">
              <w:t>ft</w:t>
            </w:r>
            <w:proofErr w:type="spellEnd"/>
            <w:r w:rsidRPr="00BA340B">
              <w:t>/h)</w:t>
            </w:r>
          </w:p>
        </w:tc>
        <w:tc>
          <w:tcPr>
            <w:tcW w:w="1295" w:type="dxa"/>
            <w:tcBorders>
              <w:top w:val="nil"/>
              <w:bottom w:val="nil"/>
            </w:tcBorders>
          </w:tcPr>
          <w:p w14:paraId="53D72724" w14:textId="77777777" w:rsidR="00842F3C" w:rsidRPr="00BA340B" w:rsidRDefault="00842F3C" w:rsidP="00842F3C">
            <w:pPr>
              <w:pStyle w:val="TableCellDecAlign"/>
            </w:pPr>
            <w:r w:rsidRPr="00BA340B">
              <w:t>0.3048</w:t>
            </w:r>
          </w:p>
        </w:tc>
        <w:tc>
          <w:tcPr>
            <w:tcW w:w="4266" w:type="dxa"/>
            <w:tcBorders>
              <w:top w:val="nil"/>
              <w:bottom w:val="nil"/>
            </w:tcBorders>
          </w:tcPr>
          <w:p w14:paraId="00056846" w14:textId="77777777" w:rsidR="00842F3C" w:rsidRPr="00BA340B" w:rsidRDefault="00842F3C" w:rsidP="00842F3C">
            <w:pPr>
              <w:pStyle w:val="TableCellBody"/>
            </w:pPr>
            <w:proofErr w:type="gramStart"/>
            <w:r w:rsidRPr="00BA340B">
              <w:t>meter</w:t>
            </w:r>
            <w:proofErr w:type="gramEnd"/>
            <w:r w:rsidRPr="00BA340B">
              <w:t xml:space="preserve"> per hour (m/h) </w:t>
            </w:r>
          </w:p>
        </w:tc>
      </w:tr>
      <w:tr w:rsidR="00842F3C" w:rsidRPr="00BA340B" w14:paraId="7CFD3D43" w14:textId="77777777" w:rsidTr="00283214">
        <w:tc>
          <w:tcPr>
            <w:tcW w:w="4015" w:type="dxa"/>
            <w:tcBorders>
              <w:top w:val="nil"/>
              <w:bottom w:val="nil"/>
            </w:tcBorders>
          </w:tcPr>
          <w:p w14:paraId="7C8F1BCA" w14:textId="77777777" w:rsidR="00842F3C" w:rsidRPr="00BA340B" w:rsidRDefault="00842F3C" w:rsidP="00842F3C">
            <w:pPr>
              <w:pStyle w:val="TableCellBody"/>
            </w:pPr>
            <w:proofErr w:type="gramStart"/>
            <w:r w:rsidRPr="00BA340B">
              <w:t>foot</w:t>
            </w:r>
            <w:proofErr w:type="gramEnd"/>
            <w:r w:rsidRPr="00BA340B">
              <w:t xml:space="preserve"> per day (</w:t>
            </w:r>
            <w:proofErr w:type="spellStart"/>
            <w:r w:rsidRPr="00BA340B">
              <w:t>ft</w:t>
            </w:r>
            <w:proofErr w:type="spellEnd"/>
            <w:r w:rsidRPr="00BA340B">
              <w:t>/d)</w:t>
            </w:r>
          </w:p>
        </w:tc>
        <w:tc>
          <w:tcPr>
            <w:tcW w:w="1295" w:type="dxa"/>
            <w:tcBorders>
              <w:top w:val="nil"/>
              <w:bottom w:val="nil"/>
            </w:tcBorders>
          </w:tcPr>
          <w:p w14:paraId="192A0E98" w14:textId="77777777" w:rsidR="00842F3C" w:rsidRPr="00BA340B" w:rsidRDefault="00842F3C" w:rsidP="00842F3C">
            <w:pPr>
              <w:pStyle w:val="TableCellDecAlign"/>
            </w:pPr>
            <w:r w:rsidRPr="00BA340B">
              <w:t>0.3048</w:t>
            </w:r>
          </w:p>
        </w:tc>
        <w:tc>
          <w:tcPr>
            <w:tcW w:w="4266" w:type="dxa"/>
            <w:tcBorders>
              <w:top w:val="nil"/>
              <w:bottom w:val="nil"/>
            </w:tcBorders>
          </w:tcPr>
          <w:p w14:paraId="7D7E9A95" w14:textId="77777777" w:rsidR="00842F3C" w:rsidRPr="00BA340B" w:rsidRDefault="00842F3C" w:rsidP="00842F3C">
            <w:pPr>
              <w:pStyle w:val="TableCellBody"/>
            </w:pPr>
            <w:proofErr w:type="gramStart"/>
            <w:r w:rsidRPr="00BA340B">
              <w:t>meter</w:t>
            </w:r>
            <w:proofErr w:type="gramEnd"/>
            <w:r w:rsidRPr="00BA340B">
              <w:t xml:space="preserve"> per day (m/d)</w:t>
            </w:r>
          </w:p>
        </w:tc>
      </w:tr>
      <w:tr w:rsidR="00842F3C" w:rsidRPr="00BA340B" w14:paraId="52602BE4" w14:textId="77777777" w:rsidTr="00283214">
        <w:tc>
          <w:tcPr>
            <w:tcW w:w="4015" w:type="dxa"/>
            <w:tcBorders>
              <w:top w:val="nil"/>
              <w:bottom w:val="nil"/>
            </w:tcBorders>
          </w:tcPr>
          <w:p w14:paraId="1A242C5A" w14:textId="77777777" w:rsidR="00842F3C" w:rsidRPr="00BA340B" w:rsidRDefault="00842F3C" w:rsidP="00842F3C">
            <w:pPr>
              <w:pStyle w:val="TableCellBody"/>
            </w:pPr>
            <w:proofErr w:type="gramStart"/>
            <w:r w:rsidRPr="00BA340B">
              <w:t>foot</w:t>
            </w:r>
            <w:proofErr w:type="gramEnd"/>
            <w:r w:rsidRPr="00BA340B">
              <w:t xml:space="preserve"> per year (</w:t>
            </w:r>
            <w:proofErr w:type="spellStart"/>
            <w:r w:rsidRPr="00BA340B">
              <w:t>ft</w:t>
            </w:r>
            <w:proofErr w:type="spellEnd"/>
            <w:r w:rsidRPr="00BA340B">
              <w:t>/</w:t>
            </w:r>
            <w:proofErr w:type="spellStart"/>
            <w:r w:rsidRPr="00BA340B">
              <w:t>yr</w:t>
            </w:r>
            <w:proofErr w:type="spellEnd"/>
            <w:r w:rsidRPr="00BA340B">
              <w:t>)</w:t>
            </w:r>
          </w:p>
        </w:tc>
        <w:tc>
          <w:tcPr>
            <w:tcW w:w="1295" w:type="dxa"/>
            <w:tcBorders>
              <w:top w:val="nil"/>
              <w:bottom w:val="nil"/>
            </w:tcBorders>
          </w:tcPr>
          <w:p w14:paraId="78C639A8" w14:textId="77777777" w:rsidR="00842F3C" w:rsidRPr="00BA340B" w:rsidRDefault="00842F3C" w:rsidP="00842F3C">
            <w:pPr>
              <w:pStyle w:val="TableCellDecAlign"/>
            </w:pPr>
            <w:r w:rsidRPr="00BA340B">
              <w:t>0.3048</w:t>
            </w:r>
          </w:p>
        </w:tc>
        <w:tc>
          <w:tcPr>
            <w:tcW w:w="4266" w:type="dxa"/>
            <w:tcBorders>
              <w:top w:val="nil"/>
              <w:bottom w:val="nil"/>
            </w:tcBorders>
          </w:tcPr>
          <w:p w14:paraId="679ECE60" w14:textId="77777777" w:rsidR="00842F3C" w:rsidRPr="00BA340B" w:rsidRDefault="00842F3C" w:rsidP="00842F3C">
            <w:pPr>
              <w:pStyle w:val="TableCellBody"/>
            </w:pPr>
            <w:proofErr w:type="gramStart"/>
            <w:r w:rsidRPr="00BA340B">
              <w:t>meter</w:t>
            </w:r>
            <w:proofErr w:type="gramEnd"/>
            <w:r w:rsidRPr="00BA340B">
              <w:t xml:space="preserve"> per year (m/</w:t>
            </w:r>
            <w:proofErr w:type="spellStart"/>
            <w:r w:rsidRPr="00BA340B">
              <w:t>yr</w:t>
            </w:r>
            <w:proofErr w:type="spellEnd"/>
            <w:r w:rsidRPr="00BA340B">
              <w:t>)</w:t>
            </w:r>
          </w:p>
        </w:tc>
      </w:tr>
      <w:tr w:rsidR="00842F3C" w:rsidRPr="00BA340B" w14:paraId="15C5E316" w14:textId="77777777" w:rsidTr="00283214">
        <w:tc>
          <w:tcPr>
            <w:tcW w:w="4015" w:type="dxa"/>
            <w:tcBorders>
              <w:top w:val="nil"/>
              <w:bottom w:val="nil"/>
            </w:tcBorders>
          </w:tcPr>
          <w:p w14:paraId="4E809CB3" w14:textId="77777777" w:rsidR="00842F3C" w:rsidRPr="00BA340B" w:rsidRDefault="00842F3C" w:rsidP="00842F3C">
            <w:pPr>
              <w:pStyle w:val="TableCellBody"/>
            </w:pPr>
            <w:proofErr w:type="gramStart"/>
            <w:r w:rsidRPr="00BA340B">
              <w:t>cubic</w:t>
            </w:r>
            <w:proofErr w:type="gramEnd"/>
            <w:r w:rsidRPr="00BA340B">
              <w:t xml:space="preserve"> foot per second (ft</w:t>
            </w:r>
            <w:r w:rsidRPr="00BA340B">
              <w:rPr>
                <w:rStyle w:val="Superscript"/>
              </w:rPr>
              <w:t>3</w:t>
            </w:r>
            <w:r w:rsidRPr="00BA340B">
              <w:t>/s)</w:t>
            </w:r>
          </w:p>
        </w:tc>
        <w:tc>
          <w:tcPr>
            <w:tcW w:w="1295" w:type="dxa"/>
            <w:tcBorders>
              <w:top w:val="nil"/>
              <w:bottom w:val="nil"/>
            </w:tcBorders>
          </w:tcPr>
          <w:p w14:paraId="370854D2" w14:textId="77777777" w:rsidR="00842F3C" w:rsidRPr="00BA340B" w:rsidRDefault="00842F3C" w:rsidP="00842F3C">
            <w:pPr>
              <w:pStyle w:val="TableCellDecAlign"/>
            </w:pPr>
            <w:r w:rsidRPr="00BA340B">
              <w:t>0.02832</w:t>
            </w:r>
          </w:p>
        </w:tc>
        <w:tc>
          <w:tcPr>
            <w:tcW w:w="4266" w:type="dxa"/>
            <w:tcBorders>
              <w:top w:val="nil"/>
              <w:bottom w:val="nil"/>
            </w:tcBorders>
          </w:tcPr>
          <w:p w14:paraId="55AAD54E" w14:textId="77777777" w:rsidR="00842F3C" w:rsidRPr="00BA340B" w:rsidRDefault="00842F3C" w:rsidP="00842F3C">
            <w:pPr>
              <w:pStyle w:val="TableCellBody"/>
            </w:pPr>
            <w:proofErr w:type="gramStart"/>
            <w:r w:rsidRPr="00BA340B">
              <w:t>cubic</w:t>
            </w:r>
            <w:proofErr w:type="gramEnd"/>
            <w:r w:rsidRPr="00BA340B">
              <w:t xml:space="preserve"> meter per second (m</w:t>
            </w:r>
            <w:r w:rsidRPr="00BA340B">
              <w:rPr>
                <w:rStyle w:val="Superscript"/>
              </w:rPr>
              <w:t>3</w:t>
            </w:r>
            <w:r w:rsidRPr="00BA340B">
              <w:t>/s)</w:t>
            </w:r>
          </w:p>
        </w:tc>
      </w:tr>
      <w:tr w:rsidR="00842F3C" w:rsidRPr="00BA340B" w14:paraId="70CD8D95" w14:textId="77777777" w:rsidTr="00283214">
        <w:tc>
          <w:tcPr>
            <w:tcW w:w="4015" w:type="dxa"/>
            <w:tcBorders>
              <w:top w:val="nil"/>
              <w:bottom w:val="nil"/>
            </w:tcBorders>
          </w:tcPr>
          <w:p w14:paraId="63A57CFC" w14:textId="77777777" w:rsidR="00842F3C" w:rsidRPr="00BA340B" w:rsidRDefault="00842F3C" w:rsidP="00842F3C">
            <w:pPr>
              <w:pStyle w:val="TableCellBody"/>
            </w:pPr>
            <w:proofErr w:type="gramStart"/>
            <w:r w:rsidRPr="00BA340B">
              <w:t>cubic</w:t>
            </w:r>
            <w:proofErr w:type="gramEnd"/>
            <w:r w:rsidRPr="00BA340B">
              <w:t xml:space="preserve"> foot per second per square mile ([ft</w:t>
            </w:r>
            <w:r w:rsidRPr="00BA340B">
              <w:rPr>
                <w:rStyle w:val="Superscript"/>
              </w:rPr>
              <w:t>3</w:t>
            </w:r>
            <w:r w:rsidRPr="00BA340B">
              <w:t>/s]/mi</w:t>
            </w:r>
            <w:r w:rsidRPr="00BA340B">
              <w:rPr>
                <w:rStyle w:val="Superscript"/>
              </w:rPr>
              <w:t>2</w:t>
            </w:r>
            <w:r w:rsidRPr="00BA340B">
              <w:t>)</w:t>
            </w:r>
          </w:p>
        </w:tc>
        <w:tc>
          <w:tcPr>
            <w:tcW w:w="1295" w:type="dxa"/>
            <w:tcBorders>
              <w:top w:val="nil"/>
              <w:bottom w:val="nil"/>
            </w:tcBorders>
          </w:tcPr>
          <w:p w14:paraId="5EB8C003" w14:textId="77777777" w:rsidR="00842F3C" w:rsidRPr="00BA340B" w:rsidRDefault="00842F3C" w:rsidP="00842F3C">
            <w:pPr>
              <w:pStyle w:val="TableCellDecAlign"/>
            </w:pPr>
            <w:r w:rsidRPr="00BA340B">
              <w:t>0.01093</w:t>
            </w:r>
          </w:p>
        </w:tc>
        <w:tc>
          <w:tcPr>
            <w:tcW w:w="4266" w:type="dxa"/>
            <w:tcBorders>
              <w:top w:val="nil"/>
              <w:bottom w:val="nil"/>
            </w:tcBorders>
          </w:tcPr>
          <w:p w14:paraId="70AB2594" w14:textId="77777777" w:rsidR="00842F3C" w:rsidRPr="00BA340B" w:rsidRDefault="00842F3C" w:rsidP="00842F3C">
            <w:pPr>
              <w:pStyle w:val="TableCellBody"/>
            </w:pPr>
            <w:proofErr w:type="gramStart"/>
            <w:r w:rsidRPr="00BA340B">
              <w:t>cubic</w:t>
            </w:r>
            <w:proofErr w:type="gramEnd"/>
            <w:r w:rsidRPr="00BA340B">
              <w:t xml:space="preserve"> meter per second per square kilometer ([m</w:t>
            </w:r>
            <w:r w:rsidRPr="00BA340B">
              <w:rPr>
                <w:rStyle w:val="Superscript"/>
              </w:rPr>
              <w:t>3</w:t>
            </w:r>
            <w:r w:rsidRPr="00BA340B">
              <w:t>/s]/km</w:t>
            </w:r>
            <w:r w:rsidRPr="00BA340B">
              <w:rPr>
                <w:rStyle w:val="Superscript"/>
              </w:rPr>
              <w:t>2</w:t>
            </w:r>
            <w:r w:rsidRPr="00BA340B">
              <w:t>)</w:t>
            </w:r>
          </w:p>
        </w:tc>
      </w:tr>
      <w:tr w:rsidR="00842F3C" w:rsidRPr="00BA340B" w14:paraId="7DF86BA6" w14:textId="77777777" w:rsidTr="00283214">
        <w:tc>
          <w:tcPr>
            <w:tcW w:w="4015" w:type="dxa"/>
            <w:tcBorders>
              <w:top w:val="nil"/>
              <w:bottom w:val="nil"/>
            </w:tcBorders>
          </w:tcPr>
          <w:p w14:paraId="18BD7FD9" w14:textId="77777777" w:rsidR="00842F3C" w:rsidRPr="00BA340B" w:rsidRDefault="00842F3C" w:rsidP="00842F3C">
            <w:pPr>
              <w:pStyle w:val="TableCellBody"/>
            </w:pPr>
            <w:proofErr w:type="gramStart"/>
            <w:r w:rsidRPr="00BA340B">
              <w:t>cubic</w:t>
            </w:r>
            <w:proofErr w:type="gramEnd"/>
            <w:r w:rsidRPr="00BA340B">
              <w:t xml:space="preserve"> foot per day (ft</w:t>
            </w:r>
            <w:r w:rsidRPr="00BA340B">
              <w:rPr>
                <w:rStyle w:val="Superscript"/>
              </w:rPr>
              <w:t>3</w:t>
            </w:r>
            <w:r w:rsidRPr="00BA340B">
              <w:t>/d)</w:t>
            </w:r>
          </w:p>
        </w:tc>
        <w:tc>
          <w:tcPr>
            <w:tcW w:w="1295" w:type="dxa"/>
            <w:tcBorders>
              <w:top w:val="nil"/>
              <w:bottom w:val="nil"/>
            </w:tcBorders>
          </w:tcPr>
          <w:p w14:paraId="38DE5EE8" w14:textId="77777777" w:rsidR="00842F3C" w:rsidRPr="00BA340B" w:rsidRDefault="00842F3C" w:rsidP="00842F3C">
            <w:pPr>
              <w:pStyle w:val="TableCellDecAlign"/>
            </w:pPr>
            <w:r w:rsidRPr="00BA340B">
              <w:t>0.02832</w:t>
            </w:r>
          </w:p>
        </w:tc>
        <w:tc>
          <w:tcPr>
            <w:tcW w:w="4266" w:type="dxa"/>
            <w:tcBorders>
              <w:top w:val="nil"/>
              <w:bottom w:val="nil"/>
            </w:tcBorders>
          </w:tcPr>
          <w:p w14:paraId="45EBB12A" w14:textId="77777777" w:rsidR="00842F3C" w:rsidRPr="00BA340B" w:rsidRDefault="00842F3C" w:rsidP="00842F3C">
            <w:pPr>
              <w:pStyle w:val="TableCellBody"/>
            </w:pPr>
            <w:proofErr w:type="gramStart"/>
            <w:r w:rsidRPr="00BA340B">
              <w:t>cubic</w:t>
            </w:r>
            <w:proofErr w:type="gramEnd"/>
            <w:r w:rsidRPr="00BA340B">
              <w:t xml:space="preserve"> meter per day (m</w:t>
            </w:r>
            <w:r w:rsidRPr="00BA340B">
              <w:rPr>
                <w:rStyle w:val="Superscript"/>
              </w:rPr>
              <w:t>3</w:t>
            </w:r>
            <w:r w:rsidRPr="00BA340B">
              <w:t>/d)</w:t>
            </w:r>
          </w:p>
        </w:tc>
      </w:tr>
      <w:tr w:rsidR="00842F3C" w:rsidRPr="00BA340B" w14:paraId="5BA92A5F" w14:textId="77777777" w:rsidTr="00283214">
        <w:tc>
          <w:tcPr>
            <w:tcW w:w="4015" w:type="dxa"/>
            <w:tcBorders>
              <w:top w:val="nil"/>
              <w:bottom w:val="nil"/>
            </w:tcBorders>
          </w:tcPr>
          <w:p w14:paraId="3E46C5E0" w14:textId="77777777" w:rsidR="00842F3C" w:rsidRPr="00BA340B" w:rsidRDefault="00842F3C" w:rsidP="00842F3C">
            <w:pPr>
              <w:pStyle w:val="TableCellBody"/>
            </w:pPr>
            <w:proofErr w:type="gramStart"/>
            <w:r w:rsidRPr="00BA340B">
              <w:t>gallon</w:t>
            </w:r>
            <w:proofErr w:type="gramEnd"/>
            <w:r w:rsidRPr="00BA340B">
              <w:t xml:space="preserve"> per minute (gal/min)</w:t>
            </w:r>
          </w:p>
        </w:tc>
        <w:tc>
          <w:tcPr>
            <w:tcW w:w="1295" w:type="dxa"/>
            <w:tcBorders>
              <w:top w:val="nil"/>
              <w:bottom w:val="nil"/>
            </w:tcBorders>
          </w:tcPr>
          <w:p w14:paraId="3C2204E8" w14:textId="77777777" w:rsidR="00842F3C" w:rsidRPr="00BA340B" w:rsidRDefault="00842F3C" w:rsidP="00842F3C">
            <w:pPr>
              <w:pStyle w:val="TableCellDecAlign"/>
            </w:pPr>
            <w:r w:rsidRPr="00BA340B">
              <w:t>0.06309</w:t>
            </w:r>
          </w:p>
        </w:tc>
        <w:tc>
          <w:tcPr>
            <w:tcW w:w="4266" w:type="dxa"/>
            <w:tcBorders>
              <w:top w:val="nil"/>
              <w:bottom w:val="nil"/>
            </w:tcBorders>
          </w:tcPr>
          <w:p w14:paraId="00230CA8" w14:textId="77777777" w:rsidR="00842F3C" w:rsidRPr="00BA340B" w:rsidRDefault="00842F3C" w:rsidP="00842F3C">
            <w:pPr>
              <w:pStyle w:val="TableCellBody"/>
            </w:pPr>
            <w:proofErr w:type="gramStart"/>
            <w:r w:rsidRPr="00BA340B">
              <w:t>liter</w:t>
            </w:r>
            <w:proofErr w:type="gramEnd"/>
            <w:r w:rsidRPr="00BA340B">
              <w:t xml:space="preserve"> per second (L/s)</w:t>
            </w:r>
          </w:p>
        </w:tc>
      </w:tr>
      <w:tr w:rsidR="00842F3C" w:rsidRPr="00BA340B" w14:paraId="7EDAD68A" w14:textId="77777777" w:rsidTr="00283214">
        <w:tc>
          <w:tcPr>
            <w:tcW w:w="4015" w:type="dxa"/>
            <w:tcBorders>
              <w:top w:val="nil"/>
              <w:bottom w:val="nil"/>
            </w:tcBorders>
          </w:tcPr>
          <w:p w14:paraId="03CB7833" w14:textId="77777777" w:rsidR="00842F3C" w:rsidRPr="00BA340B" w:rsidRDefault="00842F3C" w:rsidP="00842F3C">
            <w:pPr>
              <w:pStyle w:val="TableCellBody"/>
            </w:pPr>
            <w:proofErr w:type="gramStart"/>
            <w:r w:rsidRPr="00BA340B">
              <w:lastRenderedPageBreak/>
              <w:t>gallon</w:t>
            </w:r>
            <w:proofErr w:type="gramEnd"/>
            <w:r w:rsidRPr="00BA340B">
              <w:t xml:space="preserve"> per day (gal/d)</w:t>
            </w:r>
          </w:p>
        </w:tc>
        <w:tc>
          <w:tcPr>
            <w:tcW w:w="1295" w:type="dxa"/>
            <w:tcBorders>
              <w:top w:val="nil"/>
              <w:bottom w:val="nil"/>
            </w:tcBorders>
          </w:tcPr>
          <w:p w14:paraId="2FCEFDCB" w14:textId="77777777" w:rsidR="00842F3C" w:rsidRPr="00BA340B" w:rsidRDefault="00842F3C" w:rsidP="00842F3C">
            <w:pPr>
              <w:pStyle w:val="TableCellDecAlign"/>
            </w:pPr>
            <w:r w:rsidRPr="00BA340B">
              <w:t>0.003785</w:t>
            </w:r>
          </w:p>
        </w:tc>
        <w:tc>
          <w:tcPr>
            <w:tcW w:w="4266" w:type="dxa"/>
            <w:tcBorders>
              <w:top w:val="nil"/>
              <w:bottom w:val="nil"/>
            </w:tcBorders>
          </w:tcPr>
          <w:p w14:paraId="32EB103E" w14:textId="77777777" w:rsidR="00842F3C" w:rsidRPr="00BA340B" w:rsidRDefault="00842F3C" w:rsidP="00842F3C">
            <w:pPr>
              <w:pStyle w:val="TableCellBody"/>
            </w:pPr>
            <w:proofErr w:type="gramStart"/>
            <w:r w:rsidRPr="00BA340B">
              <w:t>cubic</w:t>
            </w:r>
            <w:proofErr w:type="gramEnd"/>
            <w:r w:rsidRPr="00BA340B">
              <w:t xml:space="preserve"> meter per day (m</w:t>
            </w:r>
            <w:r w:rsidRPr="00BA340B">
              <w:rPr>
                <w:rStyle w:val="Superscript"/>
              </w:rPr>
              <w:t>3</w:t>
            </w:r>
            <w:r w:rsidRPr="00BA340B">
              <w:t>/d)</w:t>
            </w:r>
          </w:p>
        </w:tc>
      </w:tr>
      <w:tr w:rsidR="00842F3C" w:rsidRPr="00BA340B" w14:paraId="6D7864C3" w14:textId="77777777" w:rsidTr="00283214">
        <w:tc>
          <w:tcPr>
            <w:tcW w:w="4015" w:type="dxa"/>
            <w:tcBorders>
              <w:top w:val="nil"/>
              <w:bottom w:val="nil"/>
            </w:tcBorders>
          </w:tcPr>
          <w:p w14:paraId="2C6558EE" w14:textId="77777777" w:rsidR="00842F3C" w:rsidRPr="00BA340B" w:rsidRDefault="00842F3C" w:rsidP="00842F3C">
            <w:pPr>
              <w:pStyle w:val="TableCellBody"/>
            </w:pPr>
            <w:proofErr w:type="gramStart"/>
            <w:r w:rsidRPr="00BA340B">
              <w:t>gallon</w:t>
            </w:r>
            <w:proofErr w:type="gramEnd"/>
            <w:r w:rsidRPr="00BA340B">
              <w:t xml:space="preserve"> per day per square mile ([gal/d]/mi</w:t>
            </w:r>
            <w:r w:rsidRPr="00BA340B">
              <w:rPr>
                <w:rStyle w:val="Superscript"/>
              </w:rPr>
              <w:t>2</w:t>
            </w:r>
            <w:r w:rsidRPr="00BA340B">
              <w:t>)</w:t>
            </w:r>
          </w:p>
        </w:tc>
        <w:tc>
          <w:tcPr>
            <w:tcW w:w="1295" w:type="dxa"/>
            <w:tcBorders>
              <w:top w:val="nil"/>
              <w:bottom w:val="nil"/>
            </w:tcBorders>
          </w:tcPr>
          <w:p w14:paraId="47117269" w14:textId="77777777" w:rsidR="00842F3C" w:rsidRPr="00BA340B" w:rsidRDefault="00842F3C" w:rsidP="00842F3C">
            <w:pPr>
              <w:pStyle w:val="TableCellDecAlign"/>
            </w:pPr>
            <w:r w:rsidRPr="00BA340B">
              <w:t>0.001461</w:t>
            </w:r>
          </w:p>
        </w:tc>
        <w:tc>
          <w:tcPr>
            <w:tcW w:w="4266" w:type="dxa"/>
            <w:tcBorders>
              <w:top w:val="nil"/>
              <w:bottom w:val="nil"/>
            </w:tcBorders>
          </w:tcPr>
          <w:p w14:paraId="035EF8B8" w14:textId="77777777" w:rsidR="00842F3C" w:rsidRPr="00BA340B" w:rsidRDefault="00842F3C" w:rsidP="00842F3C">
            <w:pPr>
              <w:pStyle w:val="TableCellBody"/>
            </w:pPr>
            <w:proofErr w:type="gramStart"/>
            <w:r w:rsidRPr="00BA340B">
              <w:t>cubic</w:t>
            </w:r>
            <w:proofErr w:type="gramEnd"/>
            <w:r w:rsidRPr="00BA340B">
              <w:t xml:space="preserve"> meter per day per square kilometer ([m</w:t>
            </w:r>
            <w:r w:rsidRPr="00BA340B">
              <w:rPr>
                <w:rStyle w:val="Superscript"/>
              </w:rPr>
              <w:t>3</w:t>
            </w:r>
            <w:r w:rsidRPr="00BA340B">
              <w:t>/d)]/km</w:t>
            </w:r>
            <w:r w:rsidRPr="00BA340B">
              <w:rPr>
                <w:rStyle w:val="Superscript"/>
              </w:rPr>
              <w:t>2</w:t>
            </w:r>
            <w:r w:rsidRPr="00BA340B">
              <w:t>)</w:t>
            </w:r>
          </w:p>
        </w:tc>
      </w:tr>
      <w:tr w:rsidR="00842F3C" w:rsidRPr="00BA340B" w14:paraId="4AD4A760" w14:textId="77777777" w:rsidTr="00283214">
        <w:tc>
          <w:tcPr>
            <w:tcW w:w="4015" w:type="dxa"/>
            <w:tcBorders>
              <w:top w:val="nil"/>
              <w:bottom w:val="nil"/>
            </w:tcBorders>
          </w:tcPr>
          <w:p w14:paraId="3EBE7657" w14:textId="77777777" w:rsidR="00842F3C" w:rsidRPr="00BA340B" w:rsidRDefault="00842F3C" w:rsidP="00842F3C">
            <w:pPr>
              <w:pStyle w:val="TableCellBody"/>
            </w:pPr>
            <w:proofErr w:type="gramStart"/>
            <w:r w:rsidRPr="00BA340B">
              <w:t>million</w:t>
            </w:r>
            <w:proofErr w:type="gramEnd"/>
            <w:r w:rsidRPr="00BA340B">
              <w:t xml:space="preserve"> gallons per day (</w:t>
            </w:r>
            <w:proofErr w:type="spellStart"/>
            <w:r w:rsidRPr="00BA340B">
              <w:t>Mgal</w:t>
            </w:r>
            <w:proofErr w:type="spellEnd"/>
            <w:r w:rsidRPr="00BA340B">
              <w:t>/d)</w:t>
            </w:r>
          </w:p>
        </w:tc>
        <w:tc>
          <w:tcPr>
            <w:tcW w:w="1295" w:type="dxa"/>
            <w:tcBorders>
              <w:top w:val="nil"/>
              <w:bottom w:val="nil"/>
            </w:tcBorders>
          </w:tcPr>
          <w:p w14:paraId="2BCEB7DB" w14:textId="77777777" w:rsidR="00842F3C" w:rsidRPr="00BA340B" w:rsidRDefault="00842F3C" w:rsidP="00842F3C">
            <w:pPr>
              <w:pStyle w:val="TableCellDecAlign"/>
            </w:pPr>
            <w:r w:rsidRPr="00BA340B">
              <w:t>0.04381</w:t>
            </w:r>
          </w:p>
        </w:tc>
        <w:tc>
          <w:tcPr>
            <w:tcW w:w="4266" w:type="dxa"/>
            <w:tcBorders>
              <w:top w:val="nil"/>
              <w:bottom w:val="nil"/>
            </w:tcBorders>
          </w:tcPr>
          <w:p w14:paraId="347014A4" w14:textId="77777777" w:rsidR="00842F3C" w:rsidRPr="00BA340B" w:rsidRDefault="00842F3C" w:rsidP="00842F3C">
            <w:pPr>
              <w:pStyle w:val="TableCellBody"/>
            </w:pPr>
            <w:proofErr w:type="gramStart"/>
            <w:r w:rsidRPr="00BA340B">
              <w:t>cubic</w:t>
            </w:r>
            <w:proofErr w:type="gramEnd"/>
            <w:r w:rsidRPr="00BA340B">
              <w:t xml:space="preserve"> meter per second (m</w:t>
            </w:r>
            <w:r w:rsidRPr="00BA340B">
              <w:rPr>
                <w:rStyle w:val="Superscript"/>
              </w:rPr>
              <w:t>3</w:t>
            </w:r>
            <w:r w:rsidRPr="00BA340B">
              <w:t>/s)</w:t>
            </w:r>
          </w:p>
        </w:tc>
      </w:tr>
      <w:tr w:rsidR="00842F3C" w:rsidRPr="00BA340B" w14:paraId="3E0A789C" w14:textId="77777777" w:rsidTr="00283214">
        <w:tc>
          <w:tcPr>
            <w:tcW w:w="4015" w:type="dxa"/>
            <w:tcBorders>
              <w:top w:val="nil"/>
              <w:bottom w:val="nil"/>
            </w:tcBorders>
          </w:tcPr>
          <w:p w14:paraId="5B25F8DF" w14:textId="77777777" w:rsidR="00842F3C" w:rsidRPr="00BA340B" w:rsidRDefault="00842F3C" w:rsidP="00842F3C">
            <w:pPr>
              <w:pStyle w:val="TableCellBody"/>
            </w:pPr>
            <w:proofErr w:type="gramStart"/>
            <w:r w:rsidRPr="00BA340B">
              <w:t>million</w:t>
            </w:r>
            <w:proofErr w:type="gramEnd"/>
            <w:r w:rsidRPr="00BA340B">
              <w:t xml:space="preserve"> gallons per day per square mile ([</w:t>
            </w:r>
            <w:proofErr w:type="spellStart"/>
            <w:r w:rsidRPr="00BA340B">
              <w:t>Mgal</w:t>
            </w:r>
            <w:proofErr w:type="spellEnd"/>
            <w:r w:rsidRPr="00BA340B">
              <w:t>]d)/mi</w:t>
            </w:r>
            <w:r w:rsidRPr="00BA340B">
              <w:rPr>
                <w:rStyle w:val="Superscript"/>
              </w:rPr>
              <w:t>2</w:t>
            </w:r>
            <w:r w:rsidRPr="00BA340B">
              <w:t>)</w:t>
            </w:r>
          </w:p>
        </w:tc>
        <w:tc>
          <w:tcPr>
            <w:tcW w:w="1295" w:type="dxa"/>
            <w:tcBorders>
              <w:top w:val="nil"/>
              <w:bottom w:val="nil"/>
            </w:tcBorders>
          </w:tcPr>
          <w:p w14:paraId="5AC96B89" w14:textId="77777777" w:rsidR="00842F3C" w:rsidRPr="00BA340B" w:rsidRDefault="00842F3C" w:rsidP="00842F3C">
            <w:pPr>
              <w:pStyle w:val="TableCellDecAlign"/>
            </w:pPr>
            <w:r w:rsidRPr="00BA340B">
              <w:t>1,461</w:t>
            </w:r>
          </w:p>
        </w:tc>
        <w:tc>
          <w:tcPr>
            <w:tcW w:w="4266" w:type="dxa"/>
            <w:tcBorders>
              <w:top w:val="nil"/>
              <w:bottom w:val="nil"/>
            </w:tcBorders>
          </w:tcPr>
          <w:p w14:paraId="7C2F4F84" w14:textId="77777777" w:rsidR="00842F3C" w:rsidRPr="00BA340B" w:rsidRDefault="00842F3C" w:rsidP="00842F3C">
            <w:pPr>
              <w:pStyle w:val="TableCellBody"/>
            </w:pPr>
            <w:proofErr w:type="gramStart"/>
            <w:r w:rsidRPr="00BA340B">
              <w:t>cubic</w:t>
            </w:r>
            <w:proofErr w:type="gramEnd"/>
            <w:r w:rsidRPr="00BA340B">
              <w:t xml:space="preserve"> meter per day per square kilometer ([m</w:t>
            </w:r>
            <w:r w:rsidRPr="00BA340B">
              <w:rPr>
                <w:rStyle w:val="Superscript"/>
              </w:rPr>
              <w:t>3</w:t>
            </w:r>
            <w:r w:rsidRPr="00BA340B">
              <w:t>/d]/km</w:t>
            </w:r>
            <w:r w:rsidRPr="00BA340B">
              <w:rPr>
                <w:rStyle w:val="Superscript"/>
              </w:rPr>
              <w:t>2</w:t>
            </w:r>
            <w:r w:rsidRPr="00BA340B">
              <w:t>)</w:t>
            </w:r>
          </w:p>
        </w:tc>
      </w:tr>
      <w:tr w:rsidR="00842F3C" w:rsidRPr="00BA340B" w14:paraId="595FA802" w14:textId="77777777" w:rsidTr="00283214">
        <w:tc>
          <w:tcPr>
            <w:tcW w:w="4015" w:type="dxa"/>
            <w:tcBorders>
              <w:top w:val="nil"/>
              <w:bottom w:val="nil"/>
            </w:tcBorders>
          </w:tcPr>
          <w:p w14:paraId="32C1C3AD" w14:textId="77777777" w:rsidR="00842F3C" w:rsidRPr="00BA340B" w:rsidRDefault="00842F3C" w:rsidP="00842F3C">
            <w:pPr>
              <w:pStyle w:val="TableCellBody"/>
            </w:pPr>
            <w:proofErr w:type="gramStart"/>
            <w:r w:rsidRPr="00BA340B">
              <w:t>inch</w:t>
            </w:r>
            <w:proofErr w:type="gramEnd"/>
            <w:r w:rsidRPr="00BA340B">
              <w:t xml:space="preserve"> per hour (in/h)</w:t>
            </w:r>
          </w:p>
        </w:tc>
        <w:tc>
          <w:tcPr>
            <w:tcW w:w="1295" w:type="dxa"/>
            <w:tcBorders>
              <w:top w:val="nil"/>
              <w:bottom w:val="nil"/>
            </w:tcBorders>
          </w:tcPr>
          <w:p w14:paraId="4E7C96DE" w14:textId="77777777" w:rsidR="00842F3C" w:rsidRPr="00BA340B" w:rsidRDefault="00842F3C" w:rsidP="00842F3C">
            <w:pPr>
              <w:pStyle w:val="TableCellDecAlign"/>
            </w:pPr>
            <w:r w:rsidRPr="00BA340B">
              <w:t>0.0254</w:t>
            </w:r>
          </w:p>
        </w:tc>
        <w:tc>
          <w:tcPr>
            <w:tcW w:w="4266" w:type="dxa"/>
            <w:tcBorders>
              <w:top w:val="nil"/>
              <w:bottom w:val="nil"/>
            </w:tcBorders>
          </w:tcPr>
          <w:p w14:paraId="1CB4A661" w14:textId="77777777" w:rsidR="00842F3C" w:rsidRPr="00BA340B" w:rsidRDefault="00842F3C" w:rsidP="00842F3C">
            <w:pPr>
              <w:pStyle w:val="TableCellBody"/>
            </w:pPr>
            <w:proofErr w:type="gramStart"/>
            <w:r w:rsidRPr="00BA340B">
              <w:t>meter</w:t>
            </w:r>
            <w:proofErr w:type="gramEnd"/>
            <w:r w:rsidRPr="00BA340B">
              <w:t xml:space="preserve"> per hour (m/h)</w:t>
            </w:r>
          </w:p>
        </w:tc>
      </w:tr>
      <w:tr w:rsidR="00842F3C" w:rsidRPr="00BA340B" w14:paraId="022D2062" w14:textId="77777777" w:rsidTr="00283214">
        <w:tc>
          <w:tcPr>
            <w:tcW w:w="4015" w:type="dxa"/>
            <w:tcBorders>
              <w:top w:val="nil"/>
              <w:bottom w:val="nil"/>
            </w:tcBorders>
          </w:tcPr>
          <w:p w14:paraId="45BD4D96" w14:textId="77777777" w:rsidR="00842F3C" w:rsidRPr="00BA340B" w:rsidRDefault="00842F3C" w:rsidP="00842F3C">
            <w:pPr>
              <w:pStyle w:val="TableCellBody"/>
            </w:pPr>
            <w:proofErr w:type="gramStart"/>
            <w:r w:rsidRPr="00BA340B">
              <w:t>inch</w:t>
            </w:r>
            <w:proofErr w:type="gramEnd"/>
            <w:r w:rsidRPr="00BA340B">
              <w:t xml:space="preserve"> per year (in/</w:t>
            </w:r>
            <w:proofErr w:type="spellStart"/>
            <w:r w:rsidRPr="00BA340B">
              <w:t>yr</w:t>
            </w:r>
            <w:proofErr w:type="spellEnd"/>
            <w:r w:rsidRPr="00BA340B">
              <w:t>)</w:t>
            </w:r>
          </w:p>
        </w:tc>
        <w:tc>
          <w:tcPr>
            <w:tcW w:w="1295" w:type="dxa"/>
            <w:tcBorders>
              <w:top w:val="nil"/>
              <w:bottom w:val="nil"/>
            </w:tcBorders>
          </w:tcPr>
          <w:p w14:paraId="0A564CCF" w14:textId="77777777" w:rsidR="00842F3C" w:rsidRPr="00BA340B" w:rsidRDefault="00842F3C" w:rsidP="00842F3C">
            <w:pPr>
              <w:pStyle w:val="TableCellDecAlign"/>
            </w:pPr>
            <w:r w:rsidRPr="00BA340B">
              <w:t>25.4</w:t>
            </w:r>
          </w:p>
        </w:tc>
        <w:tc>
          <w:tcPr>
            <w:tcW w:w="4266" w:type="dxa"/>
            <w:tcBorders>
              <w:top w:val="nil"/>
              <w:bottom w:val="nil"/>
            </w:tcBorders>
          </w:tcPr>
          <w:p w14:paraId="2BCD6875" w14:textId="77777777" w:rsidR="00842F3C" w:rsidRPr="00BA340B" w:rsidRDefault="00842F3C" w:rsidP="00842F3C">
            <w:pPr>
              <w:pStyle w:val="TableCellBody"/>
            </w:pPr>
            <w:proofErr w:type="gramStart"/>
            <w:r w:rsidRPr="00BA340B">
              <w:t>millimeter</w:t>
            </w:r>
            <w:proofErr w:type="gramEnd"/>
            <w:r w:rsidRPr="00BA340B">
              <w:t xml:space="preserve"> per year (mm/</w:t>
            </w:r>
            <w:proofErr w:type="spellStart"/>
            <w:r w:rsidRPr="00BA340B">
              <w:t>yr</w:t>
            </w:r>
            <w:proofErr w:type="spellEnd"/>
            <w:r w:rsidRPr="00BA340B">
              <w:t>)</w:t>
            </w:r>
          </w:p>
        </w:tc>
      </w:tr>
      <w:tr w:rsidR="00842F3C" w:rsidRPr="00BA340B" w14:paraId="5C1FDCC3" w14:textId="77777777" w:rsidTr="00283214">
        <w:tc>
          <w:tcPr>
            <w:tcW w:w="4015" w:type="dxa"/>
            <w:tcBorders>
              <w:top w:val="nil"/>
            </w:tcBorders>
          </w:tcPr>
          <w:p w14:paraId="183FF4D8" w14:textId="77777777" w:rsidR="00842F3C" w:rsidRPr="00BA340B" w:rsidRDefault="00842F3C" w:rsidP="00842F3C">
            <w:pPr>
              <w:pStyle w:val="TableCellBody"/>
            </w:pPr>
            <w:proofErr w:type="gramStart"/>
            <w:r w:rsidRPr="00BA340B">
              <w:t>mile</w:t>
            </w:r>
            <w:proofErr w:type="gramEnd"/>
            <w:r w:rsidRPr="00BA340B">
              <w:t xml:space="preserve"> per hour (mi/h)</w:t>
            </w:r>
          </w:p>
        </w:tc>
        <w:tc>
          <w:tcPr>
            <w:tcW w:w="1295" w:type="dxa"/>
            <w:tcBorders>
              <w:top w:val="nil"/>
            </w:tcBorders>
          </w:tcPr>
          <w:p w14:paraId="68A0C082" w14:textId="77777777" w:rsidR="00842F3C" w:rsidRPr="00BA340B" w:rsidRDefault="00842F3C" w:rsidP="00842F3C">
            <w:pPr>
              <w:pStyle w:val="TableCellDecAlign"/>
            </w:pPr>
            <w:r w:rsidRPr="00BA340B">
              <w:t>1.609</w:t>
            </w:r>
          </w:p>
        </w:tc>
        <w:tc>
          <w:tcPr>
            <w:tcW w:w="4266" w:type="dxa"/>
            <w:tcBorders>
              <w:top w:val="nil"/>
            </w:tcBorders>
          </w:tcPr>
          <w:p w14:paraId="7A063B5A" w14:textId="77777777" w:rsidR="00842F3C" w:rsidRPr="00BA340B" w:rsidRDefault="00842F3C" w:rsidP="00842F3C">
            <w:pPr>
              <w:pStyle w:val="TableCellBody"/>
            </w:pPr>
            <w:proofErr w:type="gramStart"/>
            <w:r w:rsidRPr="00BA340B">
              <w:t>kilometer</w:t>
            </w:r>
            <w:proofErr w:type="gramEnd"/>
            <w:r w:rsidRPr="00BA340B">
              <w:t xml:space="preserve"> per hour (km/h) </w:t>
            </w:r>
          </w:p>
        </w:tc>
      </w:tr>
      <w:tr w:rsidR="00842F3C" w:rsidRPr="00BA340B" w14:paraId="371AE46B" w14:textId="77777777" w:rsidTr="00283214">
        <w:tc>
          <w:tcPr>
            <w:tcW w:w="9576" w:type="dxa"/>
            <w:gridSpan w:val="3"/>
            <w:tcBorders>
              <w:bottom w:val="single" w:sz="4" w:space="0" w:color="auto"/>
            </w:tcBorders>
          </w:tcPr>
          <w:p w14:paraId="4D65026D" w14:textId="77777777" w:rsidR="00842F3C" w:rsidRPr="00BA340B" w:rsidRDefault="00842F3C" w:rsidP="00283214">
            <w:pPr>
              <w:pStyle w:val="TableSpanner"/>
            </w:pPr>
            <w:r w:rsidRPr="00BA340B">
              <w:t>Mass</w:t>
            </w:r>
          </w:p>
        </w:tc>
      </w:tr>
      <w:tr w:rsidR="00842F3C" w:rsidRPr="00BA340B" w14:paraId="1B20957D" w14:textId="77777777" w:rsidTr="00283214">
        <w:tc>
          <w:tcPr>
            <w:tcW w:w="4015" w:type="dxa"/>
            <w:tcBorders>
              <w:bottom w:val="nil"/>
            </w:tcBorders>
          </w:tcPr>
          <w:p w14:paraId="1DB9A807" w14:textId="77777777" w:rsidR="00842F3C" w:rsidRPr="00BA340B" w:rsidRDefault="00842F3C" w:rsidP="00842F3C">
            <w:pPr>
              <w:pStyle w:val="TableCellBody"/>
            </w:pPr>
            <w:proofErr w:type="gramStart"/>
            <w:r w:rsidRPr="00BA340B">
              <w:t>ounce</w:t>
            </w:r>
            <w:proofErr w:type="gramEnd"/>
            <w:r w:rsidRPr="00BA340B">
              <w:t>, avoirdupois (</w:t>
            </w:r>
            <w:proofErr w:type="spellStart"/>
            <w:r w:rsidRPr="00BA340B">
              <w:t>oz</w:t>
            </w:r>
            <w:proofErr w:type="spellEnd"/>
            <w:r w:rsidRPr="00BA340B">
              <w:t>)</w:t>
            </w:r>
          </w:p>
        </w:tc>
        <w:tc>
          <w:tcPr>
            <w:tcW w:w="1295" w:type="dxa"/>
            <w:tcBorders>
              <w:bottom w:val="nil"/>
            </w:tcBorders>
          </w:tcPr>
          <w:p w14:paraId="766FCF22" w14:textId="77777777" w:rsidR="00842F3C" w:rsidRPr="00BA340B" w:rsidRDefault="00842F3C" w:rsidP="00842F3C">
            <w:pPr>
              <w:pStyle w:val="TableCellDecAlign"/>
            </w:pPr>
            <w:r w:rsidRPr="00BA340B">
              <w:t>28.35</w:t>
            </w:r>
          </w:p>
        </w:tc>
        <w:tc>
          <w:tcPr>
            <w:tcW w:w="4266" w:type="dxa"/>
            <w:tcBorders>
              <w:bottom w:val="nil"/>
            </w:tcBorders>
          </w:tcPr>
          <w:p w14:paraId="3A6A4D34" w14:textId="77777777" w:rsidR="00842F3C" w:rsidRPr="00BA340B" w:rsidRDefault="00842F3C" w:rsidP="00842F3C">
            <w:pPr>
              <w:pStyle w:val="TableCellBody"/>
            </w:pPr>
            <w:proofErr w:type="gramStart"/>
            <w:r w:rsidRPr="00BA340B">
              <w:t>gram</w:t>
            </w:r>
            <w:proofErr w:type="gramEnd"/>
            <w:r w:rsidRPr="00BA340B">
              <w:t xml:space="preserve"> (g) </w:t>
            </w:r>
          </w:p>
        </w:tc>
      </w:tr>
      <w:tr w:rsidR="00842F3C" w:rsidRPr="00BA340B" w14:paraId="292EC6C7" w14:textId="77777777" w:rsidTr="00283214">
        <w:tc>
          <w:tcPr>
            <w:tcW w:w="4015" w:type="dxa"/>
            <w:tcBorders>
              <w:top w:val="nil"/>
              <w:bottom w:val="nil"/>
            </w:tcBorders>
          </w:tcPr>
          <w:p w14:paraId="4C13AED5" w14:textId="77777777" w:rsidR="00842F3C" w:rsidRPr="00BA340B" w:rsidRDefault="00842F3C" w:rsidP="00842F3C">
            <w:pPr>
              <w:pStyle w:val="TableCellBody"/>
            </w:pPr>
            <w:proofErr w:type="gramStart"/>
            <w:r w:rsidRPr="00BA340B">
              <w:t>pound</w:t>
            </w:r>
            <w:proofErr w:type="gramEnd"/>
            <w:r w:rsidRPr="00BA340B">
              <w:t>, avoirdupois (</w:t>
            </w:r>
            <w:proofErr w:type="spellStart"/>
            <w:r w:rsidRPr="00BA340B">
              <w:t>lb</w:t>
            </w:r>
            <w:proofErr w:type="spellEnd"/>
            <w:r w:rsidRPr="00BA340B">
              <w:t>)</w:t>
            </w:r>
          </w:p>
        </w:tc>
        <w:tc>
          <w:tcPr>
            <w:tcW w:w="1295" w:type="dxa"/>
            <w:tcBorders>
              <w:top w:val="nil"/>
              <w:bottom w:val="nil"/>
            </w:tcBorders>
          </w:tcPr>
          <w:p w14:paraId="2A26F3BA" w14:textId="77777777" w:rsidR="00842F3C" w:rsidRPr="00BA340B" w:rsidRDefault="00842F3C" w:rsidP="00842F3C">
            <w:pPr>
              <w:pStyle w:val="TableCellDecAlign"/>
            </w:pPr>
            <w:r w:rsidRPr="00BA340B">
              <w:t>0.4536</w:t>
            </w:r>
          </w:p>
        </w:tc>
        <w:tc>
          <w:tcPr>
            <w:tcW w:w="4266" w:type="dxa"/>
            <w:tcBorders>
              <w:top w:val="nil"/>
              <w:bottom w:val="nil"/>
            </w:tcBorders>
          </w:tcPr>
          <w:p w14:paraId="3360F1F3" w14:textId="77777777" w:rsidR="00842F3C" w:rsidRPr="00BA340B" w:rsidRDefault="00842F3C" w:rsidP="00842F3C">
            <w:pPr>
              <w:pStyle w:val="TableCellBody"/>
            </w:pPr>
            <w:proofErr w:type="gramStart"/>
            <w:r w:rsidRPr="00BA340B">
              <w:t>kilogram</w:t>
            </w:r>
            <w:proofErr w:type="gramEnd"/>
            <w:r w:rsidRPr="00BA340B">
              <w:t xml:space="preserve"> (kg) </w:t>
            </w:r>
          </w:p>
        </w:tc>
      </w:tr>
      <w:tr w:rsidR="00842F3C" w:rsidRPr="00BA340B" w14:paraId="05BC1847" w14:textId="77777777" w:rsidTr="00283214">
        <w:tc>
          <w:tcPr>
            <w:tcW w:w="4015" w:type="dxa"/>
            <w:tcBorders>
              <w:top w:val="nil"/>
              <w:bottom w:val="nil"/>
            </w:tcBorders>
          </w:tcPr>
          <w:p w14:paraId="028C8F6C" w14:textId="77777777" w:rsidR="00842F3C" w:rsidRPr="00BA340B" w:rsidRDefault="00842F3C" w:rsidP="00842F3C">
            <w:pPr>
              <w:pStyle w:val="TableCellBody"/>
            </w:pPr>
            <w:proofErr w:type="gramStart"/>
            <w:r w:rsidRPr="00BA340B">
              <w:t>ton</w:t>
            </w:r>
            <w:proofErr w:type="gramEnd"/>
            <w:r w:rsidRPr="00BA340B">
              <w:t xml:space="preserve">, short (2,000 </w:t>
            </w:r>
            <w:proofErr w:type="spellStart"/>
            <w:r w:rsidRPr="00BA340B">
              <w:t>lb</w:t>
            </w:r>
            <w:proofErr w:type="spellEnd"/>
            <w:r w:rsidRPr="00BA340B">
              <w:t>)</w:t>
            </w:r>
          </w:p>
        </w:tc>
        <w:tc>
          <w:tcPr>
            <w:tcW w:w="1295" w:type="dxa"/>
            <w:tcBorders>
              <w:top w:val="nil"/>
              <w:bottom w:val="nil"/>
            </w:tcBorders>
          </w:tcPr>
          <w:p w14:paraId="6566CE84" w14:textId="77777777" w:rsidR="00842F3C" w:rsidRPr="00BA340B" w:rsidRDefault="00842F3C" w:rsidP="00842F3C">
            <w:pPr>
              <w:pStyle w:val="TableCellDecAlign"/>
            </w:pPr>
            <w:r w:rsidRPr="00BA340B">
              <w:t>0.9072</w:t>
            </w:r>
          </w:p>
        </w:tc>
        <w:tc>
          <w:tcPr>
            <w:tcW w:w="4266" w:type="dxa"/>
            <w:tcBorders>
              <w:top w:val="nil"/>
              <w:bottom w:val="nil"/>
            </w:tcBorders>
          </w:tcPr>
          <w:p w14:paraId="340D8535" w14:textId="77777777" w:rsidR="00842F3C" w:rsidRPr="00BA340B" w:rsidRDefault="00842F3C" w:rsidP="00842F3C">
            <w:pPr>
              <w:pStyle w:val="TableCellBody"/>
            </w:pPr>
            <w:proofErr w:type="gramStart"/>
            <w:r w:rsidRPr="00BA340B">
              <w:t>metric</w:t>
            </w:r>
            <w:proofErr w:type="gramEnd"/>
            <w:r w:rsidRPr="00BA340B">
              <w:t xml:space="preserve"> ton (t) </w:t>
            </w:r>
          </w:p>
        </w:tc>
      </w:tr>
      <w:tr w:rsidR="00842F3C" w:rsidRPr="00BA340B" w14:paraId="7B29FE78" w14:textId="77777777" w:rsidTr="00283214">
        <w:tc>
          <w:tcPr>
            <w:tcW w:w="4015" w:type="dxa"/>
            <w:tcBorders>
              <w:top w:val="nil"/>
              <w:bottom w:val="nil"/>
            </w:tcBorders>
          </w:tcPr>
          <w:p w14:paraId="1BFBFCFD" w14:textId="77777777" w:rsidR="00842F3C" w:rsidRPr="00BA340B" w:rsidRDefault="00842F3C" w:rsidP="00842F3C">
            <w:pPr>
              <w:pStyle w:val="TableCellBody"/>
            </w:pPr>
            <w:proofErr w:type="gramStart"/>
            <w:r w:rsidRPr="00BA340B">
              <w:t>ton</w:t>
            </w:r>
            <w:proofErr w:type="gramEnd"/>
            <w:r w:rsidRPr="00BA340B">
              <w:t xml:space="preserve">, long (2,240 </w:t>
            </w:r>
            <w:proofErr w:type="spellStart"/>
            <w:r w:rsidRPr="00BA340B">
              <w:t>lb</w:t>
            </w:r>
            <w:proofErr w:type="spellEnd"/>
            <w:r w:rsidRPr="00BA340B">
              <w:t>)</w:t>
            </w:r>
          </w:p>
        </w:tc>
        <w:tc>
          <w:tcPr>
            <w:tcW w:w="1295" w:type="dxa"/>
            <w:tcBorders>
              <w:top w:val="nil"/>
              <w:bottom w:val="nil"/>
            </w:tcBorders>
          </w:tcPr>
          <w:p w14:paraId="2D253B4C" w14:textId="77777777" w:rsidR="00842F3C" w:rsidRPr="00BA340B" w:rsidRDefault="00842F3C" w:rsidP="00842F3C">
            <w:pPr>
              <w:pStyle w:val="TableCellDecAlign"/>
            </w:pPr>
            <w:r w:rsidRPr="00BA340B">
              <w:t>1.016</w:t>
            </w:r>
          </w:p>
        </w:tc>
        <w:tc>
          <w:tcPr>
            <w:tcW w:w="4266" w:type="dxa"/>
            <w:tcBorders>
              <w:top w:val="nil"/>
              <w:bottom w:val="nil"/>
            </w:tcBorders>
          </w:tcPr>
          <w:p w14:paraId="08608DBB" w14:textId="77777777" w:rsidR="00842F3C" w:rsidRPr="00BA340B" w:rsidRDefault="00842F3C" w:rsidP="00842F3C">
            <w:pPr>
              <w:pStyle w:val="TableCellBody"/>
            </w:pPr>
            <w:proofErr w:type="gramStart"/>
            <w:r w:rsidRPr="00BA340B">
              <w:t>metric</w:t>
            </w:r>
            <w:proofErr w:type="gramEnd"/>
            <w:r w:rsidRPr="00BA340B">
              <w:t xml:space="preserve"> ton (t) </w:t>
            </w:r>
          </w:p>
        </w:tc>
      </w:tr>
      <w:tr w:rsidR="00842F3C" w:rsidRPr="00BA340B" w14:paraId="455AFEC9" w14:textId="77777777" w:rsidTr="00283214">
        <w:tc>
          <w:tcPr>
            <w:tcW w:w="9576" w:type="dxa"/>
            <w:gridSpan w:val="3"/>
            <w:tcBorders>
              <w:bottom w:val="single" w:sz="4" w:space="0" w:color="auto"/>
            </w:tcBorders>
          </w:tcPr>
          <w:p w14:paraId="151442FF" w14:textId="77777777" w:rsidR="00842F3C" w:rsidRPr="00BA340B" w:rsidRDefault="00842F3C" w:rsidP="00283214">
            <w:pPr>
              <w:pStyle w:val="TableSpanner"/>
            </w:pPr>
            <w:r w:rsidRPr="00BA340B">
              <w:t>Pressure</w:t>
            </w:r>
          </w:p>
        </w:tc>
      </w:tr>
      <w:tr w:rsidR="00842F3C" w:rsidRPr="00BA340B" w14:paraId="531BB4BD" w14:textId="77777777" w:rsidTr="00283214">
        <w:tc>
          <w:tcPr>
            <w:tcW w:w="4015" w:type="dxa"/>
            <w:tcBorders>
              <w:bottom w:val="nil"/>
            </w:tcBorders>
          </w:tcPr>
          <w:p w14:paraId="4EED502B" w14:textId="77777777" w:rsidR="00842F3C" w:rsidRPr="00BA340B" w:rsidRDefault="00842F3C" w:rsidP="00842F3C">
            <w:pPr>
              <w:pStyle w:val="TableCellBody"/>
            </w:pPr>
            <w:proofErr w:type="gramStart"/>
            <w:r w:rsidRPr="00BA340B">
              <w:t>atmosphere</w:t>
            </w:r>
            <w:proofErr w:type="gramEnd"/>
            <w:r w:rsidRPr="00BA340B">
              <w:t>, standard (</w:t>
            </w:r>
            <w:proofErr w:type="spellStart"/>
            <w:r w:rsidRPr="00BA340B">
              <w:t>atm</w:t>
            </w:r>
            <w:proofErr w:type="spellEnd"/>
            <w:r w:rsidRPr="00BA340B">
              <w:t>)</w:t>
            </w:r>
          </w:p>
        </w:tc>
        <w:tc>
          <w:tcPr>
            <w:tcW w:w="1295" w:type="dxa"/>
            <w:tcBorders>
              <w:bottom w:val="nil"/>
            </w:tcBorders>
          </w:tcPr>
          <w:p w14:paraId="012951B9" w14:textId="77777777" w:rsidR="00842F3C" w:rsidRPr="00BA340B" w:rsidRDefault="00842F3C" w:rsidP="00842F3C">
            <w:pPr>
              <w:pStyle w:val="TableCellDecAlign"/>
            </w:pPr>
            <w:r w:rsidRPr="00BA340B">
              <w:t>101.3</w:t>
            </w:r>
          </w:p>
        </w:tc>
        <w:tc>
          <w:tcPr>
            <w:tcW w:w="4266" w:type="dxa"/>
            <w:tcBorders>
              <w:bottom w:val="nil"/>
            </w:tcBorders>
          </w:tcPr>
          <w:p w14:paraId="2930E05A"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w:t>
            </w:r>
          </w:p>
        </w:tc>
      </w:tr>
      <w:tr w:rsidR="00842F3C" w:rsidRPr="00BA340B" w14:paraId="721024DE" w14:textId="77777777" w:rsidTr="00283214">
        <w:tc>
          <w:tcPr>
            <w:tcW w:w="4015" w:type="dxa"/>
            <w:tcBorders>
              <w:top w:val="nil"/>
              <w:bottom w:val="nil"/>
            </w:tcBorders>
          </w:tcPr>
          <w:p w14:paraId="68F1860B" w14:textId="77777777" w:rsidR="00842F3C" w:rsidRPr="00BA340B" w:rsidRDefault="00842F3C" w:rsidP="00842F3C">
            <w:pPr>
              <w:pStyle w:val="TableCellBody"/>
            </w:pPr>
            <w:proofErr w:type="gramStart"/>
            <w:r w:rsidRPr="00BA340B">
              <w:t>bar</w:t>
            </w:r>
            <w:proofErr w:type="gramEnd"/>
          </w:p>
        </w:tc>
        <w:tc>
          <w:tcPr>
            <w:tcW w:w="1295" w:type="dxa"/>
            <w:tcBorders>
              <w:top w:val="nil"/>
              <w:bottom w:val="nil"/>
            </w:tcBorders>
          </w:tcPr>
          <w:p w14:paraId="14B0522E" w14:textId="77777777" w:rsidR="00842F3C" w:rsidRPr="00BA340B" w:rsidRDefault="00842F3C" w:rsidP="00842F3C">
            <w:pPr>
              <w:pStyle w:val="TableCellDecAlign"/>
            </w:pPr>
            <w:r w:rsidRPr="00BA340B">
              <w:t>100</w:t>
            </w:r>
          </w:p>
        </w:tc>
        <w:tc>
          <w:tcPr>
            <w:tcW w:w="4266" w:type="dxa"/>
            <w:tcBorders>
              <w:top w:val="nil"/>
              <w:bottom w:val="nil"/>
            </w:tcBorders>
          </w:tcPr>
          <w:p w14:paraId="4B4D5DB1"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 xml:space="preserve">) </w:t>
            </w:r>
          </w:p>
        </w:tc>
      </w:tr>
      <w:tr w:rsidR="00842F3C" w:rsidRPr="00BA340B" w14:paraId="4B0CB6D1" w14:textId="77777777" w:rsidTr="00283214">
        <w:tc>
          <w:tcPr>
            <w:tcW w:w="4015" w:type="dxa"/>
            <w:tcBorders>
              <w:top w:val="nil"/>
              <w:bottom w:val="nil"/>
            </w:tcBorders>
          </w:tcPr>
          <w:p w14:paraId="7063431E" w14:textId="77777777" w:rsidR="00842F3C" w:rsidRPr="00BA340B" w:rsidRDefault="00842F3C" w:rsidP="00842F3C">
            <w:pPr>
              <w:pStyle w:val="TableCellBody"/>
            </w:pPr>
            <w:proofErr w:type="gramStart"/>
            <w:r w:rsidRPr="00BA340B">
              <w:t>inch</w:t>
            </w:r>
            <w:proofErr w:type="gramEnd"/>
            <w:r w:rsidRPr="00BA340B">
              <w:t xml:space="preserve"> of mercury at 60 °F (in Hg)</w:t>
            </w:r>
          </w:p>
        </w:tc>
        <w:tc>
          <w:tcPr>
            <w:tcW w:w="1295" w:type="dxa"/>
            <w:tcBorders>
              <w:top w:val="nil"/>
              <w:bottom w:val="nil"/>
            </w:tcBorders>
          </w:tcPr>
          <w:p w14:paraId="2B12DA73" w14:textId="77777777" w:rsidR="00842F3C" w:rsidRPr="00BA340B" w:rsidRDefault="00842F3C" w:rsidP="00842F3C">
            <w:pPr>
              <w:pStyle w:val="TableCellDecAlign"/>
            </w:pPr>
            <w:r w:rsidRPr="00BA340B">
              <w:t>3.377</w:t>
            </w:r>
          </w:p>
        </w:tc>
        <w:tc>
          <w:tcPr>
            <w:tcW w:w="4266" w:type="dxa"/>
            <w:tcBorders>
              <w:top w:val="nil"/>
              <w:bottom w:val="nil"/>
            </w:tcBorders>
          </w:tcPr>
          <w:p w14:paraId="0D532DB2"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 xml:space="preserve">) </w:t>
            </w:r>
          </w:p>
        </w:tc>
      </w:tr>
      <w:tr w:rsidR="00842F3C" w:rsidRPr="00BA340B" w14:paraId="4D3ADCA6" w14:textId="77777777" w:rsidTr="00283214">
        <w:tc>
          <w:tcPr>
            <w:tcW w:w="4015" w:type="dxa"/>
            <w:tcBorders>
              <w:top w:val="nil"/>
              <w:bottom w:val="nil"/>
            </w:tcBorders>
          </w:tcPr>
          <w:p w14:paraId="41CE4FC2" w14:textId="77777777" w:rsidR="00842F3C" w:rsidRPr="00BA340B" w:rsidRDefault="00842F3C" w:rsidP="00842F3C">
            <w:pPr>
              <w:pStyle w:val="TableCellBody"/>
            </w:pPr>
            <w:proofErr w:type="gramStart"/>
            <w:r w:rsidRPr="00BA340B">
              <w:t>pound</w:t>
            </w:r>
            <w:proofErr w:type="gramEnd"/>
            <w:r w:rsidRPr="00BA340B">
              <w:t>-force per square inch (</w:t>
            </w:r>
            <w:proofErr w:type="spellStart"/>
            <w:r w:rsidRPr="00BA340B">
              <w:t>lbf</w:t>
            </w:r>
            <w:proofErr w:type="spellEnd"/>
            <w:r w:rsidRPr="00BA340B">
              <w:t>/in</w:t>
            </w:r>
            <w:r w:rsidRPr="00BA340B">
              <w:rPr>
                <w:rStyle w:val="Superscript"/>
              </w:rPr>
              <w:t>2</w:t>
            </w:r>
            <w:r w:rsidRPr="00BA340B">
              <w:t>)</w:t>
            </w:r>
          </w:p>
        </w:tc>
        <w:tc>
          <w:tcPr>
            <w:tcW w:w="1295" w:type="dxa"/>
            <w:tcBorders>
              <w:top w:val="nil"/>
              <w:bottom w:val="nil"/>
            </w:tcBorders>
          </w:tcPr>
          <w:p w14:paraId="22D6AB88" w14:textId="77777777" w:rsidR="00842F3C" w:rsidRPr="00BA340B" w:rsidRDefault="00842F3C" w:rsidP="00842F3C">
            <w:pPr>
              <w:pStyle w:val="TableCellDecAlign"/>
            </w:pPr>
            <w:r w:rsidRPr="00BA340B">
              <w:t>6.895</w:t>
            </w:r>
          </w:p>
        </w:tc>
        <w:tc>
          <w:tcPr>
            <w:tcW w:w="4266" w:type="dxa"/>
            <w:tcBorders>
              <w:top w:val="nil"/>
              <w:bottom w:val="nil"/>
            </w:tcBorders>
          </w:tcPr>
          <w:p w14:paraId="207F4305"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w:t>
            </w:r>
          </w:p>
        </w:tc>
      </w:tr>
      <w:tr w:rsidR="00842F3C" w:rsidRPr="00BA340B" w14:paraId="2385C056" w14:textId="77777777" w:rsidTr="00283214">
        <w:tc>
          <w:tcPr>
            <w:tcW w:w="4015" w:type="dxa"/>
            <w:tcBorders>
              <w:top w:val="nil"/>
              <w:bottom w:val="nil"/>
            </w:tcBorders>
          </w:tcPr>
          <w:p w14:paraId="662FB13B" w14:textId="77777777" w:rsidR="00842F3C" w:rsidRPr="00BA340B" w:rsidRDefault="00842F3C" w:rsidP="00842F3C">
            <w:pPr>
              <w:pStyle w:val="TableCellBody"/>
            </w:pPr>
            <w:proofErr w:type="gramStart"/>
            <w:r w:rsidRPr="00BA340B">
              <w:t>pound</w:t>
            </w:r>
            <w:proofErr w:type="gramEnd"/>
            <w:r w:rsidRPr="00BA340B">
              <w:t xml:space="preserve"> per square foot (</w:t>
            </w:r>
            <w:proofErr w:type="spellStart"/>
            <w:r w:rsidRPr="00BA340B">
              <w:t>lb</w:t>
            </w:r>
            <w:proofErr w:type="spellEnd"/>
            <w:r w:rsidRPr="00BA340B">
              <w:t>/ft</w:t>
            </w:r>
            <w:r w:rsidRPr="00BA340B">
              <w:rPr>
                <w:rStyle w:val="Superscript"/>
              </w:rPr>
              <w:t>2</w:t>
            </w:r>
            <w:r w:rsidRPr="00BA340B">
              <w:t>)</w:t>
            </w:r>
          </w:p>
        </w:tc>
        <w:tc>
          <w:tcPr>
            <w:tcW w:w="1295" w:type="dxa"/>
            <w:tcBorders>
              <w:top w:val="nil"/>
              <w:bottom w:val="nil"/>
            </w:tcBorders>
          </w:tcPr>
          <w:p w14:paraId="4EAF17F9" w14:textId="77777777" w:rsidR="00842F3C" w:rsidRPr="00BA340B" w:rsidRDefault="00842F3C" w:rsidP="00842F3C">
            <w:pPr>
              <w:pStyle w:val="TableCellDecAlign"/>
            </w:pPr>
            <w:r w:rsidRPr="00BA340B">
              <w:t>0.04788</w:t>
            </w:r>
          </w:p>
        </w:tc>
        <w:tc>
          <w:tcPr>
            <w:tcW w:w="4266" w:type="dxa"/>
            <w:tcBorders>
              <w:top w:val="nil"/>
              <w:bottom w:val="nil"/>
            </w:tcBorders>
          </w:tcPr>
          <w:p w14:paraId="2E3788BF"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 xml:space="preserve">) </w:t>
            </w:r>
          </w:p>
        </w:tc>
      </w:tr>
      <w:tr w:rsidR="00842F3C" w:rsidRPr="00BA340B" w14:paraId="54AE320F" w14:textId="77777777" w:rsidTr="00283214">
        <w:tc>
          <w:tcPr>
            <w:tcW w:w="4015" w:type="dxa"/>
            <w:tcBorders>
              <w:top w:val="nil"/>
            </w:tcBorders>
          </w:tcPr>
          <w:p w14:paraId="5D305884" w14:textId="77777777" w:rsidR="00842F3C" w:rsidRPr="00BA340B" w:rsidRDefault="00842F3C" w:rsidP="00842F3C">
            <w:pPr>
              <w:pStyle w:val="TableCellBody"/>
            </w:pPr>
            <w:proofErr w:type="gramStart"/>
            <w:r w:rsidRPr="00BA340B">
              <w:t>pound</w:t>
            </w:r>
            <w:proofErr w:type="gramEnd"/>
            <w:r w:rsidRPr="00BA340B">
              <w:t xml:space="preserve"> per square inch (</w:t>
            </w:r>
            <w:proofErr w:type="spellStart"/>
            <w:r w:rsidRPr="00BA340B">
              <w:t>lb</w:t>
            </w:r>
            <w:proofErr w:type="spellEnd"/>
            <w:r w:rsidRPr="00BA340B">
              <w:t>/in</w:t>
            </w:r>
            <w:r w:rsidRPr="00BA340B">
              <w:rPr>
                <w:rStyle w:val="Superscript"/>
              </w:rPr>
              <w:t>2</w:t>
            </w:r>
            <w:r w:rsidRPr="00BA340B">
              <w:t>)</w:t>
            </w:r>
          </w:p>
        </w:tc>
        <w:tc>
          <w:tcPr>
            <w:tcW w:w="1295" w:type="dxa"/>
            <w:tcBorders>
              <w:top w:val="nil"/>
            </w:tcBorders>
          </w:tcPr>
          <w:p w14:paraId="22C09F6A" w14:textId="77777777" w:rsidR="00842F3C" w:rsidRPr="00BA340B" w:rsidRDefault="00842F3C" w:rsidP="00842F3C">
            <w:pPr>
              <w:pStyle w:val="TableCellDecAlign"/>
            </w:pPr>
            <w:r w:rsidRPr="00BA340B">
              <w:t>6.895</w:t>
            </w:r>
          </w:p>
        </w:tc>
        <w:tc>
          <w:tcPr>
            <w:tcW w:w="4266" w:type="dxa"/>
            <w:tcBorders>
              <w:top w:val="nil"/>
            </w:tcBorders>
          </w:tcPr>
          <w:p w14:paraId="52B068B8" w14:textId="77777777" w:rsidR="00842F3C" w:rsidRPr="00BA340B" w:rsidRDefault="00842F3C" w:rsidP="00842F3C">
            <w:pPr>
              <w:pStyle w:val="TableCellBody"/>
            </w:pPr>
            <w:proofErr w:type="gramStart"/>
            <w:r w:rsidRPr="00BA340B">
              <w:t>kilopascal</w:t>
            </w:r>
            <w:proofErr w:type="gramEnd"/>
            <w:r w:rsidRPr="00BA340B">
              <w:t xml:space="preserve"> (</w:t>
            </w:r>
            <w:proofErr w:type="spellStart"/>
            <w:r w:rsidRPr="00BA340B">
              <w:t>kPa</w:t>
            </w:r>
            <w:proofErr w:type="spellEnd"/>
            <w:r w:rsidRPr="00BA340B">
              <w:t xml:space="preserve">) </w:t>
            </w:r>
          </w:p>
        </w:tc>
      </w:tr>
      <w:tr w:rsidR="00842F3C" w:rsidRPr="00BA340B" w14:paraId="1571A31B" w14:textId="77777777" w:rsidTr="00283214">
        <w:tc>
          <w:tcPr>
            <w:tcW w:w="9576" w:type="dxa"/>
            <w:gridSpan w:val="3"/>
            <w:tcBorders>
              <w:bottom w:val="single" w:sz="4" w:space="0" w:color="auto"/>
            </w:tcBorders>
          </w:tcPr>
          <w:p w14:paraId="39C353C6" w14:textId="77777777" w:rsidR="00842F3C" w:rsidRPr="00BA340B" w:rsidRDefault="00842F3C" w:rsidP="00283214">
            <w:pPr>
              <w:pStyle w:val="TableSpanner"/>
            </w:pPr>
            <w:r w:rsidRPr="00BA340B">
              <w:t>Density</w:t>
            </w:r>
          </w:p>
        </w:tc>
      </w:tr>
      <w:tr w:rsidR="00842F3C" w:rsidRPr="00BA340B" w14:paraId="7AB917ED" w14:textId="77777777" w:rsidTr="00283214">
        <w:tc>
          <w:tcPr>
            <w:tcW w:w="4015" w:type="dxa"/>
            <w:tcBorders>
              <w:bottom w:val="nil"/>
            </w:tcBorders>
          </w:tcPr>
          <w:p w14:paraId="438B03EC" w14:textId="77777777" w:rsidR="00842F3C" w:rsidRPr="00BA340B" w:rsidRDefault="00842F3C" w:rsidP="00842F3C">
            <w:pPr>
              <w:pStyle w:val="TableCellBody"/>
            </w:pPr>
            <w:proofErr w:type="gramStart"/>
            <w:r w:rsidRPr="00BA340B">
              <w:t>pound</w:t>
            </w:r>
            <w:proofErr w:type="gramEnd"/>
            <w:r w:rsidRPr="00BA340B">
              <w:t xml:space="preserve"> per cubic foot (</w:t>
            </w:r>
            <w:proofErr w:type="spellStart"/>
            <w:r w:rsidRPr="00BA340B">
              <w:t>lb</w:t>
            </w:r>
            <w:proofErr w:type="spellEnd"/>
            <w:r w:rsidRPr="00BA340B">
              <w:t>/ft</w:t>
            </w:r>
            <w:r w:rsidRPr="00BA340B">
              <w:rPr>
                <w:rStyle w:val="Superscript"/>
              </w:rPr>
              <w:t>3</w:t>
            </w:r>
            <w:r w:rsidRPr="00BA340B">
              <w:t>)</w:t>
            </w:r>
          </w:p>
        </w:tc>
        <w:tc>
          <w:tcPr>
            <w:tcW w:w="1295" w:type="dxa"/>
            <w:tcBorders>
              <w:bottom w:val="nil"/>
            </w:tcBorders>
          </w:tcPr>
          <w:p w14:paraId="472248A7" w14:textId="77777777" w:rsidR="00842F3C" w:rsidRPr="00BA340B" w:rsidRDefault="00842F3C" w:rsidP="00842F3C">
            <w:pPr>
              <w:pStyle w:val="TableCellDecAlign"/>
            </w:pPr>
            <w:r w:rsidRPr="00BA340B">
              <w:t>16.02</w:t>
            </w:r>
          </w:p>
        </w:tc>
        <w:tc>
          <w:tcPr>
            <w:tcW w:w="4266" w:type="dxa"/>
            <w:tcBorders>
              <w:bottom w:val="nil"/>
            </w:tcBorders>
          </w:tcPr>
          <w:p w14:paraId="094A194B" w14:textId="77777777" w:rsidR="00842F3C" w:rsidRPr="00BA340B" w:rsidRDefault="00842F3C" w:rsidP="00842F3C">
            <w:pPr>
              <w:pStyle w:val="TableCellBody"/>
            </w:pPr>
            <w:proofErr w:type="gramStart"/>
            <w:r w:rsidRPr="00BA340B">
              <w:t>kilogram</w:t>
            </w:r>
            <w:proofErr w:type="gramEnd"/>
            <w:r w:rsidRPr="00BA340B">
              <w:t xml:space="preserve"> per cubic meter (kg/m</w:t>
            </w:r>
            <w:r w:rsidRPr="00BA340B">
              <w:rPr>
                <w:rStyle w:val="Superscript"/>
              </w:rPr>
              <w:t>3</w:t>
            </w:r>
            <w:r w:rsidRPr="00BA340B">
              <w:t>)</w:t>
            </w:r>
          </w:p>
        </w:tc>
      </w:tr>
      <w:tr w:rsidR="00842F3C" w:rsidRPr="00BA340B" w14:paraId="6742424A" w14:textId="77777777" w:rsidTr="00283214">
        <w:tc>
          <w:tcPr>
            <w:tcW w:w="4015" w:type="dxa"/>
            <w:tcBorders>
              <w:top w:val="nil"/>
            </w:tcBorders>
          </w:tcPr>
          <w:p w14:paraId="29D7DC74" w14:textId="77777777" w:rsidR="00842F3C" w:rsidRPr="00BA340B" w:rsidRDefault="00842F3C" w:rsidP="00842F3C">
            <w:pPr>
              <w:pStyle w:val="TableCellBody"/>
            </w:pPr>
            <w:proofErr w:type="gramStart"/>
            <w:r w:rsidRPr="00BA340B">
              <w:t>pound</w:t>
            </w:r>
            <w:proofErr w:type="gramEnd"/>
            <w:r w:rsidRPr="00BA340B">
              <w:t xml:space="preserve"> per cubic foot (</w:t>
            </w:r>
            <w:proofErr w:type="spellStart"/>
            <w:r w:rsidRPr="00BA340B">
              <w:t>lb</w:t>
            </w:r>
            <w:proofErr w:type="spellEnd"/>
            <w:r w:rsidRPr="00BA340B">
              <w:t>/ft</w:t>
            </w:r>
            <w:r w:rsidRPr="00BA340B">
              <w:rPr>
                <w:rStyle w:val="Superscript"/>
              </w:rPr>
              <w:t>3</w:t>
            </w:r>
            <w:r w:rsidRPr="00BA340B">
              <w:t>)</w:t>
            </w:r>
          </w:p>
        </w:tc>
        <w:tc>
          <w:tcPr>
            <w:tcW w:w="1295" w:type="dxa"/>
            <w:tcBorders>
              <w:top w:val="nil"/>
            </w:tcBorders>
          </w:tcPr>
          <w:p w14:paraId="593123A2" w14:textId="77777777" w:rsidR="00842F3C" w:rsidRPr="00BA340B" w:rsidRDefault="00842F3C" w:rsidP="00842F3C">
            <w:pPr>
              <w:pStyle w:val="TableCellDecAlign"/>
            </w:pPr>
            <w:r w:rsidRPr="00BA340B">
              <w:t>0.01602</w:t>
            </w:r>
          </w:p>
        </w:tc>
        <w:tc>
          <w:tcPr>
            <w:tcW w:w="4266" w:type="dxa"/>
            <w:tcBorders>
              <w:top w:val="nil"/>
            </w:tcBorders>
          </w:tcPr>
          <w:p w14:paraId="4D30E15B" w14:textId="77777777" w:rsidR="00842F3C" w:rsidRPr="00BA340B" w:rsidRDefault="00842F3C" w:rsidP="00842F3C">
            <w:pPr>
              <w:pStyle w:val="TableCellBody"/>
            </w:pPr>
            <w:proofErr w:type="gramStart"/>
            <w:r w:rsidRPr="00BA340B">
              <w:t>gram</w:t>
            </w:r>
            <w:proofErr w:type="gramEnd"/>
            <w:r w:rsidRPr="00BA340B">
              <w:t xml:space="preserve"> per cubic centimeter (g/cm</w:t>
            </w:r>
            <w:r w:rsidRPr="00BA340B">
              <w:rPr>
                <w:rStyle w:val="Superscript"/>
              </w:rPr>
              <w:t>3</w:t>
            </w:r>
            <w:r w:rsidRPr="00BA340B">
              <w:t>)</w:t>
            </w:r>
          </w:p>
        </w:tc>
      </w:tr>
      <w:tr w:rsidR="00842F3C" w:rsidRPr="00BA340B" w14:paraId="3CFB2437" w14:textId="77777777" w:rsidTr="00283214">
        <w:tc>
          <w:tcPr>
            <w:tcW w:w="9576" w:type="dxa"/>
            <w:gridSpan w:val="3"/>
            <w:tcBorders>
              <w:bottom w:val="single" w:sz="4" w:space="0" w:color="auto"/>
            </w:tcBorders>
          </w:tcPr>
          <w:p w14:paraId="73F5EFBD" w14:textId="77777777" w:rsidR="00842F3C" w:rsidRPr="00BA340B" w:rsidRDefault="00842F3C" w:rsidP="00283214">
            <w:pPr>
              <w:pStyle w:val="TableSpanner"/>
            </w:pPr>
            <w:r w:rsidRPr="00BA340B">
              <w:t>Energy</w:t>
            </w:r>
          </w:p>
        </w:tc>
      </w:tr>
      <w:tr w:rsidR="00842F3C" w:rsidRPr="00BA340B" w14:paraId="4933F135" w14:textId="77777777" w:rsidTr="00283214">
        <w:tc>
          <w:tcPr>
            <w:tcW w:w="4015" w:type="dxa"/>
          </w:tcPr>
          <w:p w14:paraId="09A923E1" w14:textId="77777777" w:rsidR="00842F3C" w:rsidRPr="00BA340B" w:rsidRDefault="00842F3C" w:rsidP="00842F3C">
            <w:pPr>
              <w:pStyle w:val="TableCellBody"/>
            </w:pPr>
            <w:proofErr w:type="spellStart"/>
            <w:proofErr w:type="gramStart"/>
            <w:r w:rsidRPr="00BA340B">
              <w:t>kilowatthour</w:t>
            </w:r>
            <w:proofErr w:type="spellEnd"/>
            <w:proofErr w:type="gramEnd"/>
            <w:r w:rsidRPr="00BA340B">
              <w:t xml:space="preserve"> (kWh)</w:t>
            </w:r>
          </w:p>
        </w:tc>
        <w:tc>
          <w:tcPr>
            <w:tcW w:w="1295" w:type="dxa"/>
          </w:tcPr>
          <w:p w14:paraId="38D236AC" w14:textId="77777777" w:rsidR="00842F3C" w:rsidRPr="00BA340B" w:rsidRDefault="00842F3C" w:rsidP="00842F3C">
            <w:pPr>
              <w:pStyle w:val="TableCellDecAlign"/>
            </w:pPr>
            <w:r w:rsidRPr="00BA340B">
              <w:t>3,600,000</w:t>
            </w:r>
          </w:p>
        </w:tc>
        <w:tc>
          <w:tcPr>
            <w:tcW w:w="4266" w:type="dxa"/>
          </w:tcPr>
          <w:p w14:paraId="73882658" w14:textId="77777777" w:rsidR="00842F3C" w:rsidRPr="00BA340B" w:rsidRDefault="00842F3C" w:rsidP="00842F3C">
            <w:pPr>
              <w:pStyle w:val="TableCellBody"/>
            </w:pPr>
            <w:proofErr w:type="gramStart"/>
            <w:r w:rsidRPr="00BA340B">
              <w:t>joule</w:t>
            </w:r>
            <w:proofErr w:type="gramEnd"/>
            <w:r w:rsidRPr="00BA340B">
              <w:t xml:space="preserve"> (J)</w:t>
            </w:r>
          </w:p>
        </w:tc>
      </w:tr>
      <w:tr w:rsidR="00842F3C" w:rsidRPr="00BA340B" w14:paraId="2B91CA14" w14:textId="77777777" w:rsidTr="00C533FF">
        <w:trPr>
          <w:trHeight w:val="85"/>
        </w:trPr>
        <w:tc>
          <w:tcPr>
            <w:tcW w:w="9576" w:type="dxa"/>
            <w:gridSpan w:val="3"/>
            <w:tcBorders>
              <w:bottom w:val="single" w:sz="4" w:space="0" w:color="auto"/>
            </w:tcBorders>
          </w:tcPr>
          <w:p w14:paraId="68B9662D" w14:textId="77777777" w:rsidR="00842F3C" w:rsidRPr="00BA340B" w:rsidRDefault="00842F3C" w:rsidP="00283214">
            <w:pPr>
              <w:pStyle w:val="TableSpanner"/>
            </w:pPr>
            <w:r w:rsidRPr="00BA340B">
              <w:t>Radioactivity</w:t>
            </w:r>
          </w:p>
        </w:tc>
      </w:tr>
      <w:tr w:rsidR="00842F3C" w:rsidRPr="00BA340B" w14:paraId="110D45A3" w14:textId="77777777" w:rsidTr="00283214">
        <w:tc>
          <w:tcPr>
            <w:tcW w:w="4015" w:type="dxa"/>
          </w:tcPr>
          <w:p w14:paraId="1302332A" w14:textId="77777777" w:rsidR="00842F3C" w:rsidRPr="00BA340B" w:rsidRDefault="00842F3C" w:rsidP="00842F3C">
            <w:pPr>
              <w:pStyle w:val="TableCellBody"/>
            </w:pPr>
            <w:proofErr w:type="gramStart"/>
            <w:r w:rsidRPr="00BA340B">
              <w:t>picocurie</w:t>
            </w:r>
            <w:proofErr w:type="gramEnd"/>
            <w:r w:rsidRPr="00BA340B">
              <w:t xml:space="preserve"> per liter (</w:t>
            </w:r>
            <w:proofErr w:type="spellStart"/>
            <w:r w:rsidRPr="00BA340B">
              <w:t>pCi</w:t>
            </w:r>
            <w:proofErr w:type="spellEnd"/>
            <w:r w:rsidRPr="00BA340B">
              <w:t>/L)</w:t>
            </w:r>
          </w:p>
        </w:tc>
        <w:tc>
          <w:tcPr>
            <w:tcW w:w="1295" w:type="dxa"/>
          </w:tcPr>
          <w:p w14:paraId="56719A30" w14:textId="77777777" w:rsidR="00842F3C" w:rsidRPr="00BA340B" w:rsidRDefault="00842F3C" w:rsidP="00842F3C">
            <w:pPr>
              <w:pStyle w:val="TableCellDecAlign"/>
            </w:pPr>
            <w:r w:rsidRPr="00BA340B">
              <w:t>0.037</w:t>
            </w:r>
          </w:p>
        </w:tc>
        <w:tc>
          <w:tcPr>
            <w:tcW w:w="4266" w:type="dxa"/>
          </w:tcPr>
          <w:p w14:paraId="5F350BA9" w14:textId="77777777" w:rsidR="00842F3C" w:rsidRPr="00BA340B" w:rsidRDefault="00842F3C" w:rsidP="00842F3C">
            <w:pPr>
              <w:pStyle w:val="TableCellBody"/>
            </w:pPr>
            <w:proofErr w:type="spellStart"/>
            <w:proofErr w:type="gramStart"/>
            <w:r w:rsidRPr="00BA340B">
              <w:t>becquerel</w:t>
            </w:r>
            <w:proofErr w:type="spellEnd"/>
            <w:proofErr w:type="gramEnd"/>
            <w:r w:rsidRPr="00BA340B">
              <w:t xml:space="preserve"> per liter (</w:t>
            </w:r>
            <w:proofErr w:type="spellStart"/>
            <w:r w:rsidRPr="00BA340B">
              <w:t>Bq</w:t>
            </w:r>
            <w:proofErr w:type="spellEnd"/>
            <w:r w:rsidRPr="00BA340B">
              <w:t xml:space="preserve">/L) </w:t>
            </w:r>
          </w:p>
        </w:tc>
      </w:tr>
      <w:tr w:rsidR="00842F3C" w:rsidRPr="00BA340B" w14:paraId="26D6CCEB" w14:textId="77777777" w:rsidTr="00283214">
        <w:tc>
          <w:tcPr>
            <w:tcW w:w="9576" w:type="dxa"/>
            <w:gridSpan w:val="3"/>
            <w:tcBorders>
              <w:bottom w:val="single" w:sz="4" w:space="0" w:color="auto"/>
            </w:tcBorders>
          </w:tcPr>
          <w:p w14:paraId="45353FA1" w14:textId="77777777" w:rsidR="00842F3C" w:rsidRPr="00BA340B" w:rsidRDefault="00842F3C" w:rsidP="00283214">
            <w:pPr>
              <w:pStyle w:val="TableSpanner"/>
            </w:pPr>
            <w:r w:rsidRPr="00BA340B">
              <w:t>Specific capacity</w:t>
            </w:r>
          </w:p>
        </w:tc>
      </w:tr>
      <w:tr w:rsidR="00842F3C" w:rsidRPr="00BA340B" w14:paraId="51B38E77" w14:textId="77777777" w:rsidTr="00283214">
        <w:tc>
          <w:tcPr>
            <w:tcW w:w="4015" w:type="dxa"/>
          </w:tcPr>
          <w:p w14:paraId="19802D83" w14:textId="77777777" w:rsidR="00842F3C" w:rsidRPr="00BA340B" w:rsidRDefault="00842F3C" w:rsidP="00842F3C">
            <w:pPr>
              <w:pStyle w:val="TableCellBody"/>
            </w:pPr>
            <w:proofErr w:type="gramStart"/>
            <w:r w:rsidRPr="00BA340B">
              <w:t>gallon</w:t>
            </w:r>
            <w:proofErr w:type="gramEnd"/>
            <w:r w:rsidRPr="00BA340B">
              <w:t xml:space="preserve"> per minute per foot ([gal/min]/</w:t>
            </w:r>
            <w:proofErr w:type="spellStart"/>
            <w:r w:rsidRPr="00BA340B">
              <w:t>ft</w:t>
            </w:r>
            <w:proofErr w:type="spellEnd"/>
            <w:r w:rsidRPr="00BA340B">
              <w:t>)</w:t>
            </w:r>
          </w:p>
        </w:tc>
        <w:tc>
          <w:tcPr>
            <w:tcW w:w="1295" w:type="dxa"/>
          </w:tcPr>
          <w:p w14:paraId="655EC1C5" w14:textId="77777777" w:rsidR="00842F3C" w:rsidRPr="00BA340B" w:rsidRDefault="00842F3C" w:rsidP="00842F3C">
            <w:pPr>
              <w:pStyle w:val="TableCellDecAlign"/>
            </w:pPr>
            <w:r w:rsidRPr="00BA340B">
              <w:t>0.2070</w:t>
            </w:r>
          </w:p>
        </w:tc>
        <w:tc>
          <w:tcPr>
            <w:tcW w:w="4266" w:type="dxa"/>
          </w:tcPr>
          <w:p w14:paraId="7F3C91D5" w14:textId="77777777" w:rsidR="00842F3C" w:rsidRPr="00BA340B" w:rsidRDefault="00842F3C" w:rsidP="00842F3C">
            <w:pPr>
              <w:pStyle w:val="TableCellBody"/>
            </w:pPr>
            <w:proofErr w:type="gramStart"/>
            <w:r w:rsidRPr="00BA340B">
              <w:t>liter</w:t>
            </w:r>
            <w:proofErr w:type="gramEnd"/>
            <w:r w:rsidRPr="00BA340B">
              <w:t xml:space="preserve"> per second per meter ([L/s]/m)</w:t>
            </w:r>
          </w:p>
        </w:tc>
      </w:tr>
      <w:tr w:rsidR="00842F3C" w:rsidRPr="00BA340B" w14:paraId="2C8683A0" w14:textId="77777777" w:rsidTr="00283214">
        <w:tc>
          <w:tcPr>
            <w:tcW w:w="9576" w:type="dxa"/>
            <w:gridSpan w:val="3"/>
            <w:tcBorders>
              <w:bottom w:val="single" w:sz="4" w:space="0" w:color="auto"/>
            </w:tcBorders>
          </w:tcPr>
          <w:p w14:paraId="706D4F42" w14:textId="77777777" w:rsidR="00842F3C" w:rsidRPr="00BA340B" w:rsidRDefault="00842F3C" w:rsidP="00283214">
            <w:pPr>
              <w:pStyle w:val="TableSpanner"/>
            </w:pPr>
            <w:r w:rsidRPr="00BA340B">
              <w:t>Hydraulic conductivity</w:t>
            </w:r>
          </w:p>
        </w:tc>
      </w:tr>
      <w:tr w:rsidR="00842F3C" w:rsidRPr="00BA340B" w14:paraId="32664A6D" w14:textId="77777777" w:rsidTr="00283214">
        <w:tc>
          <w:tcPr>
            <w:tcW w:w="4015" w:type="dxa"/>
          </w:tcPr>
          <w:p w14:paraId="3F745349" w14:textId="77777777" w:rsidR="00842F3C" w:rsidRPr="00BA340B" w:rsidRDefault="00842F3C" w:rsidP="00842F3C">
            <w:pPr>
              <w:pStyle w:val="TableCellBody"/>
            </w:pPr>
            <w:proofErr w:type="gramStart"/>
            <w:r w:rsidRPr="00BA340B">
              <w:t>foot</w:t>
            </w:r>
            <w:proofErr w:type="gramEnd"/>
            <w:r w:rsidRPr="00BA340B">
              <w:t xml:space="preserve"> per day (</w:t>
            </w:r>
            <w:proofErr w:type="spellStart"/>
            <w:r w:rsidRPr="00BA340B">
              <w:t>ft</w:t>
            </w:r>
            <w:proofErr w:type="spellEnd"/>
            <w:r w:rsidRPr="00BA340B">
              <w:t>/d)</w:t>
            </w:r>
          </w:p>
        </w:tc>
        <w:tc>
          <w:tcPr>
            <w:tcW w:w="1295" w:type="dxa"/>
          </w:tcPr>
          <w:p w14:paraId="6CAC0044" w14:textId="77777777" w:rsidR="00842F3C" w:rsidRPr="00BA340B" w:rsidRDefault="00842F3C" w:rsidP="00842F3C">
            <w:pPr>
              <w:pStyle w:val="TableCellDecAlign"/>
            </w:pPr>
            <w:r w:rsidRPr="00BA340B">
              <w:t>0.3048</w:t>
            </w:r>
          </w:p>
        </w:tc>
        <w:tc>
          <w:tcPr>
            <w:tcW w:w="4266" w:type="dxa"/>
          </w:tcPr>
          <w:p w14:paraId="1D932E5C" w14:textId="77777777" w:rsidR="00842F3C" w:rsidRPr="00BA340B" w:rsidRDefault="00842F3C" w:rsidP="00842F3C">
            <w:pPr>
              <w:pStyle w:val="TableCellBody"/>
            </w:pPr>
            <w:proofErr w:type="gramStart"/>
            <w:r w:rsidRPr="00BA340B">
              <w:t>meter</w:t>
            </w:r>
            <w:proofErr w:type="gramEnd"/>
            <w:r w:rsidRPr="00BA340B">
              <w:t xml:space="preserve"> per day (m/d)</w:t>
            </w:r>
          </w:p>
        </w:tc>
      </w:tr>
      <w:tr w:rsidR="00842F3C" w:rsidRPr="00BA340B" w14:paraId="159E3322" w14:textId="77777777" w:rsidTr="00283214">
        <w:tc>
          <w:tcPr>
            <w:tcW w:w="9576" w:type="dxa"/>
            <w:gridSpan w:val="3"/>
            <w:tcBorders>
              <w:bottom w:val="single" w:sz="4" w:space="0" w:color="auto"/>
            </w:tcBorders>
          </w:tcPr>
          <w:p w14:paraId="19420A9F" w14:textId="77777777" w:rsidR="00842F3C" w:rsidRPr="00BA340B" w:rsidRDefault="00842F3C" w:rsidP="00283214">
            <w:pPr>
              <w:pStyle w:val="TableSpanner"/>
            </w:pPr>
            <w:r w:rsidRPr="00BA340B">
              <w:t>Hydraulic gradient</w:t>
            </w:r>
          </w:p>
        </w:tc>
      </w:tr>
      <w:tr w:rsidR="00842F3C" w:rsidRPr="00BA340B" w14:paraId="521D7113" w14:textId="77777777" w:rsidTr="00283214">
        <w:tc>
          <w:tcPr>
            <w:tcW w:w="4015" w:type="dxa"/>
          </w:tcPr>
          <w:p w14:paraId="711C49C2" w14:textId="77777777" w:rsidR="00842F3C" w:rsidRPr="00BA340B" w:rsidRDefault="00842F3C" w:rsidP="00842F3C">
            <w:pPr>
              <w:pStyle w:val="TableCellBody"/>
            </w:pPr>
            <w:proofErr w:type="gramStart"/>
            <w:r w:rsidRPr="00BA340B">
              <w:t>foot</w:t>
            </w:r>
            <w:proofErr w:type="gramEnd"/>
            <w:r w:rsidRPr="00BA340B">
              <w:t xml:space="preserve"> per mile (</w:t>
            </w:r>
            <w:proofErr w:type="spellStart"/>
            <w:r w:rsidRPr="00BA340B">
              <w:t>ft</w:t>
            </w:r>
            <w:proofErr w:type="spellEnd"/>
            <w:r w:rsidRPr="00BA340B">
              <w:t>/mi)</w:t>
            </w:r>
          </w:p>
        </w:tc>
        <w:tc>
          <w:tcPr>
            <w:tcW w:w="1295" w:type="dxa"/>
          </w:tcPr>
          <w:p w14:paraId="65469055" w14:textId="77777777" w:rsidR="00842F3C" w:rsidRPr="00BA340B" w:rsidRDefault="00842F3C" w:rsidP="00842F3C">
            <w:pPr>
              <w:pStyle w:val="TableCellDecAlign"/>
            </w:pPr>
            <w:r w:rsidRPr="00BA340B">
              <w:t>0.1894</w:t>
            </w:r>
          </w:p>
        </w:tc>
        <w:tc>
          <w:tcPr>
            <w:tcW w:w="4266" w:type="dxa"/>
          </w:tcPr>
          <w:p w14:paraId="5F1C0CA1" w14:textId="77777777" w:rsidR="00842F3C" w:rsidRPr="00BA340B" w:rsidRDefault="00842F3C" w:rsidP="00842F3C">
            <w:pPr>
              <w:pStyle w:val="TableCellBody"/>
            </w:pPr>
            <w:proofErr w:type="gramStart"/>
            <w:r w:rsidRPr="00BA340B">
              <w:t>meter</w:t>
            </w:r>
            <w:proofErr w:type="gramEnd"/>
            <w:r w:rsidRPr="00BA340B">
              <w:t xml:space="preserve"> per kilometer (m/km)</w:t>
            </w:r>
          </w:p>
        </w:tc>
      </w:tr>
      <w:tr w:rsidR="00842F3C" w:rsidRPr="00BA340B" w14:paraId="4C7703CB" w14:textId="77777777" w:rsidTr="00283214">
        <w:tc>
          <w:tcPr>
            <w:tcW w:w="9576" w:type="dxa"/>
            <w:gridSpan w:val="3"/>
            <w:tcBorders>
              <w:bottom w:val="single" w:sz="4" w:space="0" w:color="auto"/>
            </w:tcBorders>
          </w:tcPr>
          <w:p w14:paraId="4E87D804" w14:textId="77777777" w:rsidR="00842F3C" w:rsidRPr="00BA340B" w:rsidRDefault="00842F3C" w:rsidP="00283214">
            <w:pPr>
              <w:pStyle w:val="TableSpanner"/>
            </w:pPr>
            <w:r w:rsidRPr="00BA340B">
              <w:t>Transmissivity</w:t>
            </w:r>
          </w:p>
        </w:tc>
      </w:tr>
      <w:tr w:rsidR="00842F3C" w:rsidRPr="00BA340B" w14:paraId="7468AD96" w14:textId="77777777" w:rsidTr="00283214">
        <w:tc>
          <w:tcPr>
            <w:tcW w:w="4015" w:type="dxa"/>
          </w:tcPr>
          <w:p w14:paraId="0CD963A2" w14:textId="77777777" w:rsidR="00842F3C" w:rsidRPr="00BA340B" w:rsidRDefault="00842F3C" w:rsidP="00842F3C">
            <w:pPr>
              <w:pStyle w:val="TableCellBody"/>
            </w:pPr>
            <w:proofErr w:type="gramStart"/>
            <w:r w:rsidRPr="00BA340B">
              <w:t>foot</w:t>
            </w:r>
            <w:proofErr w:type="gramEnd"/>
            <w:r w:rsidRPr="00BA340B">
              <w:t xml:space="preserve"> squared per day (ft</w:t>
            </w:r>
            <w:r w:rsidRPr="00BA340B">
              <w:rPr>
                <w:rStyle w:val="Superscript"/>
              </w:rPr>
              <w:t>2</w:t>
            </w:r>
            <w:r w:rsidRPr="00BA340B">
              <w:t>/d)</w:t>
            </w:r>
          </w:p>
        </w:tc>
        <w:tc>
          <w:tcPr>
            <w:tcW w:w="1295" w:type="dxa"/>
          </w:tcPr>
          <w:p w14:paraId="0ACFEC03" w14:textId="77777777" w:rsidR="00842F3C" w:rsidRPr="00BA340B" w:rsidRDefault="00842F3C" w:rsidP="00842F3C">
            <w:pPr>
              <w:pStyle w:val="TableCellDecAlign"/>
            </w:pPr>
            <w:r w:rsidRPr="00BA340B">
              <w:t>0.09290</w:t>
            </w:r>
          </w:p>
        </w:tc>
        <w:tc>
          <w:tcPr>
            <w:tcW w:w="4266" w:type="dxa"/>
          </w:tcPr>
          <w:p w14:paraId="659DDE5E" w14:textId="77777777" w:rsidR="00842F3C" w:rsidRPr="00BA340B" w:rsidRDefault="00842F3C" w:rsidP="00842F3C">
            <w:pPr>
              <w:pStyle w:val="TableCellBody"/>
            </w:pPr>
            <w:proofErr w:type="gramStart"/>
            <w:r w:rsidRPr="00BA340B">
              <w:t>meter</w:t>
            </w:r>
            <w:proofErr w:type="gramEnd"/>
            <w:r w:rsidRPr="00BA340B">
              <w:t xml:space="preserve"> squared per day (m</w:t>
            </w:r>
            <w:r w:rsidRPr="00BA340B">
              <w:rPr>
                <w:rStyle w:val="Superscript"/>
              </w:rPr>
              <w:t>2</w:t>
            </w:r>
            <w:r w:rsidRPr="00BA340B">
              <w:t xml:space="preserve">/d) </w:t>
            </w:r>
          </w:p>
        </w:tc>
      </w:tr>
      <w:tr w:rsidR="00842F3C" w:rsidRPr="00BA340B" w14:paraId="7C156526" w14:textId="77777777" w:rsidTr="00283214">
        <w:tc>
          <w:tcPr>
            <w:tcW w:w="9576" w:type="dxa"/>
            <w:gridSpan w:val="3"/>
            <w:tcBorders>
              <w:bottom w:val="single" w:sz="4" w:space="0" w:color="auto"/>
            </w:tcBorders>
          </w:tcPr>
          <w:p w14:paraId="6ED853D8" w14:textId="77777777" w:rsidR="00842F3C" w:rsidRPr="00BA340B" w:rsidRDefault="00842F3C" w:rsidP="00283214">
            <w:pPr>
              <w:pStyle w:val="TableSpanner"/>
            </w:pPr>
            <w:r w:rsidRPr="00BA340B">
              <w:t>Application rate</w:t>
            </w:r>
          </w:p>
        </w:tc>
      </w:tr>
      <w:tr w:rsidR="00842F3C" w:rsidRPr="00BA340B" w14:paraId="77144011" w14:textId="77777777" w:rsidTr="00283214">
        <w:tc>
          <w:tcPr>
            <w:tcW w:w="4015" w:type="dxa"/>
          </w:tcPr>
          <w:p w14:paraId="5BD6615B" w14:textId="77777777" w:rsidR="00842F3C" w:rsidRPr="00BA340B" w:rsidRDefault="00842F3C" w:rsidP="00842F3C">
            <w:pPr>
              <w:pStyle w:val="TableCellBody"/>
            </w:pPr>
            <w:proofErr w:type="gramStart"/>
            <w:r w:rsidRPr="00BA340B">
              <w:t>pounds</w:t>
            </w:r>
            <w:proofErr w:type="gramEnd"/>
            <w:r w:rsidRPr="00BA340B">
              <w:t xml:space="preserve"> per acre per year ([</w:t>
            </w:r>
            <w:proofErr w:type="spellStart"/>
            <w:r w:rsidRPr="00BA340B">
              <w:t>lb</w:t>
            </w:r>
            <w:proofErr w:type="spellEnd"/>
            <w:r w:rsidRPr="00BA340B">
              <w:t>/acre]/</w:t>
            </w:r>
            <w:proofErr w:type="spellStart"/>
            <w:r w:rsidRPr="00BA340B">
              <w:t>yr</w:t>
            </w:r>
            <w:proofErr w:type="spellEnd"/>
            <w:r w:rsidRPr="00BA340B">
              <w:t>)</w:t>
            </w:r>
          </w:p>
        </w:tc>
        <w:tc>
          <w:tcPr>
            <w:tcW w:w="1295" w:type="dxa"/>
          </w:tcPr>
          <w:p w14:paraId="4A61D851" w14:textId="77777777" w:rsidR="00842F3C" w:rsidRPr="00BA340B" w:rsidRDefault="00842F3C" w:rsidP="00842F3C">
            <w:pPr>
              <w:pStyle w:val="TableCellDecAlign"/>
            </w:pPr>
            <w:r w:rsidRPr="00BA340B">
              <w:t>1.121</w:t>
            </w:r>
          </w:p>
        </w:tc>
        <w:tc>
          <w:tcPr>
            <w:tcW w:w="4266" w:type="dxa"/>
          </w:tcPr>
          <w:p w14:paraId="26B489B9" w14:textId="77777777" w:rsidR="00842F3C" w:rsidRPr="00BA340B" w:rsidRDefault="00842F3C" w:rsidP="00842F3C">
            <w:pPr>
              <w:pStyle w:val="TableCellBody"/>
            </w:pPr>
            <w:proofErr w:type="gramStart"/>
            <w:r w:rsidRPr="00BA340B">
              <w:t>kilograms</w:t>
            </w:r>
            <w:proofErr w:type="gramEnd"/>
            <w:r w:rsidRPr="00BA340B">
              <w:t xml:space="preserve"> per hectare per year ([kg/ha]/</w:t>
            </w:r>
            <w:proofErr w:type="spellStart"/>
            <w:r w:rsidRPr="00BA340B">
              <w:t>yr</w:t>
            </w:r>
            <w:proofErr w:type="spellEnd"/>
            <w:r w:rsidRPr="00BA340B">
              <w:t>)</w:t>
            </w:r>
          </w:p>
        </w:tc>
      </w:tr>
      <w:tr w:rsidR="00842F3C" w:rsidRPr="00BA340B" w14:paraId="6EBE2D6E" w14:textId="77777777" w:rsidTr="00283214">
        <w:tc>
          <w:tcPr>
            <w:tcW w:w="9576" w:type="dxa"/>
            <w:gridSpan w:val="3"/>
            <w:tcBorders>
              <w:bottom w:val="single" w:sz="4" w:space="0" w:color="auto"/>
            </w:tcBorders>
          </w:tcPr>
          <w:p w14:paraId="5EEABF6A" w14:textId="77777777" w:rsidR="00842F3C" w:rsidRPr="00BA340B" w:rsidRDefault="00842F3C" w:rsidP="00283214">
            <w:pPr>
              <w:pStyle w:val="TableSpanner"/>
            </w:pPr>
            <w:proofErr w:type="spellStart"/>
            <w:r w:rsidRPr="00BA340B">
              <w:t>Leakance</w:t>
            </w:r>
            <w:proofErr w:type="spellEnd"/>
          </w:p>
        </w:tc>
      </w:tr>
      <w:tr w:rsidR="00842F3C" w:rsidRPr="00BA340B" w14:paraId="3273B283" w14:textId="77777777" w:rsidTr="00283214">
        <w:tc>
          <w:tcPr>
            <w:tcW w:w="4015" w:type="dxa"/>
            <w:tcBorders>
              <w:bottom w:val="nil"/>
            </w:tcBorders>
          </w:tcPr>
          <w:p w14:paraId="10E1D2B2" w14:textId="77777777" w:rsidR="00842F3C" w:rsidRPr="00BA340B" w:rsidRDefault="00842F3C" w:rsidP="00842F3C">
            <w:pPr>
              <w:pStyle w:val="TableCellBody"/>
            </w:pPr>
            <w:proofErr w:type="gramStart"/>
            <w:r w:rsidRPr="00BA340B">
              <w:t>foot</w:t>
            </w:r>
            <w:proofErr w:type="gramEnd"/>
            <w:r w:rsidRPr="00BA340B">
              <w:t xml:space="preserve"> per day per foot ([</w:t>
            </w:r>
            <w:proofErr w:type="spellStart"/>
            <w:r w:rsidRPr="00BA340B">
              <w:t>ft</w:t>
            </w:r>
            <w:proofErr w:type="spellEnd"/>
            <w:r w:rsidRPr="00BA340B">
              <w:t>/d]/</w:t>
            </w:r>
            <w:proofErr w:type="spellStart"/>
            <w:r w:rsidRPr="00BA340B">
              <w:t>ft</w:t>
            </w:r>
            <w:proofErr w:type="spellEnd"/>
            <w:r w:rsidRPr="00BA340B">
              <w:t>)</w:t>
            </w:r>
          </w:p>
        </w:tc>
        <w:tc>
          <w:tcPr>
            <w:tcW w:w="1295" w:type="dxa"/>
            <w:tcBorders>
              <w:bottom w:val="nil"/>
            </w:tcBorders>
          </w:tcPr>
          <w:p w14:paraId="425CA259" w14:textId="77777777" w:rsidR="00842F3C" w:rsidRPr="00BA340B" w:rsidRDefault="00842F3C" w:rsidP="00842F3C">
            <w:pPr>
              <w:pStyle w:val="TableCellDecAlign"/>
            </w:pPr>
            <w:r w:rsidRPr="00BA340B">
              <w:t>1</w:t>
            </w:r>
          </w:p>
        </w:tc>
        <w:tc>
          <w:tcPr>
            <w:tcW w:w="4266" w:type="dxa"/>
            <w:tcBorders>
              <w:bottom w:val="nil"/>
            </w:tcBorders>
          </w:tcPr>
          <w:p w14:paraId="76CD0632" w14:textId="77777777" w:rsidR="00842F3C" w:rsidRPr="00BA340B" w:rsidRDefault="00842F3C" w:rsidP="00842F3C">
            <w:pPr>
              <w:pStyle w:val="TableCellBody"/>
            </w:pPr>
            <w:proofErr w:type="gramStart"/>
            <w:r w:rsidRPr="00BA340B">
              <w:t>meter</w:t>
            </w:r>
            <w:proofErr w:type="gramEnd"/>
            <w:r w:rsidRPr="00BA340B">
              <w:t xml:space="preserve"> per day per meter ([m/d]/m)</w:t>
            </w:r>
          </w:p>
        </w:tc>
      </w:tr>
      <w:tr w:rsidR="00842F3C" w:rsidRPr="00BA340B" w14:paraId="08AF25E7" w14:textId="77777777" w:rsidTr="00283214">
        <w:tc>
          <w:tcPr>
            <w:tcW w:w="4015" w:type="dxa"/>
            <w:tcBorders>
              <w:top w:val="nil"/>
            </w:tcBorders>
          </w:tcPr>
          <w:p w14:paraId="1B94194B" w14:textId="77777777" w:rsidR="00842F3C" w:rsidRPr="00BA340B" w:rsidRDefault="00842F3C" w:rsidP="00842F3C">
            <w:pPr>
              <w:pStyle w:val="TableCellBody"/>
            </w:pPr>
            <w:proofErr w:type="gramStart"/>
            <w:r w:rsidRPr="00BA340B">
              <w:t>inch</w:t>
            </w:r>
            <w:proofErr w:type="gramEnd"/>
            <w:r w:rsidRPr="00BA340B">
              <w:t xml:space="preserve"> per year per foot ([in/</w:t>
            </w:r>
            <w:proofErr w:type="spellStart"/>
            <w:r w:rsidRPr="00BA340B">
              <w:t>yr</w:t>
            </w:r>
            <w:proofErr w:type="spellEnd"/>
            <w:r w:rsidRPr="00BA340B">
              <w:t>]/</w:t>
            </w:r>
            <w:proofErr w:type="spellStart"/>
            <w:r w:rsidRPr="00BA340B">
              <w:t>ft</w:t>
            </w:r>
            <w:proofErr w:type="spellEnd"/>
            <w:r w:rsidRPr="00BA340B">
              <w:t>)</w:t>
            </w:r>
          </w:p>
        </w:tc>
        <w:tc>
          <w:tcPr>
            <w:tcW w:w="1295" w:type="dxa"/>
            <w:tcBorders>
              <w:top w:val="nil"/>
            </w:tcBorders>
          </w:tcPr>
          <w:p w14:paraId="1B9B1396" w14:textId="77777777" w:rsidR="00842F3C" w:rsidRPr="00BA340B" w:rsidRDefault="00842F3C" w:rsidP="00842F3C">
            <w:pPr>
              <w:pStyle w:val="TableCellDecAlign"/>
            </w:pPr>
            <w:r w:rsidRPr="00BA340B">
              <w:t>83.33</w:t>
            </w:r>
          </w:p>
        </w:tc>
        <w:tc>
          <w:tcPr>
            <w:tcW w:w="4266" w:type="dxa"/>
            <w:tcBorders>
              <w:top w:val="nil"/>
            </w:tcBorders>
          </w:tcPr>
          <w:p w14:paraId="274B23F5" w14:textId="77777777" w:rsidR="00842F3C" w:rsidRPr="00BA340B" w:rsidRDefault="00842F3C" w:rsidP="00842F3C">
            <w:pPr>
              <w:pStyle w:val="TableCellBody"/>
            </w:pPr>
            <w:proofErr w:type="gramStart"/>
            <w:r w:rsidRPr="00BA340B">
              <w:t>millimeter</w:t>
            </w:r>
            <w:proofErr w:type="gramEnd"/>
            <w:r w:rsidRPr="00BA340B">
              <w:t xml:space="preserve"> per year per meter ([mm/</w:t>
            </w:r>
            <w:proofErr w:type="spellStart"/>
            <w:r w:rsidRPr="00BA340B">
              <w:t>yr</w:t>
            </w:r>
            <w:proofErr w:type="spellEnd"/>
            <w:r w:rsidRPr="00BA340B">
              <w:t>]/m)</w:t>
            </w:r>
          </w:p>
        </w:tc>
      </w:tr>
    </w:tbl>
    <w:p w14:paraId="424DD5BA" w14:textId="77777777" w:rsidR="00C533FF" w:rsidRDefault="00A62575" w:rsidP="00A62575">
      <w:pPr>
        <w:pStyle w:val="ConvFactorBody"/>
      </w:pPr>
      <w:bookmarkStart w:id="8" w:name="_Toc55017425"/>
      <w:bookmarkStart w:id="9" w:name="_Toc55964224"/>
      <w:bookmarkStart w:id="10" w:name="_Toc59000058"/>
      <w:bookmarkStart w:id="11" w:name="_Toc59001233"/>
      <w:r>
        <w:t>Temperature in degrees Celsius (°C) may be converted to degrees Fahrenheit (°F) as</w:t>
      </w:r>
      <w:r w:rsidR="00C533FF">
        <w:t xml:space="preserve"> follows:</w:t>
      </w:r>
    </w:p>
    <w:p w14:paraId="3F0D0CFF" w14:textId="77777777" w:rsidR="00A62575" w:rsidRDefault="00C533FF" w:rsidP="00C533FF">
      <w:pPr>
        <w:pStyle w:val="ConvFactorEq"/>
      </w:pPr>
      <w:r>
        <w:tab/>
      </w:r>
      <w:r w:rsidR="00A62575">
        <w:t>°F</w:t>
      </w:r>
      <w:r w:rsidR="00CD6B5D">
        <w:t xml:space="preserve"> </w:t>
      </w:r>
      <w:r w:rsidR="00A62575">
        <w:t>=</w:t>
      </w:r>
      <w:r w:rsidR="00CD6B5D">
        <w:t xml:space="preserve"> </w:t>
      </w:r>
      <w:r w:rsidR="00A62575">
        <w:t>(1.8</w:t>
      </w:r>
      <w:r w:rsidR="00CD6B5D">
        <w:t xml:space="preserve"> </w:t>
      </w:r>
      <w:r w:rsidR="00A62575">
        <w:t>×</w:t>
      </w:r>
      <w:r w:rsidR="00CD6B5D">
        <w:t xml:space="preserve"> </w:t>
      </w:r>
      <w:r w:rsidR="00A62575">
        <w:t>°C)</w:t>
      </w:r>
      <w:r w:rsidR="00CD6B5D">
        <w:t xml:space="preserve"> </w:t>
      </w:r>
      <w:r w:rsidR="00A62575">
        <w:t>+</w:t>
      </w:r>
      <w:r w:rsidR="00CD6B5D">
        <w:t xml:space="preserve"> </w:t>
      </w:r>
      <w:r w:rsidR="00A62575">
        <w:t>32.</w:t>
      </w:r>
    </w:p>
    <w:p w14:paraId="72B876F7" w14:textId="77777777" w:rsidR="00C533FF" w:rsidRDefault="00A62575" w:rsidP="00A62575">
      <w:pPr>
        <w:pStyle w:val="ConvFactorBody"/>
      </w:pPr>
      <w:r>
        <w:t xml:space="preserve">Temperature in degrees Fahrenheit (°F) may be converted to degrees Celsius (°C) as </w:t>
      </w:r>
      <w:r w:rsidR="00C533FF">
        <w:t>follows:</w:t>
      </w:r>
    </w:p>
    <w:p w14:paraId="29B8C3E3" w14:textId="77777777" w:rsidR="00A62575" w:rsidRDefault="00C533FF" w:rsidP="00C533FF">
      <w:pPr>
        <w:pStyle w:val="ConvFactorEq"/>
      </w:pPr>
      <w:r>
        <w:tab/>
      </w:r>
      <w:r w:rsidR="00A62575">
        <w:t>°C</w:t>
      </w:r>
      <w:r w:rsidR="00CD6B5D">
        <w:t xml:space="preserve"> </w:t>
      </w:r>
      <w:r w:rsidR="00A62575">
        <w:t>=</w:t>
      </w:r>
      <w:r w:rsidR="00CD6B5D">
        <w:t xml:space="preserve"> </w:t>
      </w:r>
      <w:r w:rsidR="00A62575">
        <w:t>(°F</w:t>
      </w:r>
      <w:r w:rsidR="00CD6B5D">
        <w:t xml:space="preserve"> </w:t>
      </w:r>
      <w:r w:rsidR="00A62575">
        <w:t>–</w:t>
      </w:r>
      <w:r w:rsidR="00CD6B5D">
        <w:t xml:space="preserve"> </w:t>
      </w:r>
      <w:r w:rsidR="00A62575">
        <w:t>32)</w:t>
      </w:r>
      <w:r w:rsidR="00CD6B5D">
        <w:t xml:space="preserve"> </w:t>
      </w:r>
      <w:r w:rsidR="00A62575">
        <w:t>/</w:t>
      </w:r>
      <w:r w:rsidR="00CD6B5D">
        <w:t xml:space="preserve"> </w:t>
      </w:r>
      <w:r w:rsidR="00A62575">
        <w:t>1.8.</w:t>
      </w:r>
    </w:p>
    <w:p w14:paraId="303FB382" w14:textId="77777777" w:rsidR="002C09AF" w:rsidRDefault="002C09AF" w:rsidP="009A1854">
      <w:pPr>
        <w:pStyle w:val="TOCHeading1"/>
      </w:pPr>
      <w:r>
        <w:lastRenderedPageBreak/>
        <w:t>Datum</w:t>
      </w:r>
    </w:p>
    <w:p w14:paraId="16D6461D" w14:textId="77777777" w:rsidR="002C09AF" w:rsidRDefault="002C09AF" w:rsidP="002C09AF">
      <w:pPr>
        <w:pStyle w:val="ConvFactorBody"/>
      </w:pPr>
      <w:r>
        <w:t>Vertical coordinate information is referenced to the [insert datum name (and abbreviation) here</w:t>
      </w:r>
      <w:r w:rsidR="00872DD3">
        <w:t>;</w:t>
      </w:r>
      <w:r>
        <w:t xml:space="preserve"> for example, North American Vertical Datum of 1988 (NAVD 88)].</w:t>
      </w:r>
    </w:p>
    <w:p w14:paraId="354C8FBE" w14:textId="77777777" w:rsidR="002C09AF" w:rsidRDefault="002C09AF" w:rsidP="002C09AF">
      <w:pPr>
        <w:pStyle w:val="ConvFactorBody"/>
      </w:pPr>
      <w:r>
        <w:t>Horizontal coordinate information is referenced to the [insert datum name (and abbreviation) here</w:t>
      </w:r>
      <w:r w:rsidR="00872DD3">
        <w:t>;</w:t>
      </w:r>
      <w:r>
        <w:t xml:space="preserve"> for example, North American Datum of 1983 (NAD 83)].</w:t>
      </w:r>
    </w:p>
    <w:p w14:paraId="55333142" w14:textId="77777777" w:rsidR="005A5E9B" w:rsidRDefault="005A5E9B" w:rsidP="005A5E9B">
      <w:pPr>
        <w:pStyle w:val="ConvFactorBody"/>
      </w:pPr>
      <w:r>
        <w:t>Altitude, as used in this report, refers to distance above the vertical datum.</w:t>
      </w:r>
    </w:p>
    <w:p w14:paraId="27F58486" w14:textId="77777777" w:rsidR="005A5E9B" w:rsidRDefault="005A5E9B" w:rsidP="005A5E9B">
      <w:pPr>
        <w:pStyle w:val="TOCHeading1"/>
      </w:pPr>
      <w:r>
        <w:t>Supplemental Information</w:t>
      </w:r>
    </w:p>
    <w:p w14:paraId="10E9D077" w14:textId="77777777" w:rsidR="00CD6B5D" w:rsidRDefault="00CD6B5D" w:rsidP="00CD6B5D">
      <w:pPr>
        <w:pStyle w:val="ConvFactorBody"/>
      </w:pPr>
      <w:r w:rsidRPr="00CD6B5D">
        <w:t xml:space="preserve">Transmissivity: The standard unit for transmissivity is cubic foot per day per square foot times foot of aquifer thickness </w:t>
      </w:r>
      <w:r w:rsidR="00BA3AC6">
        <w:t>([</w:t>
      </w:r>
      <w:r w:rsidRPr="00CD6B5D">
        <w:t>ft</w:t>
      </w:r>
      <w:r w:rsidRPr="00AB6CA0">
        <w:rPr>
          <w:rStyle w:val="Superscript"/>
        </w:rPr>
        <w:t>3</w:t>
      </w:r>
      <w:r w:rsidRPr="00CD6B5D">
        <w:t>/d</w:t>
      </w:r>
      <w:r w:rsidR="00BA3AC6">
        <w:t>]</w:t>
      </w:r>
      <w:r w:rsidRPr="00CD6B5D">
        <w:t>/</w:t>
      </w:r>
      <w:proofErr w:type="gramStart"/>
      <w:r w:rsidRPr="00CD6B5D">
        <w:t>ft</w:t>
      </w:r>
      <w:r w:rsidRPr="00AB6CA0">
        <w:rPr>
          <w:rStyle w:val="Superscript"/>
        </w:rPr>
        <w:t>2</w:t>
      </w:r>
      <w:r w:rsidR="00BA3AC6">
        <w:t>)</w:t>
      </w:r>
      <w:r w:rsidRPr="00CD6B5D">
        <w:t>ft</w:t>
      </w:r>
      <w:proofErr w:type="gramEnd"/>
      <w:r w:rsidRPr="00CD6B5D">
        <w:t>. In this report, the mathematically reduced form, foot squared per day (ft</w:t>
      </w:r>
      <w:r w:rsidRPr="00AB6CA0">
        <w:rPr>
          <w:rStyle w:val="Superscript"/>
        </w:rPr>
        <w:t>2</w:t>
      </w:r>
      <w:r w:rsidRPr="00CD6B5D">
        <w:t>/d), is used for convenience.</w:t>
      </w:r>
    </w:p>
    <w:p w14:paraId="74EF1927" w14:textId="77777777" w:rsidR="00CD6B5D" w:rsidRDefault="00CD6B5D" w:rsidP="00CD6B5D">
      <w:pPr>
        <w:pStyle w:val="ConvFactorBody"/>
      </w:pPr>
      <w:r>
        <w:t>Specific conductance is given in microsiemens per centimeter at 25 degrees Celsius (µS/cm at 25 °C).</w:t>
      </w:r>
    </w:p>
    <w:p w14:paraId="13A4E8A7" w14:textId="77777777" w:rsidR="00CD6B5D" w:rsidRDefault="00CD6B5D" w:rsidP="00CD6B5D">
      <w:pPr>
        <w:pStyle w:val="ConvFactorBody"/>
      </w:pPr>
      <w:r>
        <w:t>Concentrations of chemical constituents in water are given in either milligrams per liter (mg/L) or micrograms per liter (µg/L).</w:t>
      </w:r>
    </w:p>
    <w:p w14:paraId="387E0F55" w14:textId="77777777" w:rsidR="00CD6B5D" w:rsidRDefault="00CD6B5D" w:rsidP="00CD6B5D">
      <w:pPr>
        <w:pStyle w:val="ConvFactorBody"/>
      </w:pPr>
      <w:r>
        <w:t>Activities for radioactive constituents in water are given in picocuries per liter (</w:t>
      </w:r>
      <w:proofErr w:type="spellStart"/>
      <w:r>
        <w:t>pCi</w:t>
      </w:r>
      <w:proofErr w:type="spellEnd"/>
      <w:r>
        <w:t>/L).</w:t>
      </w:r>
    </w:p>
    <w:p w14:paraId="571F005A" w14:textId="77777777" w:rsidR="002C09AF" w:rsidRPr="005929C3" w:rsidRDefault="00CD6B5D" w:rsidP="00CD6B5D">
      <w:pPr>
        <w:pStyle w:val="ConvFactorBody"/>
      </w:pPr>
      <w:r>
        <w:t>Results for measurements of stable isotopes of an element (with symbol E) in water, solids, and dissolved constituents commonly are expressed as the relative difference in the ratio of the number of the less abundant isotope (</w:t>
      </w:r>
      <w:proofErr w:type="spellStart"/>
      <w:r w:rsidRPr="00AB6CA0">
        <w:rPr>
          <w:rStyle w:val="Superscript"/>
        </w:rPr>
        <w:t>i</w:t>
      </w:r>
      <w:r>
        <w:t>E</w:t>
      </w:r>
      <w:proofErr w:type="spellEnd"/>
      <w:r>
        <w:t>) to the number of the more abundant isotope of a sample with respect to a measurement standard.</w:t>
      </w:r>
    </w:p>
    <w:p w14:paraId="5B5D59AE" w14:textId="77777777" w:rsidR="00CD6B5D" w:rsidRPr="005929C3" w:rsidRDefault="00CD6B5D" w:rsidP="00CD6B5D">
      <w:pPr>
        <w:pStyle w:val="ConvFactorBody"/>
      </w:pPr>
      <w:r>
        <w:t xml:space="preserve">Note to USGS users: Use of hectare (ha) </w:t>
      </w:r>
      <w:proofErr w:type="gramStart"/>
      <w:r>
        <w:t>as an alternative name for square hectometer (hm</w:t>
      </w:r>
      <w:r>
        <w:rPr>
          <w:rStyle w:val="Superscript"/>
        </w:rPr>
        <w:t>2</w:t>
      </w:r>
      <w:r>
        <w:t>) is restricted to the measurement of small land or water areas</w:t>
      </w:r>
      <w:proofErr w:type="gramEnd"/>
      <w:r>
        <w:t>. Use of liter (L) as a special name for cubic decimeter (dm</w:t>
      </w:r>
      <w:r>
        <w:rPr>
          <w:rStyle w:val="Superscript"/>
        </w:rPr>
        <w:t>3</w:t>
      </w:r>
      <w:r>
        <w:t xml:space="preserve">) is restricted to the measurement of liquids and gases. No prefix other than </w:t>
      </w:r>
      <w:proofErr w:type="spellStart"/>
      <w:r>
        <w:t>milli</w:t>
      </w:r>
      <w:proofErr w:type="spellEnd"/>
      <w:r>
        <w:t xml:space="preserve"> should be used with liter.</w:t>
      </w:r>
    </w:p>
    <w:p w14:paraId="27465203" w14:textId="77777777" w:rsidR="002C09AF" w:rsidRDefault="002C09AF" w:rsidP="009A1854">
      <w:pPr>
        <w:pStyle w:val="TOCHeading1"/>
      </w:pPr>
      <w:r>
        <w:t>Abbreviations</w:t>
      </w:r>
    </w:p>
    <w:p w14:paraId="4FC502D9" w14:textId="77777777" w:rsidR="002C09AF" w:rsidRDefault="002C09AF" w:rsidP="002C09AF">
      <w:pPr>
        <w:pStyle w:val="ConvFactorBody"/>
      </w:pPr>
      <w:r>
        <w:t>DOD</w:t>
      </w:r>
      <w:r>
        <w:tab/>
        <w:t>U.S. Department of Defense</w:t>
      </w:r>
    </w:p>
    <w:p w14:paraId="540B1CCB" w14:textId="77777777" w:rsidR="002C09AF" w:rsidRDefault="002C09AF" w:rsidP="002C09AF">
      <w:pPr>
        <w:pStyle w:val="ConvFactorBody"/>
      </w:pPr>
      <w:r>
        <w:t>EPA</w:t>
      </w:r>
      <w:r>
        <w:tab/>
        <w:t>U.S. Environmental Protection Agency</w:t>
      </w:r>
    </w:p>
    <w:p w14:paraId="495C690B" w14:textId="77777777" w:rsidR="002C09AF" w:rsidRDefault="002C09AF" w:rsidP="002C09AF">
      <w:pPr>
        <w:pStyle w:val="ConvFactorBody"/>
      </w:pPr>
      <w:proofErr w:type="gramStart"/>
      <w:r>
        <w:t>ppm</w:t>
      </w:r>
      <w:proofErr w:type="gramEnd"/>
      <w:r>
        <w:tab/>
        <w:t>parts per million</w:t>
      </w:r>
    </w:p>
    <w:p w14:paraId="7936A7E7" w14:textId="77777777" w:rsidR="002C09AF" w:rsidRDefault="002C09AF" w:rsidP="002C09AF">
      <w:pPr>
        <w:pStyle w:val="ConvFactorBody"/>
      </w:pPr>
      <w:r>
        <w:t>USGS</w:t>
      </w:r>
      <w:r>
        <w:tab/>
        <w:t>U.S. Geological Survey</w:t>
      </w:r>
    </w:p>
    <w:p w14:paraId="40D4521D" w14:textId="77777777" w:rsidR="002C09AF" w:rsidRPr="00FA20D7" w:rsidRDefault="002C09AF" w:rsidP="002C09AF">
      <w:pPr>
        <w:pStyle w:val="ConvFactorBody"/>
        <w:sectPr w:rsidR="002C09AF" w:rsidRPr="00FA20D7" w:rsidSect="0029519C">
          <w:footerReference w:type="default" r:id="rId18"/>
          <w:pgSz w:w="12240" w:h="15840"/>
          <w:pgMar w:top="1440" w:right="1440" w:bottom="1440" w:left="1440" w:header="720" w:footer="720" w:gutter="0"/>
          <w:pgNumType w:fmt="lowerRoman"/>
          <w:cols w:space="720"/>
          <w:docGrid w:linePitch="360"/>
        </w:sectPr>
      </w:pPr>
    </w:p>
    <w:bookmarkEnd w:id="8"/>
    <w:bookmarkEnd w:id="9"/>
    <w:bookmarkEnd w:id="10"/>
    <w:bookmarkEnd w:id="11"/>
    <w:p w14:paraId="2C5EEC7E" w14:textId="77777777" w:rsidR="00375D94" w:rsidRPr="00DC6924" w:rsidRDefault="006F30A4" w:rsidP="00375D94">
      <w:pPr>
        <w:pStyle w:val="Title"/>
      </w:pPr>
      <w:r>
        <w:lastRenderedPageBreak/>
        <w:t>Groundwater Availability of the Williston Basin, United States and Canada</w:t>
      </w:r>
    </w:p>
    <w:p w14:paraId="50A35BF7" w14:textId="77777777" w:rsidR="00375D94" w:rsidRPr="00C81BD4" w:rsidRDefault="00375D94" w:rsidP="00375D94">
      <w:pPr>
        <w:pStyle w:val="Authors"/>
      </w:pPr>
      <w:r w:rsidRPr="00C81BD4">
        <w:t xml:space="preserve">By Author, Author, and Author </w:t>
      </w:r>
      <w:r w:rsidR="00191F8C">
        <w:t>[</w:t>
      </w:r>
      <w:r w:rsidRPr="00C81BD4">
        <w:t>Authors</w:t>
      </w:r>
      <w:r w:rsidR="00191F8C">
        <w:t>]</w:t>
      </w:r>
    </w:p>
    <w:p w14:paraId="260BE36E" w14:textId="77777777" w:rsidR="00375D94" w:rsidRDefault="003B47FE" w:rsidP="003D4F1B">
      <w:pPr>
        <w:pStyle w:val="Heading1"/>
        <w:autoSpaceDE w:val="0"/>
      </w:pPr>
      <w:bookmarkStart w:id="12" w:name="_Toc477244253"/>
      <w:r>
        <w:t>Executive Summary</w:t>
      </w:r>
      <w:bookmarkEnd w:id="12"/>
    </w:p>
    <w:p w14:paraId="3120BE7D" w14:textId="77777777" w:rsidR="003B47FE" w:rsidRDefault="003B47FE" w:rsidP="000B1087">
      <w:pPr>
        <w:pStyle w:val="BodyText"/>
      </w:pPr>
    </w:p>
    <w:p w14:paraId="50389ED8" w14:textId="77777777" w:rsidR="003B47FE" w:rsidRDefault="003B47FE" w:rsidP="003B47FE">
      <w:pPr>
        <w:pStyle w:val="Heading1"/>
      </w:pPr>
      <w:bookmarkStart w:id="13" w:name="_Toc477244254"/>
      <w:r>
        <w:t>Introduction</w:t>
      </w:r>
      <w:bookmarkEnd w:id="13"/>
    </w:p>
    <w:p w14:paraId="2732B1B7" w14:textId="77777777" w:rsidR="00BB49FC" w:rsidRDefault="00587A8C" w:rsidP="006E0C0A">
      <w:pPr>
        <w:pStyle w:val="BodyText"/>
      </w:pPr>
      <w:bookmarkStart w:id="14" w:name="_Toc59000060"/>
      <w:r>
        <w:t xml:space="preserve">The Williston Basin </w:t>
      </w:r>
      <w:r w:rsidR="003B47FE">
        <w:t>is</w:t>
      </w:r>
      <w:r>
        <w:t xml:space="preserve"> geologically defined </w:t>
      </w:r>
      <w:r w:rsidR="004A7158">
        <w:t>as a sedimentary basin—</w:t>
      </w:r>
      <w:r>
        <w:t>a geologic bowl-like structure filled</w:t>
      </w:r>
      <w:r w:rsidR="00410E9B">
        <w:t xml:space="preserve"> with layered sedimentary rocks. This basin </w:t>
      </w:r>
      <w:r w:rsidR="00AC0120">
        <w:t xml:space="preserve">is as deep as 10,000 feet, consisting </w:t>
      </w:r>
      <w:r w:rsidR="00410E9B">
        <w:t>of</w:t>
      </w:r>
      <w:r w:rsidR="00AC0120">
        <w:t xml:space="preserve"> formations of</w:t>
      </w:r>
      <w:r w:rsidR="00410E9B">
        <w:t xml:space="preserve"> Paleozoic, Mesozoic, and Cenozoic age</w:t>
      </w:r>
      <w:r w:rsidR="00AC0120">
        <w:t xml:space="preserve"> </w:t>
      </w:r>
      <w:r w:rsidR="00410E9B">
        <w:t>that overlie rocks of Precambrian age</w:t>
      </w:r>
      <w:r w:rsidR="006E0C0A">
        <w:t xml:space="preserve"> </w:t>
      </w:r>
      <w:r w:rsidR="00410E9B">
        <w:t xml:space="preserve">(Sandberg, 1962; </w:t>
      </w:r>
      <w:r w:rsidR="006E0C0A" w:rsidRPr="006E0C0A">
        <w:t>Downey</w:t>
      </w:r>
      <w:r w:rsidR="006E0C0A">
        <w:rPr>
          <w:rFonts w:ascii="Univers-Condensed" w:hAnsi="Univers-Condensed" w:cs="Univers-Condensed"/>
          <w:sz w:val="19"/>
          <w:szCs w:val="19"/>
        </w:rPr>
        <w:t xml:space="preserve"> </w:t>
      </w:r>
      <w:r w:rsidR="006E0C0A">
        <w:t xml:space="preserve">and Dinwiddie, 1988; </w:t>
      </w:r>
      <w:r w:rsidR="00410E9B">
        <w:t>Dalton and others, 1990).</w:t>
      </w:r>
      <w:r>
        <w:t xml:space="preserve"> </w:t>
      </w:r>
      <w:r w:rsidR="00A708E7">
        <w:t>T</w:t>
      </w:r>
      <w:r>
        <w:t>he Williston Basin is</w:t>
      </w:r>
      <w:r w:rsidR="003B47FE">
        <w:t xml:space="preserve"> a na</w:t>
      </w:r>
      <w:r w:rsidR="00A708E7">
        <w:t>tionally important area for the production of energy resources, spanning</w:t>
      </w:r>
      <w:r w:rsidR="003B47FE">
        <w:t xml:space="preserve"> Montana, North Dakota, and South Dakota in the United States and Manitoba and Saskatchewan in Canada</w:t>
      </w:r>
      <w:r w:rsidR="004A7158">
        <w:t xml:space="preserve">. </w:t>
      </w:r>
      <w:r w:rsidR="003B47FE">
        <w:t xml:space="preserve">The </w:t>
      </w:r>
      <w:r w:rsidR="006E0C0A">
        <w:t xml:space="preserve">three </w:t>
      </w:r>
      <w:r w:rsidR="003B47FE">
        <w:t>uppermost principal aquifer systems in the Wi</w:t>
      </w:r>
      <w:r w:rsidR="006E0C0A">
        <w:t>lliston Basin—the glacial, lower Tertiary, and Upper Cretaceous aquifers systems—</w:t>
      </w:r>
      <w:r w:rsidR="004A7158">
        <w:t>are the most accessible</w:t>
      </w:r>
      <w:r w:rsidR="003B47FE">
        <w:t xml:space="preserve"> and</w:t>
      </w:r>
      <w:r w:rsidR="004D477D">
        <w:t xml:space="preserve"> the primary source</w:t>
      </w:r>
      <w:r w:rsidR="006E0C0A">
        <w:t>s</w:t>
      </w:r>
      <w:r w:rsidR="004D477D">
        <w:t xml:space="preserve"> of potable groundwater in </w:t>
      </w:r>
      <w:r w:rsidR="006E0C0A">
        <w:t>much of this area</w:t>
      </w:r>
      <w:r w:rsidR="003C490F">
        <w:t xml:space="preserve"> </w:t>
      </w:r>
      <w:r w:rsidR="00DB06D8">
        <w:t>(</w:t>
      </w:r>
      <w:r w:rsidR="00DB06D8">
        <w:rPr>
          <w:color w:val="1F497D" w:themeColor="text2"/>
        </w:rPr>
        <w:fldChar w:fldCharType="begin"/>
      </w:r>
      <w:r w:rsidR="00DB06D8">
        <w:instrText xml:space="preserve"> REF _Ref468786106 \r \h </w:instrText>
      </w:r>
      <w:r w:rsidR="00DB06D8">
        <w:rPr>
          <w:color w:val="1F497D" w:themeColor="text2"/>
        </w:rPr>
      </w:r>
      <w:r w:rsidR="00DB06D8">
        <w:rPr>
          <w:color w:val="1F497D" w:themeColor="text2"/>
        </w:rPr>
        <w:fldChar w:fldCharType="separate"/>
      </w:r>
      <w:r w:rsidR="00866047">
        <w:t>Figure 1</w:t>
      </w:r>
      <w:r w:rsidR="00DB06D8">
        <w:rPr>
          <w:color w:val="1F497D" w:themeColor="text2"/>
        </w:rPr>
        <w:fldChar w:fldCharType="end"/>
      </w:r>
      <w:r w:rsidR="00DB06D8">
        <w:rPr>
          <w:color w:val="1F497D" w:themeColor="text2"/>
        </w:rPr>
        <w:t>)</w:t>
      </w:r>
      <w:r w:rsidR="00DB06D8">
        <w:t xml:space="preserve">. </w:t>
      </w:r>
      <w:r w:rsidR="003C490F">
        <w:t xml:space="preserve">The </w:t>
      </w:r>
      <w:r w:rsidR="003B47FE">
        <w:t>glacial aquifer system</w:t>
      </w:r>
      <w:r w:rsidR="00DB06D8">
        <w:t>, present in the northern and eastern parts of the Williston Basin, is</w:t>
      </w:r>
      <w:r w:rsidR="00DB06D8" w:rsidRPr="00DB06D8">
        <w:t xml:space="preserve"> </w:t>
      </w:r>
      <w:r w:rsidR="00DB06D8">
        <w:t>composed primarily of glacial drift</w:t>
      </w:r>
      <w:r w:rsidR="00F83285">
        <w:t>. The</w:t>
      </w:r>
      <w:r w:rsidR="003B47FE">
        <w:t xml:space="preserve"> lower Tertiary and Upper</w:t>
      </w:r>
      <w:r w:rsidR="00F83285">
        <w:t xml:space="preserve"> Cretaceous aquifer systems, </w:t>
      </w:r>
      <w:r w:rsidR="003B47FE">
        <w:t>present in</w:t>
      </w:r>
      <w:r w:rsidR="00DB06D8">
        <w:t xml:space="preserve"> the central and southern parts of </w:t>
      </w:r>
      <w:r w:rsidR="00DB06D8">
        <w:lastRenderedPageBreak/>
        <w:t>the basin</w:t>
      </w:r>
      <w:r w:rsidR="00F83285">
        <w:t>, are composed of sedimentary rocks including shale, silt, sandstone, and coal</w:t>
      </w:r>
      <w:r w:rsidR="00DB06D8">
        <w:t>.</w:t>
      </w:r>
      <w:r w:rsidR="00F83285">
        <w:t xml:space="preserve"> </w:t>
      </w:r>
      <w:r w:rsidR="0000008B">
        <w:t>In the Williston Basin, t</w:t>
      </w:r>
      <w:r w:rsidR="00F83285">
        <w:t>hese three aquifer system</w:t>
      </w:r>
      <w:r w:rsidR="006E0C0A">
        <w:t>s are as deep as 2,850 feet</w:t>
      </w:r>
      <w:r w:rsidR="00F83285">
        <w:t xml:space="preserve"> below land surface and</w:t>
      </w:r>
      <w:r w:rsidR="003B47FE">
        <w:t xml:space="preserve"> overlie 800</w:t>
      </w:r>
      <w:r w:rsidR="003B47FE" w:rsidRPr="00946333">
        <w:t>–</w:t>
      </w:r>
      <w:r w:rsidR="006E0C0A">
        <w:t>2,000 feet</w:t>
      </w:r>
      <w:r w:rsidR="003B47FE">
        <w:t xml:space="preserve"> of relatively impermeable Upper Cretaceous marine shale that serves as a basal confining unit</w:t>
      </w:r>
      <w:r w:rsidR="00A708E7">
        <w:t xml:space="preserve"> that impedes groundwater flow</w:t>
      </w:r>
      <w:r w:rsidR="003B47FE">
        <w:t xml:space="preserve"> (Anna, 1986; Downey, 1986; Downey and Dinwiddie, 1988</w:t>
      </w:r>
      <w:r w:rsidR="00FE201B">
        <w:t xml:space="preserve">; </w:t>
      </w:r>
      <w:proofErr w:type="spellStart"/>
      <w:r w:rsidR="00FE201B">
        <w:t>Thamke</w:t>
      </w:r>
      <w:proofErr w:type="spellEnd"/>
      <w:r w:rsidR="00FE201B">
        <w:t xml:space="preserve"> and others, 2014</w:t>
      </w:r>
      <w:r w:rsidR="003B47FE">
        <w:t>).</w:t>
      </w:r>
      <w:bookmarkEnd w:id="14"/>
      <w:r w:rsidR="00BB49FC" w:rsidRPr="00BB49FC">
        <w:t xml:space="preserve"> </w:t>
      </w:r>
      <w:r w:rsidR="009F66A4">
        <w:t>This report provides a broad-scale assessment of the complex topic of groundwater availability in the Williston Basin and describes tools that can be applied to help manage this resource.</w:t>
      </w:r>
    </w:p>
    <w:p w14:paraId="5ED88CE0" w14:textId="77777777" w:rsidR="001A4936" w:rsidRDefault="001A4936" w:rsidP="006E0C0A">
      <w:pPr>
        <w:pStyle w:val="BodyText"/>
      </w:pPr>
    </w:p>
    <w:p w14:paraId="34A14D95" w14:textId="77777777" w:rsidR="0044270B" w:rsidRDefault="0044270B" w:rsidP="0044270B">
      <w:pPr>
        <w:pStyle w:val="FigureCaption"/>
      </w:pPr>
      <w:bookmarkStart w:id="15" w:name="_Ref468786106"/>
      <w:bookmarkStart w:id="16" w:name="_Ref476131578"/>
      <w:bookmarkStart w:id="17" w:name="_Toc486491995"/>
      <w:r>
        <w:t xml:space="preserve">General </w:t>
      </w:r>
      <w:r w:rsidRPr="000652E0">
        <w:t>Location</w:t>
      </w:r>
      <w:r w:rsidRPr="0083547F">
        <w:t xml:space="preserve"> of Williston Basin and hydrogeologic unit layers</w:t>
      </w:r>
      <w:bookmarkEnd w:id="15"/>
      <w:r>
        <w:t xml:space="preserve">. Line </w:t>
      </w:r>
      <w:r w:rsidRPr="00623959">
        <w:rPr>
          <w:i/>
        </w:rPr>
        <w:t>B</w:t>
      </w:r>
      <w:r>
        <w:t>-</w:t>
      </w:r>
      <w:r w:rsidRPr="00623959">
        <w:rPr>
          <w:i/>
        </w:rPr>
        <w:t>B</w:t>
      </w:r>
      <w:r>
        <w:t xml:space="preserve">’ is shown in cross-section in </w:t>
      </w:r>
      <w:r>
        <w:fldChar w:fldCharType="begin"/>
      </w:r>
      <w:r>
        <w:instrText xml:space="preserve"> REF _Ref467511820 \r \h </w:instrText>
      </w:r>
      <w:r>
        <w:fldChar w:fldCharType="separate"/>
      </w:r>
      <w:r>
        <w:t>Figure 5</w:t>
      </w:r>
      <w:r>
        <w:fldChar w:fldCharType="end"/>
      </w:r>
      <w:r>
        <w:t xml:space="preserve">. </w:t>
      </w:r>
      <w:proofErr w:type="spellStart"/>
      <w:r>
        <w:t>Hyrogeologic</w:t>
      </w:r>
      <w:proofErr w:type="spellEnd"/>
      <w:r>
        <w:t xml:space="preserve"> units and geologic structures modified from Peterson (1984), Love and Christiansen (1985), and </w:t>
      </w:r>
      <w:proofErr w:type="spellStart"/>
      <w:r>
        <w:t>Thamke</w:t>
      </w:r>
      <w:proofErr w:type="spellEnd"/>
      <w:r>
        <w:t xml:space="preserve"> and others (2014).</w:t>
      </w:r>
      <w:bookmarkEnd w:id="16"/>
      <w:r>
        <w:t xml:space="preserve"> Williston Basin extent from </w:t>
      </w:r>
      <w:proofErr w:type="spellStart"/>
      <w:r>
        <w:t>Hamke</w:t>
      </w:r>
      <w:proofErr w:type="spellEnd"/>
      <w:r>
        <w:t xml:space="preserve"> and others (1966).</w:t>
      </w:r>
      <w:bookmarkEnd w:id="17"/>
      <w:r>
        <w:t xml:space="preserve">  </w:t>
      </w:r>
    </w:p>
    <w:p w14:paraId="2B2A2FA9" w14:textId="77777777" w:rsidR="009D5997" w:rsidRDefault="009D5997" w:rsidP="009D5997">
      <w:pPr>
        <w:pStyle w:val="Heading2"/>
      </w:pPr>
      <w:bookmarkStart w:id="18" w:name="_Toc477244255"/>
      <w:r>
        <w:t>Energy Resources and Water Use</w:t>
      </w:r>
      <w:bookmarkEnd w:id="18"/>
    </w:p>
    <w:p w14:paraId="0C733AC4" w14:textId="77777777" w:rsidR="0049775C" w:rsidRDefault="005F36A6" w:rsidP="0049775C">
      <w:pPr>
        <w:pStyle w:val="BodyText"/>
      </w:pPr>
      <w:r>
        <w:t>The lower Tertiary and Upper Cretaceous aquifer systems</w:t>
      </w:r>
      <w:r w:rsidR="00A708E7">
        <w:t xml:space="preserve"> in the Williston Basin also </w:t>
      </w:r>
      <w:r>
        <w:t xml:space="preserve">extend into the Powder River Basin of Montana and </w:t>
      </w:r>
      <w:r w:rsidR="00A708E7">
        <w:t>Wyoming (</w:t>
      </w:r>
      <w:r w:rsidR="00A708E7">
        <w:fldChar w:fldCharType="begin"/>
      </w:r>
      <w:r w:rsidR="00A708E7">
        <w:instrText xml:space="preserve"> REF _Ref476131578 \r \h </w:instrText>
      </w:r>
      <w:r w:rsidR="00A708E7">
        <w:fldChar w:fldCharType="separate"/>
      </w:r>
      <w:r w:rsidR="00A708E7">
        <w:t>Figure 1</w:t>
      </w:r>
      <w:r w:rsidR="00A708E7">
        <w:fldChar w:fldCharType="end"/>
      </w:r>
      <w:r>
        <w:t xml:space="preserve">). </w:t>
      </w:r>
      <w:r w:rsidR="003B47FE" w:rsidRPr="006E0C0A">
        <w:t>The Northern Great Plains aquifer system</w:t>
      </w:r>
      <w:r w:rsidR="00161C32">
        <w:t>, which consists of all bedrock</w:t>
      </w:r>
      <w:r w:rsidR="007E500D">
        <w:t xml:space="preserve"> aquifers</w:t>
      </w:r>
      <w:r w:rsidR="00161C32">
        <w:t xml:space="preserve"> in that physiographic region, including </w:t>
      </w:r>
      <w:r w:rsidR="007E500D">
        <w:t>the Williston</w:t>
      </w:r>
      <w:r>
        <w:t xml:space="preserve"> </w:t>
      </w:r>
      <w:r w:rsidR="007E500D">
        <w:t>and the Powder River Basin</w:t>
      </w:r>
      <w:r>
        <w:t>s (</w:t>
      </w:r>
      <w:r w:rsidR="007E500D">
        <w:t xml:space="preserve">Whitehead, 1996), </w:t>
      </w:r>
      <w:r w:rsidR="003B47FE" w:rsidRPr="00D2396D">
        <w:t>provides 101 million gallons per day (</w:t>
      </w:r>
      <w:proofErr w:type="spellStart"/>
      <w:r w:rsidR="003B47FE" w:rsidRPr="00D2396D">
        <w:t>Mgal</w:t>
      </w:r>
      <w:proofErr w:type="spellEnd"/>
      <w:r w:rsidR="003B47FE" w:rsidRPr="00D2396D">
        <w:t xml:space="preserve">/day) </w:t>
      </w:r>
      <w:r w:rsidR="003B47FE">
        <w:t xml:space="preserve">of water </w:t>
      </w:r>
      <w:r w:rsidR="003B47FE" w:rsidRPr="00D2396D">
        <w:t xml:space="preserve">to irrigation (66.6 </w:t>
      </w:r>
      <w:proofErr w:type="spellStart"/>
      <w:r w:rsidR="003B47FE" w:rsidRPr="00D2396D">
        <w:t>Mgal</w:t>
      </w:r>
      <w:proofErr w:type="spellEnd"/>
      <w:r w:rsidR="003B47FE" w:rsidRPr="00D2396D">
        <w:t xml:space="preserve">/day), public-supply (33 </w:t>
      </w:r>
      <w:proofErr w:type="spellStart"/>
      <w:r w:rsidR="003B47FE" w:rsidRPr="00D2396D">
        <w:t>Mgal</w:t>
      </w:r>
      <w:proofErr w:type="spellEnd"/>
      <w:r w:rsidR="003B47FE" w:rsidRPr="00D2396D">
        <w:t>/day), and self-supplied industrial</w:t>
      </w:r>
      <w:r w:rsidR="007E500D">
        <w:t xml:space="preserve"> use</w:t>
      </w:r>
      <w:r w:rsidR="003B47FE" w:rsidRPr="00D2396D">
        <w:t xml:space="preserve"> (1.</w:t>
      </w:r>
      <w:r w:rsidR="007E500D">
        <w:t xml:space="preserve">62 </w:t>
      </w:r>
      <w:proofErr w:type="spellStart"/>
      <w:r w:rsidR="007E500D">
        <w:t>Mgal</w:t>
      </w:r>
      <w:proofErr w:type="spellEnd"/>
      <w:r w:rsidR="007E500D">
        <w:t>/day)</w:t>
      </w:r>
      <w:r w:rsidR="003B47FE">
        <w:t xml:space="preserve"> (</w:t>
      </w:r>
      <w:r w:rsidR="003B47FE" w:rsidRPr="00D2396D">
        <w:t>Maupin and Barber, 2005).</w:t>
      </w:r>
      <w:r w:rsidR="003B47FE">
        <w:t xml:space="preserve"> </w:t>
      </w:r>
      <w:r w:rsidR="003B47FE" w:rsidRPr="00D2396D">
        <w:t xml:space="preserve">Most of this water is from the </w:t>
      </w:r>
      <w:r w:rsidR="003B47FE">
        <w:t>lower Tertiary and Upper Cretaceous</w:t>
      </w:r>
      <w:r w:rsidR="003B47FE" w:rsidRPr="00D2396D">
        <w:t xml:space="preserve"> </w:t>
      </w:r>
      <w:r w:rsidR="003B47FE">
        <w:t>aquifer systems</w:t>
      </w:r>
      <w:r w:rsidR="003B47FE" w:rsidRPr="00D2396D">
        <w:t xml:space="preserve"> (</w:t>
      </w:r>
      <w:proofErr w:type="spellStart"/>
      <w:r w:rsidR="003B47FE" w:rsidRPr="00D2396D">
        <w:t>Wesolowski</w:t>
      </w:r>
      <w:proofErr w:type="spellEnd"/>
      <w:r w:rsidR="003B47FE" w:rsidRPr="00D2396D">
        <w:t>, 1991)</w:t>
      </w:r>
      <w:r w:rsidR="0000008B">
        <w:t xml:space="preserve">. </w:t>
      </w:r>
    </w:p>
    <w:p w14:paraId="3BA238E9" w14:textId="77777777" w:rsidR="009246EF" w:rsidRDefault="00B91D79" w:rsidP="002F074A">
      <w:pPr>
        <w:pStyle w:val="BodyText"/>
      </w:pPr>
      <w:r>
        <w:t>As energy demands</w:t>
      </w:r>
      <w:r w:rsidR="002F074A">
        <w:t xml:space="preserve"> increase</w:t>
      </w:r>
      <w:r>
        <w:t>, ho</w:t>
      </w:r>
      <w:r w:rsidR="000A4CE5">
        <w:t>rizontal drilling and hydraulic-</w:t>
      </w:r>
      <w:r>
        <w:t xml:space="preserve">fracturing methods are applied to access previously inaccessible formations in the Williston Basin, namely the </w:t>
      </w:r>
      <w:r w:rsidRPr="00D2396D">
        <w:t>Bakken and Thr</w:t>
      </w:r>
      <w:r>
        <w:t>ee Forks Formations (</w:t>
      </w:r>
      <w:proofErr w:type="spellStart"/>
      <w:r>
        <w:t>Gaswirth</w:t>
      </w:r>
      <w:proofErr w:type="spellEnd"/>
      <w:r>
        <w:t xml:space="preserve"> and others, 2013</w:t>
      </w:r>
      <w:r w:rsidR="002F074A">
        <w:t>; U.S. Energy Information Administration, 2013</w:t>
      </w:r>
      <w:r>
        <w:t>).</w:t>
      </w:r>
      <w:r w:rsidR="002F074A">
        <w:t xml:space="preserve"> </w:t>
      </w:r>
      <w:r w:rsidR="001371BE">
        <w:t>Although the Williston Basin has yielded a large supply of</w:t>
      </w:r>
      <w:r w:rsidR="001371BE" w:rsidRPr="00D2396D">
        <w:t xml:space="preserve"> domestic oil </w:t>
      </w:r>
      <w:r w:rsidR="001371BE" w:rsidRPr="00D2396D">
        <w:lastRenderedPageBreak/>
        <w:t xml:space="preserve">and natural gas </w:t>
      </w:r>
      <w:r w:rsidR="001371BE">
        <w:t xml:space="preserve">since the 1950s, </w:t>
      </w:r>
      <w:r w:rsidR="004801C0">
        <w:t xml:space="preserve">these </w:t>
      </w:r>
      <w:r w:rsidR="001371BE">
        <w:t>recently developed</w:t>
      </w:r>
      <w:r w:rsidR="004801C0">
        <w:t xml:space="preserve"> technologies require large amounts of freshwater resulting</w:t>
      </w:r>
      <w:r w:rsidR="001371BE">
        <w:t xml:space="preserve"> in</w:t>
      </w:r>
      <w:r w:rsidR="004801C0">
        <w:t xml:space="preserve"> increased demand</w:t>
      </w:r>
      <w:r w:rsidR="001371BE">
        <w:t>, with the largest increases occurring since 2005 (</w:t>
      </w:r>
      <w:proofErr w:type="spellStart"/>
      <w:r w:rsidR="001371BE">
        <w:t>Schuh</w:t>
      </w:r>
      <w:proofErr w:type="spellEnd"/>
      <w:r w:rsidR="001371BE">
        <w:t>, 2010; Anna and others, 2011; Haines and others, 2017)</w:t>
      </w:r>
      <w:r w:rsidR="001371BE" w:rsidRPr="00D2396D">
        <w:t>.</w:t>
      </w:r>
      <w:r w:rsidR="000A4CE5">
        <w:t xml:space="preserve"> </w:t>
      </w:r>
      <w:r w:rsidR="00A5156B">
        <w:t>W</w:t>
      </w:r>
      <w:r w:rsidR="000A4CE5">
        <w:t>ater</w:t>
      </w:r>
      <w:r w:rsidR="000A4CE5" w:rsidRPr="000A4CE5">
        <w:t xml:space="preserve"> use </w:t>
      </w:r>
      <w:r w:rsidR="00A5156B">
        <w:t>for hydraulic-fracturing</w:t>
      </w:r>
      <w:r w:rsidR="00A5156B" w:rsidRPr="000A4CE5">
        <w:t xml:space="preserve"> </w:t>
      </w:r>
      <w:r w:rsidR="000A4CE5" w:rsidRPr="000A4CE5">
        <w:t>per</w:t>
      </w:r>
      <w:r w:rsidR="000A4CE5">
        <w:t xml:space="preserve"> oil well increased by about </w:t>
      </w:r>
      <w:r w:rsidR="000A4CE5" w:rsidRPr="000A4CE5">
        <w:t>6 times from 2005-2014, totaling 24.5 × 10</w:t>
      </w:r>
      <w:r w:rsidR="000A4CE5" w:rsidRPr="000A4CE5">
        <w:rPr>
          <w:vertAlign w:val="superscript"/>
        </w:rPr>
        <w:t>9</w:t>
      </w:r>
      <w:r w:rsidR="000A4CE5">
        <w:t xml:space="preserve"> gallons for about 10,</w:t>
      </w:r>
      <w:r w:rsidR="000A4CE5" w:rsidRPr="000A4CE5">
        <w:t>140 wells</w:t>
      </w:r>
      <w:r w:rsidR="000A4CE5">
        <w:t xml:space="preserve"> (Scanlon and others, 2016)</w:t>
      </w:r>
      <w:r w:rsidR="000A4CE5" w:rsidRPr="000A4CE5">
        <w:t>.</w:t>
      </w:r>
      <w:r w:rsidR="00A5156B">
        <w:t xml:space="preserve"> The increased demand for freshwater resulted in an increase of water pipelines by hundreds of miles and water-permit transfers from irrigation to oil production (Scanlon and others, 2016). </w:t>
      </w:r>
      <w:r w:rsidR="0049775C">
        <w:t>Geologic units of</w:t>
      </w:r>
      <w:r w:rsidR="0049775C" w:rsidRPr="00D2396D">
        <w:t xml:space="preserve"> </w:t>
      </w:r>
      <w:r w:rsidR="0049775C">
        <w:t xml:space="preserve">lower Tertiary and Upper Cretaceous age </w:t>
      </w:r>
      <w:r w:rsidR="0049775C" w:rsidRPr="00D2396D">
        <w:t xml:space="preserve">contain </w:t>
      </w:r>
      <w:r w:rsidR="0049775C">
        <w:t>most of the n</w:t>
      </w:r>
      <w:r w:rsidR="0049775C" w:rsidRPr="00D2396D">
        <w:t>at</w:t>
      </w:r>
      <w:r w:rsidR="0049775C">
        <w:t xml:space="preserve">ion’s reserves of coal, in the form of </w:t>
      </w:r>
      <w:r w:rsidR="0049775C" w:rsidRPr="00D2396D">
        <w:t>lignite</w:t>
      </w:r>
      <w:r w:rsidR="0049775C">
        <w:t>,</w:t>
      </w:r>
      <w:r w:rsidR="0049775C" w:rsidRPr="00D2396D">
        <w:t xml:space="preserve"> and </w:t>
      </w:r>
      <w:r w:rsidR="0049775C">
        <w:t>CBNG (</w:t>
      </w:r>
      <w:proofErr w:type="spellStart"/>
      <w:r w:rsidR="0049775C">
        <w:t>Bluemle</w:t>
      </w:r>
      <w:proofErr w:type="spellEnd"/>
      <w:r w:rsidR="0049775C">
        <w:t>, 1998); extracting this resource has</w:t>
      </w:r>
      <w:r w:rsidR="0035289A">
        <w:t xml:space="preserve"> large</w:t>
      </w:r>
      <w:r w:rsidR="00C8101B">
        <w:t xml:space="preserve"> potential to affect groundwat</w:t>
      </w:r>
      <w:r w:rsidR="0049775C">
        <w:t>er</w:t>
      </w:r>
      <w:r w:rsidR="00C8101B">
        <w:t xml:space="preserve"> as a result of strip mining and removal of gro</w:t>
      </w:r>
      <w:r w:rsidR="0035289A">
        <w:t>undwater to release stored gas</w:t>
      </w:r>
      <w:r w:rsidR="00C8101B">
        <w:t xml:space="preserve"> (</w:t>
      </w:r>
      <w:proofErr w:type="spellStart"/>
      <w:r w:rsidR="00C8101B">
        <w:t>Thamke</w:t>
      </w:r>
      <w:proofErr w:type="spellEnd"/>
      <w:r w:rsidR="00C8101B">
        <w:t xml:space="preserve"> and </w:t>
      </w:r>
      <w:r w:rsidR="00C8101B" w:rsidRPr="004C31D1">
        <w:t>others, 2014).</w:t>
      </w:r>
      <w:r w:rsidR="004C31D1" w:rsidRPr="004C31D1">
        <w:t xml:space="preserve"> Continued development in the region, including alternative energy, industry, irrigation, and growing demands for domestic and municipal water in the Northern Great Plains, depends on the quantity and quality of groundwater available from these shallow and accessible aquifers.</w:t>
      </w:r>
      <w:r w:rsidR="004C31D1" w:rsidRPr="00D2396D">
        <w:t xml:space="preserve"> </w:t>
      </w:r>
    </w:p>
    <w:p w14:paraId="596E15F7" w14:textId="77777777" w:rsidR="009D5997" w:rsidRDefault="00BF554E" w:rsidP="001D23D0">
      <w:pPr>
        <w:pStyle w:val="BodyText"/>
      </w:pPr>
      <w:r>
        <w:t>The i</w:t>
      </w:r>
      <w:r w:rsidR="001A4936">
        <w:t xml:space="preserve">ncreasing </w:t>
      </w:r>
      <w:r w:rsidR="00A75173">
        <w:t>fresh</w:t>
      </w:r>
      <w:r w:rsidR="001A4936">
        <w:t xml:space="preserve">water </w:t>
      </w:r>
      <w:r w:rsidR="00A75173">
        <w:t>demands of energy production</w:t>
      </w:r>
      <w:r w:rsidR="00635C13" w:rsidRPr="00635C13">
        <w:t xml:space="preserve"> </w:t>
      </w:r>
      <w:r w:rsidR="00635C13">
        <w:t>in the Williston Basin</w:t>
      </w:r>
      <w:r w:rsidR="00A75173">
        <w:t>, in addition to the resulting</w:t>
      </w:r>
      <w:r w:rsidR="001A4936">
        <w:t xml:space="preserve"> population growth</w:t>
      </w:r>
      <w:r w:rsidR="00A75173">
        <w:t>,</w:t>
      </w:r>
      <w:r w:rsidR="001A4936">
        <w:t xml:space="preserve"> have led to a need for new tools to assess</w:t>
      </w:r>
      <w:r w:rsidR="00A75173">
        <w:t xml:space="preserve"> groundwater resources</w:t>
      </w:r>
      <w:r w:rsidR="001A4936">
        <w:t xml:space="preserve">. </w:t>
      </w:r>
      <w:r w:rsidR="005F36A6">
        <w:t>Because of the imp</w:t>
      </w:r>
      <w:r w:rsidR="00635C13">
        <w:t>ortance of groundwater</w:t>
      </w:r>
      <w:r w:rsidR="005F36A6">
        <w:t xml:space="preserve"> in this energy-rich area, the U.S. Geological Survey (USGS) began a </w:t>
      </w:r>
      <w:r w:rsidR="005F36A6" w:rsidRPr="0088065D">
        <w:t>study in 2011 to assess</w:t>
      </w:r>
      <w:r w:rsidR="005F36A6">
        <w:t xml:space="preserve"> and provide better tools to manage groundwater av</w:t>
      </w:r>
      <w:r w:rsidR="00635C13">
        <w:t xml:space="preserve">ailability in </w:t>
      </w:r>
      <w:r>
        <w:t>the Williston and</w:t>
      </w:r>
      <w:r w:rsidR="00635C13">
        <w:t xml:space="preserve"> Powder River Basin</w:t>
      </w:r>
      <w:r>
        <w:t>s</w:t>
      </w:r>
      <w:r w:rsidR="005F36A6">
        <w:t xml:space="preserve">. </w:t>
      </w:r>
    </w:p>
    <w:p w14:paraId="6F4D7DF8" w14:textId="77777777" w:rsidR="000B1087" w:rsidRDefault="009D5997" w:rsidP="009D5997">
      <w:pPr>
        <w:pStyle w:val="Heading2"/>
      </w:pPr>
      <w:bookmarkStart w:id="19" w:name="_Toc477244256"/>
      <w:r w:rsidRPr="009D5997">
        <w:t>Physiography</w:t>
      </w:r>
      <w:r w:rsidR="00C242F6">
        <w:t xml:space="preserve"> and Climate</w:t>
      </w:r>
      <w:bookmarkEnd w:id="19"/>
    </w:p>
    <w:p w14:paraId="0AE679C0" w14:textId="77777777" w:rsidR="00750A92" w:rsidRDefault="002516A0" w:rsidP="00CB242B">
      <w:pPr>
        <w:pStyle w:val="BodyText"/>
      </w:pPr>
      <w:r>
        <w:t xml:space="preserve">The study area extent </w:t>
      </w:r>
      <w:r w:rsidR="007440E1">
        <w:t>includes</w:t>
      </w:r>
      <w:r>
        <w:t xml:space="preserve"> most of the</w:t>
      </w:r>
      <w:r w:rsidR="000B1087">
        <w:t xml:space="preserve"> Williston Basin (</w:t>
      </w:r>
      <w:r w:rsidR="000B1087">
        <w:fldChar w:fldCharType="begin"/>
      </w:r>
      <w:r w:rsidR="000B1087">
        <w:instrText xml:space="preserve"> REF _Ref468786106 \r \h </w:instrText>
      </w:r>
      <w:r w:rsidR="000B1087">
        <w:fldChar w:fldCharType="separate"/>
      </w:r>
      <w:r w:rsidR="00774615">
        <w:t>Figure 1</w:t>
      </w:r>
      <w:r w:rsidR="000B1087">
        <w:fldChar w:fldCharType="end"/>
      </w:r>
      <w:r w:rsidR="000B1087">
        <w:t>)</w:t>
      </w:r>
      <w:r w:rsidR="007440E1">
        <w:t>, the extent of which</w:t>
      </w:r>
      <w:r>
        <w:t xml:space="preserve"> </w:t>
      </w:r>
      <w:r w:rsidRPr="007440E1">
        <w:t>is not</w:t>
      </w:r>
      <w:r w:rsidR="007440E1" w:rsidRPr="007440E1">
        <w:t xml:space="preserve"> precisely defined but</w:t>
      </w:r>
      <w:r w:rsidR="001D23D0" w:rsidRPr="007440E1">
        <w:t xml:space="preserve"> has</w:t>
      </w:r>
      <w:r w:rsidR="007B1619" w:rsidRPr="007440E1">
        <w:t xml:space="preserve"> been estimated by</w:t>
      </w:r>
      <w:r w:rsidRPr="007440E1">
        <w:t xml:space="preserve"> </w:t>
      </w:r>
      <w:proofErr w:type="spellStart"/>
      <w:r w:rsidRPr="007440E1">
        <w:t>Hamke</w:t>
      </w:r>
      <w:proofErr w:type="spellEnd"/>
      <w:r w:rsidRPr="007440E1">
        <w:t xml:space="preserve"> and others</w:t>
      </w:r>
      <w:r>
        <w:t xml:space="preserve"> (1966), Pitman and others (2001), and </w:t>
      </w:r>
      <w:proofErr w:type="spellStart"/>
      <w:r>
        <w:t>Pollastro</w:t>
      </w:r>
      <w:proofErr w:type="spellEnd"/>
      <w:r>
        <w:t xml:space="preserve"> and others (2013). </w:t>
      </w:r>
      <w:r w:rsidR="000B1087" w:rsidRPr="00D2396D">
        <w:t xml:space="preserve">Topography </w:t>
      </w:r>
      <w:r w:rsidR="000B1087">
        <w:t>in the study area is characterized by relatively low relief, except near large river channels,</w:t>
      </w:r>
      <w:r w:rsidR="000B1087" w:rsidRPr="00D2396D">
        <w:t xml:space="preserve"> with a gently rolling land surface</w:t>
      </w:r>
      <w:r w:rsidR="007440E1">
        <w:t xml:space="preserve">, </w:t>
      </w:r>
      <w:r w:rsidR="007440E1">
        <w:lastRenderedPageBreak/>
        <w:t>underlain</w:t>
      </w:r>
      <w:r w:rsidR="000B1087" w:rsidRPr="00D2396D">
        <w:t xml:space="preserve"> by</w:t>
      </w:r>
      <w:r w:rsidR="007440E1">
        <w:t xml:space="preserve"> glacial drift and</w:t>
      </w:r>
      <w:r w:rsidR="000B1087" w:rsidRPr="00D2396D">
        <w:t xml:space="preserve"> sedimentary rocks composed </w:t>
      </w:r>
      <w:r w:rsidR="000B1087">
        <w:t xml:space="preserve">primarily </w:t>
      </w:r>
      <w:r w:rsidR="000B1087" w:rsidRPr="00D2396D">
        <w:t>of sandstone, coal, and shale.</w:t>
      </w:r>
      <w:r w:rsidR="000B1087">
        <w:t xml:space="preserve"> </w:t>
      </w:r>
      <w:r w:rsidR="000B1087" w:rsidRPr="00D2396D">
        <w:t xml:space="preserve">Large river systems such as the Missouri and Yellowstone </w:t>
      </w:r>
      <w:r w:rsidR="000B1087">
        <w:t xml:space="preserve">Rivers </w:t>
      </w:r>
      <w:r w:rsidR="000B1087" w:rsidRPr="00D2396D">
        <w:t>erode the relatively soft sedimentary rock</w:t>
      </w:r>
      <w:r w:rsidR="000B1087">
        <w:t>s</w:t>
      </w:r>
      <w:r w:rsidR="000B1087" w:rsidRPr="00D2396D">
        <w:t xml:space="preserve"> and create several hundred feet of local topographic relief.</w:t>
      </w:r>
      <w:r w:rsidR="000B1087">
        <w:t xml:space="preserve"> </w:t>
      </w:r>
    </w:p>
    <w:p w14:paraId="46D96888" w14:textId="77777777" w:rsidR="00750A92" w:rsidRPr="00246DB2" w:rsidRDefault="00750A92" w:rsidP="00CB6AE5">
      <w:pPr>
        <w:pStyle w:val="BodyText"/>
      </w:pPr>
      <w:r>
        <w:t>Surface-water resources in the Williston Basin include rive</w:t>
      </w:r>
      <w:r w:rsidR="00A11EDA">
        <w:t>rs, streams, lakes, and wetland ponds</w:t>
      </w:r>
      <w:r>
        <w:t>. In this area,</w:t>
      </w:r>
      <w:r w:rsidRPr="009B56E0">
        <w:t xml:space="preserve"> </w:t>
      </w:r>
      <w:r>
        <w:t>the Missouri River flows toward the east and southeast, with the Yellowstone and Little Missouri Rivers entering from the south (</w:t>
      </w:r>
      <w:r>
        <w:fldChar w:fldCharType="begin"/>
      </w:r>
      <w:r>
        <w:instrText xml:space="preserve"> REF _Ref468786106 \r \h </w:instrText>
      </w:r>
      <w:r>
        <w:fldChar w:fldCharType="separate"/>
      </w:r>
      <w:r w:rsidR="00D32500">
        <w:t>Figure 1</w:t>
      </w:r>
      <w:r>
        <w:fldChar w:fldCharType="end"/>
      </w:r>
      <w:r>
        <w:t xml:space="preserve">). </w:t>
      </w:r>
      <w:r w:rsidR="00CB6AE5">
        <w:t>The study area includes three large surface-water reservoirs: Fort Peck Lake, Lake Sakakawea, and Lake Oahe, all located along the Missouri River (</w:t>
      </w:r>
      <w:r w:rsidR="00CB6AE5">
        <w:fldChar w:fldCharType="begin"/>
      </w:r>
      <w:r w:rsidR="00CB6AE5">
        <w:instrText xml:space="preserve"> REF _Ref468786106 \r \h </w:instrText>
      </w:r>
      <w:r w:rsidR="00CB6AE5">
        <w:fldChar w:fldCharType="separate"/>
      </w:r>
      <w:r w:rsidR="00D32500">
        <w:t>Figure 1</w:t>
      </w:r>
      <w:r w:rsidR="00CB6AE5">
        <w:fldChar w:fldCharType="end"/>
      </w:r>
      <w:r w:rsidR="00CB6AE5">
        <w:t xml:space="preserve">). </w:t>
      </w:r>
      <w:r>
        <w:t>Several other tributaries in the southeastern part of the Williston Basin flow easterly and enter the Missouri River from the west</w:t>
      </w:r>
      <w:r w:rsidRPr="000475B0">
        <w:t>.</w:t>
      </w:r>
      <w:r w:rsidR="00A16AD2">
        <w:t xml:space="preserve"> Numerous natural lakes and wetland ponds are scattered across the landscape, north of the Missouri River, where the glacial aquifer system is present.</w:t>
      </w:r>
      <w:r w:rsidR="00D427BE">
        <w:t xml:space="preserve"> Much of this area is characterized by a </w:t>
      </w:r>
      <w:r w:rsidRPr="000475B0">
        <w:t>non-integrated drainage pattern</w:t>
      </w:r>
      <w:r w:rsidR="00D427BE">
        <w:t>, where few streams cross</w:t>
      </w:r>
      <w:r w:rsidRPr="000475B0">
        <w:t xml:space="preserve"> (</w:t>
      </w:r>
      <w:r>
        <w:fldChar w:fldCharType="begin"/>
      </w:r>
      <w:r>
        <w:instrText xml:space="preserve"> REF _Ref468786106 \r \h </w:instrText>
      </w:r>
      <w:r>
        <w:fldChar w:fldCharType="separate"/>
      </w:r>
      <w:r w:rsidR="00D32500">
        <w:t>Figure 1</w:t>
      </w:r>
      <w:r>
        <w:fldChar w:fldCharType="end"/>
      </w:r>
      <w:r w:rsidRPr="000475B0">
        <w:t>)</w:t>
      </w:r>
      <w:r w:rsidR="00D427BE">
        <w:t xml:space="preserve">. </w:t>
      </w:r>
      <w:r w:rsidR="00CB6AE5" w:rsidRPr="00D2396D">
        <w:t xml:space="preserve">Surface water is </w:t>
      </w:r>
      <w:r w:rsidR="00CB6AE5">
        <w:t>heavily</w:t>
      </w:r>
      <w:r w:rsidR="00CB6AE5" w:rsidRPr="00D2396D">
        <w:t xml:space="preserve"> appropriated in </w:t>
      </w:r>
      <w:r w:rsidR="00CB6AE5">
        <w:t>most</w:t>
      </w:r>
      <w:r w:rsidR="00CB6AE5" w:rsidRPr="00D2396D">
        <w:t xml:space="preserve"> of the </w:t>
      </w:r>
      <w:r w:rsidR="00D427BE">
        <w:t xml:space="preserve">study </w:t>
      </w:r>
      <w:r w:rsidR="00CB6AE5" w:rsidRPr="00D2396D">
        <w:t>area</w:t>
      </w:r>
      <w:r w:rsidR="00CB6AE5">
        <w:t xml:space="preserve"> (</w:t>
      </w:r>
      <w:proofErr w:type="spellStart"/>
      <w:r w:rsidR="00CB6AE5">
        <w:t>Schuh</w:t>
      </w:r>
      <w:proofErr w:type="spellEnd"/>
      <w:r w:rsidR="00CB6AE5">
        <w:t>, 2010)</w:t>
      </w:r>
      <w:r w:rsidR="00CB6AE5" w:rsidRPr="00D2396D">
        <w:t xml:space="preserve">, and </w:t>
      </w:r>
      <w:r w:rsidR="00CB242B">
        <w:t xml:space="preserve">this water supply is not always dependable in upper stream reaches where flow is </w:t>
      </w:r>
      <w:r w:rsidR="00CB6AE5" w:rsidRPr="00D2396D">
        <w:t>variable</w:t>
      </w:r>
      <w:r w:rsidR="00CB242B">
        <w:t>.</w:t>
      </w:r>
    </w:p>
    <w:p w14:paraId="1D8C0293" w14:textId="77777777" w:rsidR="000B1087" w:rsidRDefault="000B1087" w:rsidP="000B1087">
      <w:pPr>
        <w:pStyle w:val="BodyText"/>
      </w:pPr>
      <w:r w:rsidRPr="00D2396D">
        <w:t xml:space="preserve">The </w:t>
      </w:r>
      <w:r>
        <w:t>climate</w:t>
      </w:r>
      <w:r w:rsidRPr="00D2396D">
        <w:t xml:space="preserve"> is semiarid, with monthly precipitation </w:t>
      </w:r>
      <w:r>
        <w:t xml:space="preserve">exceeding monthly potential evapotranspiration by </w:t>
      </w:r>
      <w:r w:rsidRPr="00D2396D">
        <w:t xml:space="preserve">0 to 5 </w:t>
      </w:r>
      <w:r>
        <w:t>inches per year (</w:t>
      </w:r>
      <w:r w:rsidRPr="00D2396D">
        <w:t>in/</w:t>
      </w:r>
      <w:proofErr w:type="spellStart"/>
      <w:r w:rsidRPr="00D2396D">
        <w:t>yr</w:t>
      </w:r>
      <w:proofErr w:type="spellEnd"/>
      <w:r>
        <w:t>)</w:t>
      </w:r>
      <w:r w:rsidRPr="00D2396D" w:rsidDel="003C7A2F">
        <w:t xml:space="preserve"> </w:t>
      </w:r>
      <w:r w:rsidRPr="00D2396D">
        <w:t>(Reilly and others, 2008).</w:t>
      </w:r>
      <w:r>
        <w:t xml:space="preserve"> Within the</w:t>
      </w:r>
      <w:r w:rsidR="00571413">
        <w:t xml:space="preserve"> study area, precipitation ranges from 11</w:t>
      </w:r>
      <w:r>
        <w:t xml:space="preserve"> in/</w:t>
      </w:r>
      <w:proofErr w:type="spellStart"/>
      <w:r>
        <w:t>yr</w:t>
      </w:r>
      <w:proofErr w:type="spellEnd"/>
      <w:r>
        <w:t xml:space="preserve"> in the western part to 2</w:t>
      </w:r>
      <w:r w:rsidR="00571413">
        <w:t>4</w:t>
      </w:r>
      <w:r w:rsidR="00087B06">
        <w:t xml:space="preserve"> in/</w:t>
      </w:r>
      <w:proofErr w:type="spellStart"/>
      <w:r w:rsidR="00087B06">
        <w:t>yr</w:t>
      </w:r>
      <w:proofErr w:type="spellEnd"/>
      <w:r w:rsidR="00087B06">
        <w:t xml:space="preserve"> in the eastern part</w:t>
      </w:r>
      <w:r w:rsidR="00571413">
        <w:t xml:space="preserve"> </w:t>
      </w:r>
      <w:r w:rsidR="007A50E5">
        <w:t>(</w:t>
      </w:r>
      <w:r w:rsidR="007A50E5" w:rsidRPr="007A50E5">
        <w:rPr>
          <w:highlight w:val="yellow"/>
        </w:rPr>
        <w:t>Figure</w:t>
      </w:r>
      <w:r w:rsidR="007A50E5">
        <w:rPr>
          <w:highlight w:val="yellow"/>
        </w:rPr>
        <w:t xml:space="preserve"> xx</w:t>
      </w:r>
      <w:r w:rsidR="007A50E5">
        <w:t xml:space="preserve">) </w:t>
      </w:r>
      <w:r w:rsidR="00571413">
        <w:t>(</w:t>
      </w:r>
      <w:r w:rsidR="00571413" w:rsidRPr="00571413">
        <w:t>Thornton and others, 1997, 2012</w:t>
      </w:r>
      <w:r w:rsidR="00571413">
        <w:t>; Long and others, 2014</w:t>
      </w:r>
      <w:r w:rsidR="00571413" w:rsidRPr="00571413">
        <w:t>)</w:t>
      </w:r>
      <w:r w:rsidR="00087B06">
        <w:t>.</w:t>
      </w:r>
      <w:r>
        <w:t xml:space="preserve"> </w:t>
      </w:r>
      <w:proofErr w:type="gramStart"/>
      <w:r w:rsidRPr="00D2396D">
        <w:t xml:space="preserve">Pasture and hayland </w:t>
      </w:r>
      <w:r>
        <w:t xml:space="preserve">covers </w:t>
      </w:r>
      <w:r w:rsidRPr="00D2396D">
        <w:t>70</w:t>
      </w:r>
      <w:r>
        <w:t xml:space="preserve"> percent of</w:t>
      </w:r>
      <w:r w:rsidRPr="00D2396D">
        <w:t xml:space="preserve"> the study area (Multi-Resolution Land Characteristics Consortium, 2011).</w:t>
      </w:r>
      <w:proofErr w:type="gramEnd"/>
      <w:r>
        <w:t xml:space="preserve"> Population density is low, with the exception of a few towns, generally less than 10 people per square mile</w:t>
      </w:r>
      <w:r w:rsidDel="00A52926">
        <w:t xml:space="preserve"> </w:t>
      </w:r>
      <w:r>
        <w:t xml:space="preserve">(U.S. Census Bureau, 2001; Statistics Canada, 2001). </w:t>
      </w:r>
    </w:p>
    <w:p w14:paraId="1F4B7ABA" w14:textId="77777777" w:rsidR="004A1FAB" w:rsidRDefault="004A1FAB" w:rsidP="004A1FAB">
      <w:pPr>
        <w:pStyle w:val="Heading2"/>
      </w:pPr>
      <w:bookmarkStart w:id="20" w:name="_Toc468441111"/>
      <w:bookmarkStart w:id="21" w:name="_Toc477244257"/>
      <w:r>
        <w:lastRenderedPageBreak/>
        <w:t>Hydrogeologic Framework</w:t>
      </w:r>
      <w:bookmarkEnd w:id="20"/>
      <w:bookmarkEnd w:id="21"/>
    </w:p>
    <w:p w14:paraId="2DAFE353" w14:textId="77777777" w:rsidR="008551E8" w:rsidRDefault="004A1FAB" w:rsidP="002E781C">
      <w:pPr>
        <w:pStyle w:val="BodyText"/>
      </w:pPr>
      <w:r>
        <w:t>Groundwater resources used in the Williston Basin in the United States and Canada are located primarily in three uppermost principal aquifer systems composed of late Cretaceous, Tertiary, and Quaternary-age lithostratigraphic units (</w:t>
      </w:r>
      <w:r w:rsidR="00B2226B">
        <w:fldChar w:fldCharType="begin"/>
      </w:r>
      <w:r w:rsidR="00B2226B">
        <w:instrText xml:space="preserve"> REF _Ref468787659 \r \h </w:instrText>
      </w:r>
      <w:r w:rsidR="00B2226B">
        <w:fldChar w:fldCharType="separate"/>
      </w:r>
      <w:r w:rsidR="003B7FE2">
        <w:t>Figure 2</w:t>
      </w:r>
      <w:r w:rsidR="00B2226B">
        <w:fldChar w:fldCharType="end"/>
      </w:r>
      <w:r>
        <w:t xml:space="preserve">). </w:t>
      </w:r>
      <w:proofErr w:type="spellStart"/>
      <w:r>
        <w:t>Thamke</w:t>
      </w:r>
      <w:proofErr w:type="spellEnd"/>
      <w:r>
        <w:t xml:space="preserve"> and others (2014) constructed a three-dimensional hydrogeologic framework that defined and described these three aquifer systems in the Williston Basin for the United States and Canada</w:t>
      </w:r>
      <w:r w:rsidRPr="0035082B">
        <w:t xml:space="preserve"> </w:t>
      </w:r>
      <w:r>
        <w:t>with emphasis on the lower Tertiary and Upper Cretaceous bedrock aquifer systems.</w:t>
      </w:r>
      <w:r w:rsidR="003F0926">
        <w:t xml:space="preserve"> </w:t>
      </w:r>
      <w:r w:rsidR="00F010EF">
        <w:t>Davis and Long (2017a</w:t>
      </w:r>
      <w:proofErr w:type="gramStart"/>
      <w:r w:rsidR="00F010EF">
        <w:t xml:space="preserve">) </w:t>
      </w:r>
      <w:r w:rsidR="003F0926">
        <w:t xml:space="preserve"> further</w:t>
      </w:r>
      <w:proofErr w:type="gramEnd"/>
      <w:r w:rsidR="003F0926">
        <w:t xml:space="preserve"> developed the hydrogeologic framework for the glacial aquifer system by spatially definin</w:t>
      </w:r>
      <w:r w:rsidR="00163E4D">
        <w:t>g five different glacial-material zones and extending th</w:t>
      </w:r>
      <w:r w:rsidR="008551E8">
        <w:t>is analysis</w:t>
      </w:r>
      <w:r w:rsidR="003F0926">
        <w:t xml:space="preserve"> to the edges of the model domain</w:t>
      </w:r>
      <w:r w:rsidR="00163E4D">
        <w:t xml:space="preserve">. Presented herein is a brief summary of the </w:t>
      </w:r>
      <w:proofErr w:type="spellStart"/>
      <w:r w:rsidR="00163E4D">
        <w:t>hydrgeologic</w:t>
      </w:r>
      <w:proofErr w:type="spellEnd"/>
      <w:r w:rsidR="00163E4D">
        <w:t xml:space="preserve"> framework described in the two aforementioned reports, which include</w:t>
      </w:r>
      <w:r w:rsidR="008551E8">
        <w:t xml:space="preserve"> greater detail</w:t>
      </w:r>
      <w:r>
        <w:t xml:space="preserve"> of the lithostratigraphic and hydrogeologic units. </w:t>
      </w:r>
    </w:p>
    <w:p w14:paraId="4FB0B201" w14:textId="77777777" w:rsidR="004A1FAB" w:rsidRDefault="004A1FAB" w:rsidP="002E781C">
      <w:pPr>
        <w:pStyle w:val="BodyText"/>
      </w:pPr>
      <w:r>
        <w:t xml:space="preserve">From shallowest (youngest) to deepest (oldest), the </w:t>
      </w:r>
      <w:proofErr w:type="gramStart"/>
      <w:r>
        <w:t>three aquifer</w:t>
      </w:r>
      <w:proofErr w:type="gramEnd"/>
      <w:r>
        <w:t xml:space="preserve"> systems are the glacial, lower Tertiary, and Upper Cretaceous aquifer systems</w:t>
      </w:r>
      <w:r w:rsidR="00AC79D0">
        <w:t>, the latter two of which are contained within bedrock</w:t>
      </w:r>
      <w:r w:rsidR="002E781C">
        <w:t xml:space="preserve"> (</w:t>
      </w:r>
      <w:r w:rsidR="002E781C">
        <w:fldChar w:fldCharType="begin"/>
      </w:r>
      <w:r w:rsidR="002E781C">
        <w:instrText xml:space="preserve"> REF _Ref476136433 \r \h </w:instrText>
      </w:r>
      <w:r w:rsidR="002E781C">
        <w:fldChar w:fldCharType="separate"/>
      </w:r>
      <w:r w:rsidR="003B7FE2">
        <w:t>Figure 2</w:t>
      </w:r>
      <w:r w:rsidR="002E781C">
        <w:fldChar w:fldCharType="end"/>
      </w:r>
      <w:r w:rsidR="002E781C">
        <w:t>)</w:t>
      </w:r>
      <w:r>
        <w:t xml:space="preserve">. </w:t>
      </w:r>
      <w:r w:rsidR="008A5F21">
        <w:t>The</w:t>
      </w:r>
      <w:r w:rsidR="00AC79D0">
        <w:t>se</w:t>
      </w:r>
      <w:r w:rsidR="008A5F21">
        <w:t xml:space="preserve"> </w:t>
      </w:r>
      <w:r w:rsidR="00AC79D0">
        <w:t xml:space="preserve">three </w:t>
      </w:r>
      <w:r w:rsidR="008A5F21">
        <w:t>aquifer systems are hydraulically separated from deeper aquifers by a basal</w:t>
      </w:r>
      <w:r w:rsidR="004E228E">
        <w:t xml:space="preserve"> confining</w:t>
      </w:r>
      <w:r w:rsidR="00844D33">
        <w:t xml:space="preserve"> unit composed primarily of 800</w:t>
      </w:r>
      <w:r w:rsidR="004E228E">
        <w:t>–</w:t>
      </w:r>
      <w:r w:rsidR="008A5F21">
        <w:t>3,000 feet</w:t>
      </w:r>
      <w:r w:rsidR="003546FF">
        <w:t xml:space="preserve"> (</w:t>
      </w:r>
      <w:proofErr w:type="spellStart"/>
      <w:r w:rsidR="003546FF">
        <w:t>ft</w:t>
      </w:r>
      <w:proofErr w:type="spellEnd"/>
      <w:r w:rsidR="003546FF">
        <w:t>)</w:t>
      </w:r>
      <w:r w:rsidR="008A5F21">
        <w:t xml:space="preserve"> of low-permeability Upper Cretaceous marine shale</w:t>
      </w:r>
      <w:r w:rsidR="004E228E">
        <w:t xml:space="preserve">, the top of which is shown in </w:t>
      </w:r>
      <w:r w:rsidR="004E228E">
        <w:fldChar w:fldCharType="begin"/>
      </w:r>
      <w:r w:rsidR="004E228E">
        <w:instrText xml:space="preserve"> REF _Ref476136067 \r \h </w:instrText>
      </w:r>
      <w:r w:rsidR="004E228E">
        <w:fldChar w:fldCharType="separate"/>
      </w:r>
      <w:r w:rsidR="003B7FE2">
        <w:t>Figure 3</w:t>
      </w:r>
      <w:r w:rsidR="004E228E">
        <w:fldChar w:fldCharType="end"/>
      </w:r>
      <w:r w:rsidR="004E228E">
        <w:t>.</w:t>
      </w:r>
      <w:r w:rsidR="008A5F21">
        <w:t xml:space="preserve"> The bowl-shaped structure and layered geology of the Williston Basin results in </w:t>
      </w:r>
      <w:r w:rsidR="00AC79D0">
        <w:t xml:space="preserve">bedrock </w:t>
      </w:r>
      <w:r w:rsidR="008A5F21">
        <w:t>hydrogeologic units that are exposed to the land surface or in contact with the overlying glacial aquifer system near the outer parts of the basin (</w:t>
      </w:r>
      <w:r w:rsidR="008A5F21">
        <w:fldChar w:fldCharType="begin"/>
      </w:r>
      <w:r w:rsidR="008A5F21">
        <w:instrText xml:space="preserve"> REF _Ref476131578 \r \h </w:instrText>
      </w:r>
      <w:r w:rsidR="008A5F21">
        <w:fldChar w:fldCharType="separate"/>
      </w:r>
      <w:r w:rsidR="003B7FE2">
        <w:t>Figure 1</w:t>
      </w:r>
      <w:r w:rsidR="008A5F21">
        <w:fldChar w:fldCharType="end"/>
      </w:r>
      <w:r w:rsidR="008A5F21">
        <w:t xml:space="preserve">, </w:t>
      </w:r>
      <w:r w:rsidR="008A5F21">
        <w:fldChar w:fldCharType="begin"/>
      </w:r>
      <w:r w:rsidR="008A5F21">
        <w:instrText xml:space="preserve"> REF _Ref467588663 \r \h </w:instrText>
      </w:r>
      <w:r w:rsidR="008A5F21">
        <w:fldChar w:fldCharType="separate"/>
      </w:r>
      <w:r w:rsidR="003B7FE2">
        <w:t>Figure 4</w:t>
      </w:r>
      <w:r w:rsidR="008A5F21">
        <w:fldChar w:fldCharType="end"/>
      </w:r>
      <w:r w:rsidR="008A5F21">
        <w:t xml:space="preserve">). </w:t>
      </w:r>
      <w:r w:rsidR="00175FA1">
        <w:t xml:space="preserve">The glacial aquifer system overlies parts of </w:t>
      </w:r>
      <w:proofErr w:type="gramStart"/>
      <w:r w:rsidR="00175FA1">
        <w:t>the</w:t>
      </w:r>
      <w:r w:rsidR="00AC79D0">
        <w:t xml:space="preserve"> </w:t>
      </w:r>
      <w:r w:rsidR="00175FA1">
        <w:t xml:space="preserve"> lower</w:t>
      </w:r>
      <w:proofErr w:type="gramEnd"/>
      <w:r w:rsidR="00175FA1">
        <w:t xml:space="preserve"> Tertiary and Upper Cretaceous aquifer systems in the northeastern part of the Williston basin (</w:t>
      </w:r>
      <w:r w:rsidR="00175FA1">
        <w:fldChar w:fldCharType="begin"/>
      </w:r>
      <w:r w:rsidR="00175FA1">
        <w:instrText xml:space="preserve"> REF _Ref476131578 \r \h </w:instrText>
      </w:r>
      <w:r w:rsidR="00175FA1">
        <w:fldChar w:fldCharType="separate"/>
      </w:r>
      <w:r w:rsidR="003B7FE2">
        <w:t>Figure 1</w:t>
      </w:r>
      <w:r w:rsidR="00175FA1">
        <w:fldChar w:fldCharType="end"/>
      </w:r>
      <w:r w:rsidR="00175FA1">
        <w:t>).</w:t>
      </w:r>
    </w:p>
    <w:p w14:paraId="48A9BBCF" w14:textId="77777777" w:rsidR="004A1FAB" w:rsidRPr="004A1FAB" w:rsidRDefault="004A1FAB" w:rsidP="004A1FAB">
      <w:pPr>
        <w:pStyle w:val="BodyText"/>
      </w:pPr>
    </w:p>
    <w:p w14:paraId="3296E02C" w14:textId="77777777" w:rsidR="00B2226B" w:rsidRDefault="00B2226B" w:rsidP="00B2226B">
      <w:pPr>
        <w:pStyle w:val="FigureCaption"/>
      </w:pPr>
      <w:bookmarkStart w:id="22" w:name="_Ref467512456"/>
      <w:bookmarkStart w:id="23" w:name="_Toc415605977"/>
      <w:bookmarkStart w:id="24" w:name="_Toc417537619"/>
      <w:bookmarkStart w:id="25" w:name="_Ref467588820"/>
      <w:bookmarkStart w:id="26" w:name="_Ref467588892"/>
      <w:bookmarkStart w:id="27" w:name="_Ref467589091"/>
      <w:bookmarkStart w:id="28" w:name="_Ref467589450"/>
      <w:bookmarkStart w:id="29" w:name="_Ref467589567"/>
      <w:bookmarkStart w:id="30" w:name="_Toc468707869"/>
      <w:bookmarkStart w:id="31" w:name="_Ref468787868"/>
      <w:bookmarkStart w:id="32" w:name="_Ref468787891"/>
      <w:bookmarkStart w:id="33" w:name="_Ref468788043"/>
      <w:bookmarkStart w:id="34" w:name="_Ref468788057"/>
      <w:bookmarkStart w:id="35" w:name="_Ref468788091"/>
      <w:bookmarkStart w:id="36" w:name="_Ref468788107"/>
      <w:bookmarkStart w:id="37" w:name="_Ref476136433"/>
      <w:bookmarkStart w:id="38" w:name="_Toc486491996"/>
      <w:bookmarkStart w:id="39" w:name="_Ref468787659"/>
      <w:r>
        <w:lastRenderedPageBreak/>
        <w:t>Lithostratigraphic and corresponding hydr</w:t>
      </w:r>
      <w:r w:rsidR="009E2263">
        <w:t>o</w:t>
      </w:r>
      <w:r>
        <w:t>geologic units</w:t>
      </w:r>
      <w:r w:rsidRPr="0083547F">
        <w:t xml:space="preserve"> of</w:t>
      </w:r>
      <w:r>
        <w:t xml:space="preserve"> the Williston b</w:t>
      </w:r>
      <w:r w:rsidRPr="0083547F">
        <w:t>asin</w:t>
      </w:r>
      <w:r>
        <w:t xml:space="preserve"> (from </w:t>
      </w:r>
      <w:proofErr w:type="spellStart"/>
      <w:r>
        <w:t>Thamke</w:t>
      </w:r>
      <w:proofErr w:type="spellEnd"/>
      <w:r>
        <w:t xml:space="preserve"> and others, 2014). Bold lines separate aquifer systems, and colors separate hydrogeologic units. Some lithostratigraphic units are split between two or more hydrogeologic units, as indicated by these colors</w:t>
      </w:r>
      <w:bookmarkEnd w:id="22"/>
      <w:r w:rsidRPr="0083547F">
        <w: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122C802" w14:textId="77777777" w:rsidR="004E228E" w:rsidRPr="004E228E" w:rsidRDefault="004E228E" w:rsidP="004E228E">
      <w:pPr>
        <w:pStyle w:val="FigureCaption"/>
      </w:pPr>
      <w:bookmarkStart w:id="40" w:name="_Toc415605978"/>
      <w:bookmarkStart w:id="41" w:name="_Toc417537620"/>
      <w:bookmarkStart w:id="42" w:name="_Ref467588732"/>
      <w:bookmarkStart w:id="43" w:name="_Toc468707870"/>
      <w:bookmarkStart w:id="44" w:name="_Ref476136067"/>
      <w:bookmarkStart w:id="45" w:name="_Toc486491997"/>
      <w:r>
        <w:t>T</w:t>
      </w:r>
      <w:r w:rsidRPr="0083547F">
        <w:t>hree-dimensional</w:t>
      </w:r>
      <w:r>
        <w:t xml:space="preserve"> view of the</w:t>
      </w:r>
      <w:r w:rsidRPr="0083547F">
        <w:t xml:space="preserve"> top of </w:t>
      </w:r>
      <w:r>
        <w:t xml:space="preserve">the </w:t>
      </w:r>
      <w:r w:rsidRPr="0083547F">
        <w:t>basal confining unit in the Williston</w:t>
      </w:r>
      <w:r>
        <w:t xml:space="preserve"> and Powder River</w:t>
      </w:r>
      <w:r w:rsidRPr="0083547F">
        <w:t xml:space="preserve"> Basin</w:t>
      </w:r>
      <w:r>
        <w:t>s</w:t>
      </w:r>
      <w:r w:rsidRPr="0083547F">
        <w:t>.</w:t>
      </w:r>
      <w:r>
        <w:t xml:space="preserve"> Selected hydrogeologic cross sections also are shown</w:t>
      </w:r>
      <w:r w:rsidRPr="0083547F">
        <w:t>.</w:t>
      </w:r>
      <w:bookmarkEnd w:id="40"/>
      <w:bookmarkEnd w:id="41"/>
      <w:bookmarkEnd w:id="42"/>
      <w:bookmarkEnd w:id="43"/>
      <w:bookmarkEnd w:id="44"/>
      <w:bookmarkEnd w:id="45"/>
    </w:p>
    <w:p w14:paraId="0E5FCE45" w14:textId="77777777" w:rsidR="008A5F21" w:rsidRPr="008A5F21" w:rsidRDefault="00B2226B" w:rsidP="00955BB2">
      <w:pPr>
        <w:pStyle w:val="FigureCaption"/>
      </w:pPr>
      <w:bookmarkStart w:id="46" w:name="_Ref467511820"/>
      <w:bookmarkStart w:id="47" w:name="_Toc486491998"/>
      <w:bookmarkStart w:id="48" w:name="_Ref467588663"/>
      <w:bookmarkStart w:id="49" w:name="_Toc468707871"/>
      <w:r>
        <w:t>Hydrogeologic cross-section B-B’ showing the glacial, lower Tertiary, and Upper Cretaceous aquifer systems in the Williston basin.</w:t>
      </w:r>
      <w:bookmarkEnd w:id="46"/>
      <w:bookmarkEnd w:id="47"/>
      <w:r>
        <w:t xml:space="preserve"> </w:t>
      </w:r>
      <w:bookmarkEnd w:id="48"/>
      <w:bookmarkEnd w:id="49"/>
    </w:p>
    <w:p w14:paraId="0C78E2DE" w14:textId="77777777" w:rsidR="00E867BF" w:rsidRDefault="00E867BF" w:rsidP="00175FA1">
      <w:pPr>
        <w:pStyle w:val="BodyText"/>
      </w:pPr>
      <w:r>
        <w:t xml:space="preserve">The glacial aquifer system consists of Quaternary-age unconsolidated till, silt, clay, outwash sand and gravel, and occasional cobbles and boulders. Estimated glacial aquifer system volume in the study area is </w:t>
      </w:r>
      <w:commentRangeStart w:id="50"/>
      <w:r>
        <w:t xml:space="preserve">150 trillion cubic feet (ft³). </w:t>
      </w:r>
      <w:commentRangeEnd w:id="50"/>
      <w:r w:rsidR="00712440">
        <w:rPr>
          <w:rStyle w:val="CommentReference"/>
        </w:rPr>
        <w:commentReference w:id="50"/>
      </w:r>
      <w:r>
        <w:t>Widely varying lithologic characteristics results in an aquifer system that is characterized by multiple disconnected</w:t>
      </w:r>
      <w:r w:rsidR="00BE63EE">
        <w:t>,</w:t>
      </w:r>
      <w:r>
        <w:t xml:space="preserve"> locally productive sand and gravel aquifers</w:t>
      </w:r>
      <w:r w:rsidRPr="006479F8">
        <w:t xml:space="preserve"> </w:t>
      </w:r>
      <w:r>
        <w:t>buried beneath till and other glacial or surficial deposits, and typically are located in pre-glacial valleys that exist on the buried bedrock surface (</w:t>
      </w:r>
      <w:proofErr w:type="spellStart"/>
      <w:r>
        <w:t>Kehew</w:t>
      </w:r>
      <w:proofErr w:type="spellEnd"/>
      <w:r>
        <w:t xml:space="preserve"> and </w:t>
      </w:r>
      <w:proofErr w:type="spellStart"/>
      <w:r>
        <w:t>Boettger</w:t>
      </w:r>
      <w:proofErr w:type="spellEnd"/>
      <w:r>
        <w:t xml:space="preserve">, 1987; Cummings and others, 2012; </w:t>
      </w:r>
      <w:proofErr w:type="spellStart"/>
      <w:r>
        <w:t>Pugin</w:t>
      </w:r>
      <w:proofErr w:type="spellEnd"/>
      <w:r>
        <w:t xml:space="preserve"> and others, 2014). </w:t>
      </w:r>
      <w:commentRangeStart w:id="51"/>
      <w:r>
        <w:t>Thickness of the glacial aquifer system</w:t>
      </w:r>
      <w:r w:rsidR="00BE63EE">
        <w:t xml:space="preserve"> in the Williston Basin</w:t>
      </w:r>
      <w:r>
        <w:t xml:space="preserve"> varies locally; maximum thickn</w:t>
      </w:r>
      <w:r w:rsidR="00BE63EE">
        <w:t>ess is estimated to be</w:t>
      </w:r>
      <w:r>
        <w:t xml:space="preserve"> about 750 </w:t>
      </w:r>
      <w:proofErr w:type="spellStart"/>
      <w:r w:rsidRPr="00D2396D">
        <w:t>ft</w:t>
      </w:r>
      <w:proofErr w:type="spellEnd"/>
      <w:r w:rsidR="00BE63EE">
        <w:t xml:space="preserve"> and</w:t>
      </w:r>
      <w:r>
        <w:t xml:space="preserve"> thickest in northern North Dakota and Canada</w:t>
      </w:r>
      <w:commentRangeEnd w:id="51"/>
      <w:r w:rsidR="00335D03">
        <w:rPr>
          <w:rStyle w:val="CommentReference"/>
        </w:rPr>
        <w:commentReference w:id="51"/>
      </w:r>
      <w:r>
        <w:t xml:space="preserve">. Hydraulic characteristics of the glacial aquifer system vary widely because of highly variable lithology. </w:t>
      </w:r>
      <w:r w:rsidR="00BE63EE">
        <w:t>H</w:t>
      </w:r>
      <w:r>
        <w:t>ydraulic conductivity values</w:t>
      </w:r>
      <w:r w:rsidR="00BE63EE">
        <w:t xml:space="preserve"> estimated by </w:t>
      </w:r>
      <w:proofErr w:type="spellStart"/>
      <w:r w:rsidR="00BE63EE">
        <w:t>Thamke</w:t>
      </w:r>
      <w:proofErr w:type="spellEnd"/>
      <w:r w:rsidR="00BE63EE">
        <w:t xml:space="preserve"> and others (2014) for the glacial aquifer system are as large</w:t>
      </w:r>
      <w:r w:rsidR="003546FF">
        <w:t xml:space="preserve"> as 25 fee</w:t>
      </w:r>
      <w:r w:rsidR="00BE63EE">
        <w:t xml:space="preserve">t per day, varying </w:t>
      </w:r>
      <w:r>
        <w:t xml:space="preserve">more </w:t>
      </w:r>
      <w:r w:rsidR="006C1F0E">
        <w:t>than for the lower Tertiary and</w:t>
      </w:r>
      <w:r>
        <w:t xml:space="preserve"> Upper Cretaceous aquifer systems. </w:t>
      </w:r>
    </w:p>
    <w:p w14:paraId="14A42229" w14:textId="77777777" w:rsidR="00E867BF" w:rsidRPr="00E867BF" w:rsidRDefault="00F010EF" w:rsidP="00A200E4">
      <w:pPr>
        <w:pStyle w:val="BodyText"/>
      </w:pPr>
      <w:r>
        <w:t>Davis and Long (2017a</w:t>
      </w:r>
      <w:proofErr w:type="gramStart"/>
      <w:r>
        <w:t xml:space="preserve">) </w:t>
      </w:r>
      <w:r w:rsidR="00363C72">
        <w:t xml:space="preserve"> separated</w:t>
      </w:r>
      <w:proofErr w:type="gramEnd"/>
      <w:r w:rsidR="00363C72">
        <w:t xml:space="preserve"> the glacial aquifer syst</w:t>
      </w:r>
      <w:r w:rsidR="006C1F0E">
        <w:t>em into two layers and subdivided</w:t>
      </w:r>
      <w:r w:rsidR="00363C72">
        <w:t xml:space="preserve"> these layers horizontally to represent different materials present in the glacial drift. </w:t>
      </w:r>
      <w:r w:rsidR="00957D26">
        <w:t>The upper layer was subdivided into three m</w:t>
      </w:r>
      <w:r w:rsidR="00F1156E">
        <w:t xml:space="preserve">aterial zones: </w:t>
      </w:r>
      <w:r w:rsidR="006213F8">
        <w:t>(1) low-</w:t>
      </w:r>
      <w:r w:rsidR="006213F8" w:rsidRPr="001A7E86">
        <w:t>permeability</w:t>
      </w:r>
      <w:r w:rsidR="006213F8">
        <w:t xml:space="preserve"> material </w:t>
      </w:r>
      <w:r w:rsidR="006213F8">
        <w:lastRenderedPageBreak/>
        <w:t>consisting of till, (2) medium-</w:t>
      </w:r>
      <w:r w:rsidR="006213F8" w:rsidRPr="001A7E86">
        <w:t>permeability</w:t>
      </w:r>
      <w:r w:rsidR="006213F8">
        <w:t xml:space="preserve"> material consisting of</w:t>
      </w:r>
      <w:r w:rsidR="006213F8" w:rsidRPr="001A7E86">
        <w:t xml:space="preserve"> glaciolacustr</w:t>
      </w:r>
      <w:r w:rsidR="006213F8">
        <w:t>ine and glaciotectonic deposits, and (3</w:t>
      </w:r>
      <w:r w:rsidR="00957D26">
        <w:t xml:space="preserve">) high-permeability material consisting of </w:t>
      </w:r>
      <w:r w:rsidR="00957D26" w:rsidRPr="001A7E86">
        <w:t>glaciofluv</w:t>
      </w:r>
      <w:r w:rsidR="00957D26">
        <w:t xml:space="preserve">ial, loess, and eolian deposits. </w:t>
      </w:r>
      <w:r w:rsidR="00F1156E">
        <w:t xml:space="preserve">The lower layer was subdivided into two material zones: </w:t>
      </w:r>
      <w:r w:rsidR="006213F8">
        <w:t>(1) low-</w:t>
      </w:r>
      <w:r w:rsidR="006213F8" w:rsidRPr="001A7E86">
        <w:t>permeability</w:t>
      </w:r>
      <w:r w:rsidR="006213F8">
        <w:t xml:space="preserve"> material consisting of till and (2</w:t>
      </w:r>
      <w:r w:rsidR="00F1156E">
        <w:t xml:space="preserve">) high-permeability material consisting of sand and gravel that </w:t>
      </w:r>
      <w:r w:rsidR="003C3BC9">
        <w:t>filled pre-</w:t>
      </w:r>
      <w:r w:rsidR="00F1156E">
        <w:t>glacial valleys</w:t>
      </w:r>
      <w:r w:rsidR="003C3BC9">
        <w:t xml:space="preserve">. </w:t>
      </w:r>
      <w:proofErr w:type="gramStart"/>
      <w:r w:rsidR="003C3BC9">
        <w:t xml:space="preserve">These valley-fill aquifers </w:t>
      </w:r>
      <w:r w:rsidR="006213F8">
        <w:t>may be covered by different materials of low, medium, or high permeability</w:t>
      </w:r>
      <w:proofErr w:type="gramEnd"/>
      <w:r w:rsidR="006213F8">
        <w:t xml:space="preserve">. </w:t>
      </w:r>
      <w:r w:rsidR="00F1156E">
        <w:t xml:space="preserve"> </w:t>
      </w:r>
      <w:r w:rsidR="006213F8">
        <w:t>T</w:t>
      </w:r>
      <w:r w:rsidR="003C3BC9">
        <w:t xml:space="preserve">he spatial distribution of these five glacial-material zones </w:t>
      </w:r>
      <w:r w:rsidR="006213F8">
        <w:t xml:space="preserve">are shown in </w:t>
      </w:r>
      <w:r>
        <w:t>Davis and Long (2017a</w:t>
      </w:r>
      <w:proofErr w:type="gramStart"/>
      <w:r>
        <w:t xml:space="preserve">) </w:t>
      </w:r>
      <w:r w:rsidR="006213F8">
        <w:t>.</w:t>
      </w:r>
      <w:proofErr w:type="gramEnd"/>
    </w:p>
    <w:p w14:paraId="77BF4B9E" w14:textId="77777777" w:rsidR="00E867BF" w:rsidRDefault="00E867BF" w:rsidP="00E867BF">
      <w:pPr>
        <w:pStyle w:val="BodyText"/>
      </w:pPr>
      <w:bookmarkStart w:id="52" w:name="_Ref468787882"/>
      <w:r>
        <w:t>The lower Tertiary aquifer system</w:t>
      </w:r>
      <w:r w:rsidRPr="00F76BBD">
        <w:t xml:space="preserve"> </w:t>
      </w:r>
      <w:r w:rsidRPr="00D2396D">
        <w:t xml:space="preserve">in the </w:t>
      </w:r>
      <w:r>
        <w:t>Williston basin consists of the upper and lower Fort Union aquifers separated by the middle Fort Union hydrogeologic unit (</w:t>
      </w:r>
      <w:r>
        <w:fldChar w:fldCharType="begin"/>
      </w:r>
      <w:r>
        <w:instrText xml:space="preserve"> REF _Ref468788043 \r \h </w:instrText>
      </w:r>
      <w:r>
        <w:fldChar w:fldCharType="separate"/>
      </w:r>
      <w:r w:rsidR="00D32500">
        <w:t>Figure 2</w:t>
      </w:r>
      <w:r>
        <w:fldChar w:fldCharType="end"/>
      </w:r>
      <w:r>
        <w:t>). This aqu</w:t>
      </w:r>
      <w:r w:rsidR="00A61EA1">
        <w:t>ifer system is as thick as 2,250</w:t>
      </w:r>
      <w:r>
        <w:t xml:space="preserve"> </w:t>
      </w:r>
      <w:proofErr w:type="spellStart"/>
      <w:r>
        <w:t>f</w:t>
      </w:r>
      <w:r w:rsidR="00A61EA1">
        <w:t>t</w:t>
      </w:r>
      <w:proofErr w:type="spellEnd"/>
      <w:r w:rsidR="00A61EA1">
        <w:t>, and estimated volume is 1,000</w:t>
      </w:r>
      <w:r>
        <w:t xml:space="preserve"> trillion ft³.</w:t>
      </w:r>
      <w:r w:rsidRPr="00520504">
        <w:t xml:space="preserve"> </w:t>
      </w:r>
      <w:r>
        <w:t>Rocks composing the lower Tertiary aquifer system represent many depositional environments, most commonly continental (fluvial, deltaic, tidal, barrier-</w:t>
      </w:r>
      <w:proofErr w:type="spellStart"/>
      <w:r>
        <w:t>shoreface</w:t>
      </w:r>
      <w:proofErr w:type="spellEnd"/>
      <w:r>
        <w:t>) depositional environments and less commonly, marine depositional environments (Flores and others, 1999).</w:t>
      </w:r>
    </w:p>
    <w:p w14:paraId="00C4EC9B" w14:textId="77777777" w:rsidR="00192A35" w:rsidRDefault="00192A35" w:rsidP="00E867BF">
      <w:pPr>
        <w:pStyle w:val="BodyText"/>
      </w:pPr>
      <w:r>
        <w:t>The upper Fort Union aquifer</w:t>
      </w:r>
      <w:r w:rsidR="00A61EA1">
        <w:t xml:space="preserve"> is composed of as much as 1,920</w:t>
      </w:r>
      <w:r>
        <w:t xml:space="preserve"> </w:t>
      </w:r>
      <w:proofErr w:type="spellStart"/>
      <w:r>
        <w:t>ft</w:t>
      </w:r>
      <w:proofErr w:type="spellEnd"/>
      <w:r>
        <w:t xml:space="preserve"> </w:t>
      </w:r>
      <w:r w:rsidR="003546FF">
        <w:t xml:space="preserve">of thickness </w:t>
      </w:r>
      <w:r>
        <w:t xml:space="preserve">of massive, </w:t>
      </w:r>
      <w:proofErr w:type="spellStart"/>
      <w:r>
        <w:t>crossbedded</w:t>
      </w:r>
      <w:proofErr w:type="spellEnd"/>
      <w:r>
        <w:t>, light yellow to light-yellow-gray sandstone, sandy mudstone, gray shale, carbonaceous shale, and thick coal beds and associated clinker deposits (permeable rocks created by the natural burning of coal beds). Rocks composing the aquifer generally are light-colored compared to the underlying middle Fort Union hydrogeologic unit. Thickness of the upper Fort Union aquifer is greatest in the central part of the Wi</w:t>
      </w:r>
      <w:r w:rsidR="003546FF">
        <w:t xml:space="preserve">lliston Basin, near the Montana and </w:t>
      </w:r>
      <w:r>
        <w:t>North Dakota border, and thins at the edges where erosion has removed most of the unit (</w:t>
      </w:r>
      <w:r>
        <w:fldChar w:fldCharType="begin"/>
      </w:r>
      <w:r>
        <w:instrText xml:space="preserve"> REF _Ref467588663 \r \h </w:instrText>
      </w:r>
      <w:r>
        <w:fldChar w:fldCharType="separate"/>
      </w:r>
      <w:r w:rsidR="003B7FE2">
        <w:t>Figure 4</w:t>
      </w:r>
      <w:r>
        <w:fldChar w:fldCharType="end"/>
      </w:r>
      <w:r>
        <w:t>).</w:t>
      </w:r>
    </w:p>
    <w:p w14:paraId="1DB5A1B2" w14:textId="77777777" w:rsidR="00EC1E1E" w:rsidRPr="00192A35" w:rsidRDefault="00192A35" w:rsidP="00192A35">
      <w:pPr>
        <w:pStyle w:val="BodyText"/>
      </w:pPr>
      <w:r>
        <w:t>Present throughout the central part of the Williston Basin, the middle Fort Union hydrogeologic unit thins towa</w:t>
      </w:r>
      <w:r w:rsidR="003546FF">
        <w:t>rd the northeast and is not present in</w:t>
      </w:r>
      <w:r>
        <w:t xml:space="preserve"> the northeast one-third of the basin. Composed of as much as 520 </w:t>
      </w:r>
      <w:proofErr w:type="spellStart"/>
      <w:r>
        <w:t>ft</w:t>
      </w:r>
      <w:proofErr w:type="spellEnd"/>
      <w:r w:rsidR="003546FF">
        <w:t xml:space="preserve"> of thickness</w:t>
      </w:r>
      <w:r>
        <w:t xml:space="preserve"> of alternating beds of sandstone, siltstone, </w:t>
      </w:r>
      <w:r>
        <w:lastRenderedPageBreak/>
        <w:t>mudstone, claystone, and lignite, rocks in the middle Fort Union hydrogeologic unit generally are finer-grained and darker-colored than the overlying upper Fort Union aquifer and underlying lower Fort Union aquifer. Because of spatially variable lithology, the middle Fort Union hydrogeologic unit may act as a confining unit in some areas and as an aquifer in other areas. The lower Fort Union aquif</w:t>
      </w:r>
      <w:r w:rsidR="00A61EA1">
        <w:t>er is composed of as much as 670</w:t>
      </w:r>
      <w:r>
        <w:t xml:space="preserve"> </w:t>
      </w:r>
      <w:proofErr w:type="spellStart"/>
      <w:r>
        <w:t>ft</w:t>
      </w:r>
      <w:proofErr w:type="spellEnd"/>
      <w:r>
        <w:t xml:space="preserve"> of </w:t>
      </w:r>
      <w:r w:rsidR="003546FF">
        <w:t xml:space="preserve">thickness of </w:t>
      </w:r>
      <w:r>
        <w:t>yellow-</w:t>
      </w:r>
      <w:r w:rsidR="003546FF">
        <w:t>weathering sandstones and light-</w:t>
      </w:r>
      <w:r>
        <w:t xml:space="preserve">gray-weathering sandy mudstones </w:t>
      </w:r>
      <w:proofErr w:type="spellStart"/>
      <w:r>
        <w:t>interfingering</w:t>
      </w:r>
      <w:proofErr w:type="spellEnd"/>
      <w:r>
        <w:t xml:space="preserve"> with alternating brown and gray beds of sandstone, siltstone, claystone, mudstone, and lignite deposited in continental and marine environments.</w:t>
      </w:r>
    </w:p>
    <w:p w14:paraId="5C08E3A9" w14:textId="77777777" w:rsidR="006A45FE" w:rsidRDefault="00E867BF" w:rsidP="00A61EA1">
      <w:pPr>
        <w:pStyle w:val="BodyText"/>
      </w:pPr>
      <w:r>
        <w:t xml:space="preserve">The Upper Cretaceous aquifer system is the deepest and most areally extensive of the </w:t>
      </w:r>
      <w:proofErr w:type="gramStart"/>
      <w:r>
        <w:t>t</w:t>
      </w:r>
      <w:r w:rsidR="007445AC">
        <w:t>hree aquifer</w:t>
      </w:r>
      <w:proofErr w:type="gramEnd"/>
      <w:r w:rsidR="007445AC">
        <w:t xml:space="preserve"> systems and </w:t>
      </w:r>
      <w:r>
        <w:t>consists of, from top to bottom, the upper Hell Creek hydrogeologic unit, lower Hell Creek aquifer, and the Fox Hills aquifer (</w:t>
      </w:r>
      <w:r>
        <w:fldChar w:fldCharType="begin"/>
      </w:r>
      <w:r>
        <w:instrText xml:space="preserve"> REF _Ref468788107 \r \h </w:instrText>
      </w:r>
      <w:r>
        <w:fldChar w:fldCharType="separate"/>
      </w:r>
      <w:r w:rsidR="00D32500">
        <w:t>Figure 2</w:t>
      </w:r>
      <w:r>
        <w:fldChar w:fldCharType="end"/>
      </w:r>
      <w:r>
        <w:t>).</w:t>
      </w:r>
      <w:r w:rsidRPr="009916A2">
        <w:t xml:space="preserve"> </w:t>
      </w:r>
      <w:r w:rsidR="00192A35">
        <w:t xml:space="preserve">The volume of this aquifer system is about </w:t>
      </w:r>
      <w:r w:rsidR="00A61EA1">
        <w:t>1,000</w:t>
      </w:r>
      <w:r>
        <w:t xml:space="preserve"> trillion ft³</w:t>
      </w:r>
      <w:r w:rsidRPr="00D16AF4">
        <w:t xml:space="preserve"> </w:t>
      </w:r>
      <w:r w:rsidRPr="00D2396D">
        <w:t xml:space="preserve">in the </w:t>
      </w:r>
      <w:r w:rsidR="001A2225">
        <w:t>Williston Basin</w:t>
      </w:r>
      <w:r>
        <w:t xml:space="preserve">. </w:t>
      </w:r>
      <w:r w:rsidR="008E0F21">
        <w:t>The upper Hell Creek hydrogeologic un</w:t>
      </w:r>
      <w:r w:rsidR="00A61EA1">
        <w:t>it is composed of as much as 740</w:t>
      </w:r>
      <w:r w:rsidR="008E0F21">
        <w:t xml:space="preserve"> </w:t>
      </w:r>
      <w:proofErr w:type="spellStart"/>
      <w:r w:rsidR="008E0F21">
        <w:t>ft</w:t>
      </w:r>
      <w:proofErr w:type="spellEnd"/>
      <w:r w:rsidR="003546FF">
        <w:t xml:space="preserve"> of thickness</w:t>
      </w:r>
      <w:r w:rsidR="008E0F21">
        <w:t xml:space="preserve"> of alternating layers of gray and brown mudstone, siltstone, sandstone, and sparse lignite beds deposited by meandering </w:t>
      </w:r>
      <w:r w:rsidR="00846025">
        <w:t>streams</w:t>
      </w:r>
      <w:r w:rsidR="008E0F21">
        <w:t xml:space="preserve"> with point bars and channel plugs. </w:t>
      </w:r>
      <w:r w:rsidR="00846025">
        <w:t>Because of spatial variability, this lithology</w:t>
      </w:r>
      <w:r w:rsidR="00192A35">
        <w:t xml:space="preserve"> may act as a confining unit in some areas and as an aquifer in other areas.</w:t>
      </w:r>
      <w:r w:rsidR="00846025">
        <w:t xml:space="preserve"> The general lithology of the lower Hell Creek aquifer is similar to the upper Hell Creek hydrogeologic unit</w:t>
      </w:r>
      <w:r w:rsidR="008E0F21">
        <w:t>,</w:t>
      </w:r>
      <w:r w:rsidR="00846025">
        <w:t xml:space="preserve"> except that the latter has a smaller</w:t>
      </w:r>
      <w:r w:rsidR="008E0F21">
        <w:t xml:space="preserve"> percentage of sandstone. </w:t>
      </w:r>
      <w:r w:rsidR="003546FF">
        <w:t>Stream-c</w:t>
      </w:r>
      <w:r w:rsidR="006568D7">
        <w:t>hannel deposits and erosional surfaces are common in the lower Hell Creek aquifer (Flores, 1992)</w:t>
      </w:r>
      <w:r w:rsidR="003546FF">
        <w:t>, w</w:t>
      </w:r>
      <w:r w:rsidR="00A61EA1">
        <w:t>ith</w:t>
      </w:r>
      <w:r w:rsidR="006568D7">
        <w:t xml:space="preserve"> a maximum thickness of </w:t>
      </w:r>
      <w:r w:rsidR="00A61EA1">
        <w:t>as much as 550</w:t>
      </w:r>
      <w:r w:rsidR="006568D7">
        <w:t xml:space="preserve"> </w:t>
      </w:r>
      <w:proofErr w:type="spellStart"/>
      <w:r w:rsidR="006568D7">
        <w:t>ft</w:t>
      </w:r>
      <w:proofErr w:type="spellEnd"/>
      <w:r w:rsidR="006568D7">
        <w:t xml:space="preserve"> in the Williston Basin. </w:t>
      </w:r>
      <w:r w:rsidR="006426B6">
        <w:t>The Fox Hills aquifer</w:t>
      </w:r>
      <w:r w:rsidR="003546FF">
        <w:t xml:space="preserve"> is</w:t>
      </w:r>
      <w:r w:rsidR="006426B6">
        <w:t xml:space="preserve"> </w:t>
      </w:r>
      <w:r w:rsidR="003546FF">
        <w:t xml:space="preserve">as much as 420 </w:t>
      </w:r>
      <w:proofErr w:type="spellStart"/>
      <w:r w:rsidR="003546FF">
        <w:t>ft</w:t>
      </w:r>
      <w:proofErr w:type="spellEnd"/>
      <w:r w:rsidR="003546FF">
        <w:t xml:space="preserve"> thick and consists of</w:t>
      </w:r>
      <w:r w:rsidR="006426B6">
        <w:t xml:space="preserve"> interbedded sandstone, siltstone, and mudstone.</w:t>
      </w:r>
    </w:p>
    <w:p w14:paraId="5C12A000" w14:textId="77777777" w:rsidR="00E867BF" w:rsidRDefault="00E867BF" w:rsidP="00E867BF">
      <w:pPr>
        <w:pStyle w:val="Heading2"/>
      </w:pPr>
      <w:bookmarkStart w:id="53" w:name="_Toc468441112"/>
      <w:bookmarkStart w:id="54" w:name="_Toc477244258"/>
      <w:r>
        <w:lastRenderedPageBreak/>
        <w:t>Conceptual Model of Groundwater Flow</w:t>
      </w:r>
      <w:bookmarkEnd w:id="53"/>
      <w:bookmarkEnd w:id="54"/>
    </w:p>
    <w:p w14:paraId="5190FAD0" w14:textId="77777777" w:rsidR="00BC09DF" w:rsidRDefault="005C3DFE" w:rsidP="00BC09DF">
      <w:pPr>
        <w:pStyle w:val="BodyText"/>
      </w:pPr>
      <w:r>
        <w:t>Average long-term p</w:t>
      </w:r>
      <w:r w:rsidRPr="005030EE">
        <w:t>recipitati</w:t>
      </w:r>
      <w:r>
        <w:t>on recharge</w:t>
      </w:r>
      <w:r w:rsidR="006F7BFA">
        <w:t xml:space="preserve"> (</w:t>
      </w:r>
      <w:r w:rsidR="006F7BFA" w:rsidRPr="005030EE">
        <w:t>1985–2011</w:t>
      </w:r>
      <w:r w:rsidR="006F7BFA">
        <w:t>)</w:t>
      </w:r>
      <w:r>
        <w:t xml:space="preserve"> for the study area</w:t>
      </w:r>
      <w:r w:rsidRPr="005030EE">
        <w:t xml:space="preserve"> ranges fro</w:t>
      </w:r>
      <w:r>
        <w:t>m zero to about</w:t>
      </w:r>
      <w:r w:rsidRPr="005030EE">
        <w:t xml:space="preserve"> 10 inches per year</w:t>
      </w:r>
      <w:r>
        <w:t xml:space="preserve"> (Long and others, 2014), generally with low values in the west and high values in the east</w:t>
      </w:r>
      <w:r w:rsidRPr="005030EE">
        <w:t xml:space="preserve">. </w:t>
      </w:r>
      <w:r w:rsidR="00B549B3">
        <w:t>Precipitation in the form of snow primar</w:t>
      </w:r>
      <w:r w:rsidR="005050D0">
        <w:t xml:space="preserve">ily is stored during winter and </w:t>
      </w:r>
      <w:r w:rsidR="00B549B3">
        <w:t xml:space="preserve">infiltrates during spring melting periods. </w:t>
      </w:r>
      <w:r w:rsidR="00BC09DF">
        <w:t>Ground</w:t>
      </w:r>
      <w:r>
        <w:t xml:space="preserve">water recharge in the study area also results from </w:t>
      </w:r>
      <w:r w:rsidR="00BC09DF">
        <w:t>stream reaches that lose flow as the</w:t>
      </w:r>
      <w:r>
        <w:t>y infiltrate the ground and</w:t>
      </w:r>
      <w:r w:rsidR="00BC09DF">
        <w:t xml:space="preserve"> reservoir water that potentially seeps into the ground (</w:t>
      </w:r>
      <w:r w:rsidR="00BC09DF" w:rsidRPr="00D2396D">
        <w:t>Whitehead, 1996</w:t>
      </w:r>
      <w:r w:rsidR="00BC09DF">
        <w:t xml:space="preserve">; </w:t>
      </w:r>
      <w:proofErr w:type="spellStart"/>
      <w:r w:rsidR="00BC09DF">
        <w:t>Aurand</w:t>
      </w:r>
      <w:proofErr w:type="spellEnd"/>
      <w:r w:rsidR="00BC09DF">
        <w:t>, 2013; Bednar, 2013; Long and others, 2014</w:t>
      </w:r>
      <w:r w:rsidR="00BC09DF" w:rsidRPr="00D2396D">
        <w:t>)</w:t>
      </w:r>
      <w:r w:rsidR="00BC09DF">
        <w:t>. Groun</w:t>
      </w:r>
      <w:r w:rsidR="00B549B3">
        <w:t>dwater loses</w:t>
      </w:r>
      <w:r w:rsidR="00BC09DF">
        <w:t xml:space="preserve"> fl</w:t>
      </w:r>
      <w:r w:rsidR="00B549B3">
        <w:t>ow to streams and reservoirs by</w:t>
      </w:r>
      <w:r w:rsidR="00BC09DF">
        <w:t xml:space="preserve"> exfil</w:t>
      </w:r>
      <w:r w:rsidR="00B549B3">
        <w:t>tration</w:t>
      </w:r>
      <w:r w:rsidR="00BC09DF">
        <w:t xml:space="preserve"> through the streambed mate</w:t>
      </w:r>
      <w:r w:rsidR="006F7BFA">
        <w:t>rial or</w:t>
      </w:r>
      <w:r w:rsidR="00BC09DF">
        <w:t xml:space="preserve"> reservoir bottom sediment.</w:t>
      </w:r>
      <w:r w:rsidR="005050D0">
        <w:t xml:space="preserve"> E</w:t>
      </w:r>
      <w:r w:rsidR="00B549B3">
        <w:t>xfiltration to streams provides important base flow that sustains many streams during dry seasons</w:t>
      </w:r>
      <w:r w:rsidR="00A1144D">
        <w:t xml:space="preserve"> (</w:t>
      </w:r>
      <w:r w:rsidR="00A1144D">
        <w:fldChar w:fldCharType="begin"/>
      </w:r>
      <w:r w:rsidR="00A1144D">
        <w:instrText xml:space="preserve"> REF _Ref476647164 \r \h </w:instrText>
      </w:r>
      <w:r w:rsidR="00A1144D">
        <w:fldChar w:fldCharType="separate"/>
      </w:r>
      <w:r w:rsidR="003B7FE2">
        <w:t>Figure 5</w:t>
      </w:r>
      <w:r w:rsidR="00A1144D">
        <w:fldChar w:fldCharType="end"/>
      </w:r>
      <w:r w:rsidR="00A1144D">
        <w:t>)</w:t>
      </w:r>
      <w:r w:rsidR="00B549B3">
        <w:t>.</w:t>
      </w:r>
      <w:r w:rsidR="00BC09DF">
        <w:t xml:space="preserve"> </w:t>
      </w:r>
      <w:r w:rsidR="006F7BFA">
        <w:t>Groundwater</w:t>
      </w:r>
      <w:r w:rsidR="00BC09DF">
        <w:t xml:space="preserve"> </w:t>
      </w:r>
      <w:r w:rsidR="00BC09DF" w:rsidRPr="00D2396D">
        <w:t>w</w:t>
      </w:r>
      <w:r w:rsidR="00BC09DF">
        <w:t>ithdrawals</w:t>
      </w:r>
      <w:r w:rsidR="006F7BFA">
        <w:t xml:space="preserve"> are used</w:t>
      </w:r>
      <w:r w:rsidR="00BC09DF">
        <w:t xml:space="preserve"> for agriculture</w:t>
      </w:r>
      <w:r w:rsidR="00BC09DF" w:rsidRPr="00D2396D">
        <w:t xml:space="preserve">, </w:t>
      </w:r>
      <w:r w:rsidR="00BC09DF">
        <w:t>public supply,</w:t>
      </w:r>
      <w:r w:rsidR="007E628F">
        <w:t xml:space="preserve"> industry</w:t>
      </w:r>
      <w:r w:rsidR="00BC09DF">
        <w:t>, and domestic</w:t>
      </w:r>
      <w:r w:rsidR="006F7BFA">
        <w:t xml:space="preserve"> </w:t>
      </w:r>
      <w:r w:rsidR="007E628F">
        <w:t>needs</w:t>
      </w:r>
      <w:r w:rsidR="00BC09DF" w:rsidRPr="00D2396D">
        <w:t>.</w:t>
      </w:r>
      <w:r w:rsidR="00BC09DF">
        <w:t xml:space="preserve"> </w:t>
      </w:r>
    </w:p>
    <w:p w14:paraId="41F2DD19" w14:textId="77777777" w:rsidR="00BC09DF" w:rsidRDefault="00BC09DF" w:rsidP="00E32E70">
      <w:pPr>
        <w:pStyle w:val="BodyText"/>
      </w:pPr>
      <w:r>
        <w:t xml:space="preserve">Long and others (2014) estimated the </w:t>
      </w:r>
      <w:r w:rsidR="00D3419C">
        <w:t>groundwater-flow budget</w:t>
      </w:r>
      <w:r>
        <w:t>, or balance of total groundwater inflows and outflows, for a control volume within the study area; this control volume was defined as a volume of the earth consisting of the lower Tertiary and Upper Cretaceous aquifer systems and the glacial aquifer system directly overlying these bedrock aquifer systems in the Williston basin (</w:t>
      </w:r>
      <w:r>
        <w:fldChar w:fldCharType="begin"/>
      </w:r>
      <w:r>
        <w:instrText xml:space="preserve"> REF _Ref468791623 \r \h </w:instrText>
      </w:r>
      <w:r>
        <w:fldChar w:fldCharType="separate"/>
      </w:r>
      <w:r w:rsidR="003B7FE2">
        <w:t>Table 1</w:t>
      </w:r>
      <w:r>
        <w:fldChar w:fldCharType="end"/>
      </w:r>
      <w:r>
        <w:t>). The Upper Cretaceous aquifer system defines the horizontal extent (</w:t>
      </w:r>
      <w:r>
        <w:fldChar w:fldCharType="begin"/>
      </w:r>
      <w:r>
        <w:instrText xml:space="preserve"> REF _Ref476131578 \r \h </w:instrText>
      </w:r>
      <w:r>
        <w:fldChar w:fldCharType="separate"/>
      </w:r>
      <w:r w:rsidR="003B7FE2">
        <w:t>Figure 1</w:t>
      </w:r>
      <w:r>
        <w:fldChar w:fldCharType="end"/>
      </w:r>
      <w:r>
        <w:t>) and bottom of the control volume, and the land surface define</w:t>
      </w:r>
      <w:r w:rsidR="005F428C">
        <w:t>s the top.</w:t>
      </w:r>
      <w:r w:rsidR="005050D0">
        <w:t xml:space="preserve"> </w:t>
      </w:r>
      <w:r w:rsidR="00F010EF">
        <w:t>Davis and Long (2017a</w:t>
      </w:r>
      <w:proofErr w:type="gramStart"/>
      <w:r w:rsidR="00F010EF">
        <w:t xml:space="preserve">) </w:t>
      </w:r>
      <w:r w:rsidR="005F428C">
        <w:t xml:space="preserve"> used</w:t>
      </w:r>
      <w:proofErr w:type="gramEnd"/>
      <w:r w:rsidR="005F428C">
        <w:t xml:space="preserve"> a numerical model to estimate the </w:t>
      </w:r>
      <w:r w:rsidR="00D3419C">
        <w:t>groundwater-flow budget</w:t>
      </w:r>
      <w:r w:rsidR="005F428C">
        <w:t xml:space="preserve"> for</w:t>
      </w:r>
      <w:r>
        <w:t xml:space="preserve"> this </w:t>
      </w:r>
      <w:r w:rsidR="005F428C">
        <w:t xml:space="preserve">same </w:t>
      </w:r>
      <w:r>
        <w:t>control volume</w:t>
      </w:r>
      <w:r w:rsidR="007E628F">
        <w:t>, and a comparison to the estimates of Long and others (2014)</w:t>
      </w:r>
      <w:r w:rsidR="005050D0">
        <w:t xml:space="preserve"> is provided in </w:t>
      </w:r>
      <w:r>
        <w:fldChar w:fldCharType="begin"/>
      </w:r>
      <w:r>
        <w:instrText xml:space="preserve"> REF _Ref468791623 \r \h </w:instrText>
      </w:r>
      <w:r>
        <w:fldChar w:fldCharType="separate"/>
      </w:r>
      <w:r w:rsidR="003B7FE2">
        <w:t>Table 1</w:t>
      </w:r>
      <w:r>
        <w:fldChar w:fldCharType="end"/>
      </w:r>
      <w:r>
        <w:t>.</w:t>
      </w:r>
      <w:r w:rsidR="005050D0">
        <w:t xml:space="preserve"> </w:t>
      </w:r>
    </w:p>
    <w:p w14:paraId="1D18D243" w14:textId="77777777" w:rsidR="00D26F28" w:rsidRDefault="00D26F28" w:rsidP="00330EFD">
      <w:pPr>
        <w:pStyle w:val="BodyText"/>
      </w:pPr>
      <w:r>
        <w:t>The gla</w:t>
      </w:r>
      <w:r w:rsidR="00A11E14">
        <w:t>cial aquifer system contains</w:t>
      </w:r>
      <w:r>
        <w:t xml:space="preserve"> productive buried sand and gravel aquifers that are the source of water for thousands of shallow wells (Whitehead, 1996</w:t>
      </w:r>
      <w:r w:rsidR="00BC09DF">
        <w:t>; Davis and Long, 2014</w:t>
      </w:r>
      <w:r>
        <w:t>). The</w:t>
      </w:r>
      <w:r w:rsidRPr="00D2396D">
        <w:t xml:space="preserve"> </w:t>
      </w:r>
      <w:r>
        <w:t xml:space="preserve">glacial aquifer system has a wide range of hydraulic conductivities and is characterized by </w:t>
      </w:r>
      <w:r>
        <w:lastRenderedPageBreak/>
        <w:t>disconnected local flow systems.</w:t>
      </w:r>
      <w:r w:rsidR="00FC3B7C">
        <w:t xml:space="preserve"> The underlying bedrock aquifers largely are</w:t>
      </w:r>
      <w:r w:rsidRPr="00D2396D">
        <w:t xml:space="preserve"> under confin</w:t>
      </w:r>
      <w:r>
        <w:t>ed</w:t>
      </w:r>
      <w:r w:rsidRPr="00D2396D">
        <w:t xml:space="preserve"> conditions</w:t>
      </w:r>
      <w:r>
        <w:t>,</w:t>
      </w:r>
      <w:r w:rsidRPr="00D2396D">
        <w:t xml:space="preserve"> except along </w:t>
      </w:r>
      <w:r>
        <w:t xml:space="preserve">the </w:t>
      </w:r>
      <w:r w:rsidR="00FC3B7C">
        <w:t>basin margins or</w:t>
      </w:r>
      <w:r w:rsidRPr="00D2396D">
        <w:t xml:space="preserve"> in </w:t>
      </w:r>
      <w:r>
        <w:t>the shallow</w:t>
      </w:r>
      <w:r w:rsidR="00FC3B7C">
        <w:t>est</w:t>
      </w:r>
      <w:r>
        <w:t xml:space="preserve"> aquifers. In the areas w</w:t>
      </w:r>
      <w:r w:rsidRPr="00D2396D">
        <w:t xml:space="preserve">here the </w:t>
      </w:r>
      <w:r w:rsidR="00BB55C5">
        <w:t>bedrock</w:t>
      </w:r>
      <w:r w:rsidRPr="00D2396D">
        <w:t xml:space="preserve"> </w:t>
      </w:r>
      <w:r>
        <w:t>aquifer systems are overlain by</w:t>
      </w:r>
      <w:r w:rsidRPr="00D2396D">
        <w:t xml:space="preserve"> </w:t>
      </w:r>
      <w:r>
        <w:t>the glacial aquifer system (</w:t>
      </w:r>
      <w:r>
        <w:fldChar w:fldCharType="begin"/>
      </w:r>
      <w:r>
        <w:instrText xml:space="preserve"> REF _Ref468786106 \r \h </w:instrText>
      </w:r>
      <w:r>
        <w:fldChar w:fldCharType="separate"/>
      </w:r>
      <w:r w:rsidR="003B7FE2">
        <w:t>Figure 1</w:t>
      </w:r>
      <w:r>
        <w:fldChar w:fldCharType="end"/>
      </w:r>
      <w:r w:rsidR="00A11E14">
        <w:t xml:space="preserve">; </w:t>
      </w:r>
      <w:r w:rsidR="00A11E14">
        <w:fldChar w:fldCharType="begin"/>
      </w:r>
      <w:r w:rsidR="00A11E14">
        <w:instrText xml:space="preserve"> REF _Ref467511820 \r \h </w:instrText>
      </w:r>
      <w:r w:rsidR="00A11E14">
        <w:fldChar w:fldCharType="separate"/>
      </w:r>
      <w:r w:rsidR="003B7FE2">
        <w:t>Figure 4</w:t>
      </w:r>
      <w:r w:rsidR="00A11E14">
        <w:fldChar w:fldCharType="end"/>
      </w:r>
      <w:r w:rsidRPr="00D2396D">
        <w:t xml:space="preserve">), water percolates downward through the </w:t>
      </w:r>
      <w:r>
        <w:t xml:space="preserve">glacial </w:t>
      </w:r>
      <w:r w:rsidRPr="00D2396D">
        <w:t>deposits</w:t>
      </w:r>
      <w:r w:rsidR="00FC3B7C">
        <w:t xml:space="preserve"> and</w:t>
      </w:r>
      <w:r w:rsidRPr="00D2396D">
        <w:t xml:space="preserve"> </w:t>
      </w:r>
      <w:r w:rsidR="00FC3B7C">
        <w:t>in</w:t>
      </w:r>
      <w:r w:rsidRPr="00D2396D">
        <w:t xml:space="preserve">to the </w:t>
      </w:r>
      <w:r>
        <w:t>bedrock aquifers</w:t>
      </w:r>
      <w:r w:rsidRPr="00D2396D">
        <w:t>.</w:t>
      </w:r>
      <w:r>
        <w:t xml:space="preserve"> </w:t>
      </w:r>
      <w:r w:rsidR="00E3453B">
        <w:t xml:space="preserve">Groundwater flow </w:t>
      </w:r>
      <w:r>
        <w:t>in the</w:t>
      </w:r>
      <w:r w:rsidR="00E3453B">
        <w:t xml:space="preserve"> study area</w:t>
      </w:r>
      <w:r w:rsidR="00524E45">
        <w:t>,</w:t>
      </w:r>
      <w:r w:rsidR="00E3453B">
        <w:t xml:space="preserve"> </w:t>
      </w:r>
      <w:r w:rsidR="00524E45">
        <w:t xml:space="preserve">particularly in the deeper aquifers, </w:t>
      </w:r>
      <w:r w:rsidR="00E3453B">
        <w:t>generally i</w:t>
      </w:r>
      <w:r>
        <w:t>s from west and southwest to the east</w:t>
      </w:r>
      <w:r w:rsidR="00524E45">
        <w:t xml:space="preserve">, where </w:t>
      </w:r>
      <w:r>
        <w:t>dis</w:t>
      </w:r>
      <w:r w:rsidR="00E32E70">
        <w:t>charge</w:t>
      </w:r>
      <w:r w:rsidR="00524E45">
        <w:t xml:space="preserve"> to streams and springs occurs; </w:t>
      </w:r>
      <w:r w:rsidR="00BB55C5">
        <w:t>in the shallower aquifers,</w:t>
      </w:r>
      <w:r w:rsidR="00E32E70">
        <w:t xml:space="preserve"> however,</w:t>
      </w:r>
      <w:r w:rsidR="00BB55C5">
        <w:t xml:space="preserve"> </w:t>
      </w:r>
      <w:r w:rsidR="00524E45">
        <w:t>g</w:t>
      </w:r>
      <w:r w:rsidR="00E3453B">
        <w:t>roundwater f</w:t>
      </w:r>
      <w:r w:rsidR="00524E45">
        <w:t>low</w:t>
      </w:r>
      <w:r w:rsidR="00BB55C5">
        <w:t xml:space="preserve"> </w:t>
      </w:r>
      <w:r w:rsidR="00E3453B">
        <w:t>largely</w:t>
      </w:r>
      <w:r w:rsidR="00BB55C5">
        <w:t xml:space="preserve"> is</w:t>
      </w:r>
      <w:r w:rsidR="00E3453B">
        <w:t xml:space="preserve"> controlled by land-surface topography</w:t>
      </w:r>
      <w:r w:rsidR="00010259">
        <w:t xml:space="preserve">, with </w:t>
      </w:r>
      <w:r w:rsidR="00FC3B7C">
        <w:t>steeper potentiometric surfaces</w:t>
      </w:r>
      <w:r w:rsidR="00010259">
        <w:t xml:space="preserve"> than in the underlying aquifers</w:t>
      </w:r>
      <w:r w:rsidR="00E32E70">
        <w:t xml:space="preserve"> (</w:t>
      </w:r>
      <w:r w:rsidR="00E32E70">
        <w:fldChar w:fldCharType="begin"/>
      </w:r>
      <w:r w:rsidR="00E32E70">
        <w:instrText xml:space="preserve"> REF _Ref476313746 \r \h </w:instrText>
      </w:r>
      <w:r w:rsidR="00E32E70">
        <w:fldChar w:fldCharType="separate"/>
      </w:r>
      <w:r w:rsidR="00BC5220">
        <w:t>Figure 5</w:t>
      </w:r>
      <w:r w:rsidR="00E32E70">
        <w:fldChar w:fldCharType="end"/>
      </w:r>
      <w:r w:rsidR="00E32E70">
        <w:t>)</w:t>
      </w:r>
      <w:r w:rsidR="00BB55C5">
        <w:rPr>
          <w:noProof/>
        </w:rPr>
        <w:t xml:space="preserve"> </w:t>
      </w:r>
      <w:r w:rsidR="00BB55C5">
        <w:t>(Long and others, 2014)</w:t>
      </w:r>
      <w:r w:rsidR="00E3453B">
        <w:rPr>
          <w:noProof/>
        </w:rPr>
        <w:t>.</w:t>
      </w:r>
      <w:r w:rsidR="0089734F">
        <w:rPr>
          <w:noProof/>
        </w:rPr>
        <w:t xml:space="preserve"> Further</w:t>
      </w:r>
      <w:r w:rsidR="0089734F">
        <w:t xml:space="preserve"> </w:t>
      </w:r>
      <w:proofErr w:type="gramStart"/>
      <w:r w:rsidR="0089734F">
        <w:t>description of groundwater fl</w:t>
      </w:r>
      <w:r w:rsidR="00FC3B7C">
        <w:t>ow characteristics are</w:t>
      </w:r>
      <w:proofErr w:type="gramEnd"/>
      <w:r w:rsidR="0089734F">
        <w:t xml:space="preserve"> in the section “Comparison of Conceptual and Numerical Models.”</w:t>
      </w:r>
    </w:p>
    <w:p w14:paraId="5C47276F" w14:textId="77777777" w:rsidR="0069721F" w:rsidRDefault="0069721F" w:rsidP="00330EFD">
      <w:pPr>
        <w:pStyle w:val="BodyText"/>
      </w:pPr>
    </w:p>
    <w:p w14:paraId="30C0B806" w14:textId="77777777" w:rsidR="00D26F28" w:rsidRDefault="0069721F" w:rsidP="0069721F">
      <w:pPr>
        <w:pStyle w:val="FigureCaption"/>
      </w:pPr>
      <w:bookmarkStart w:id="55" w:name="_Toc468707873"/>
      <w:bookmarkStart w:id="56" w:name="_Ref468788306"/>
      <w:bookmarkStart w:id="57" w:name="_Ref476313746"/>
      <w:bookmarkStart w:id="58" w:name="_Ref476647164"/>
      <w:bookmarkStart w:id="59" w:name="_Toc486491999"/>
      <w:r>
        <w:t>Conceptual model of groundwater flow (modified from Long and others, 2014)</w:t>
      </w:r>
      <w:bookmarkEnd w:id="55"/>
      <w:bookmarkEnd w:id="56"/>
      <w:bookmarkEnd w:id="57"/>
      <w:bookmarkEnd w:id="58"/>
      <w:bookmarkEnd w:id="59"/>
    </w:p>
    <w:p w14:paraId="6C608AD4" w14:textId="77777777" w:rsidR="008C2430" w:rsidRPr="006258BA" w:rsidRDefault="008C2430" w:rsidP="006258BA">
      <w:pPr>
        <w:pStyle w:val="TableTitle"/>
        <w:rPr>
          <w:rStyle w:val="Run-inHead"/>
          <w:rFonts w:ascii="Arial Narrow" w:hAnsi="Arial Narrow"/>
          <w:i w:val="0"/>
          <w:szCs w:val="18"/>
        </w:rPr>
      </w:pPr>
      <w:bookmarkStart w:id="60" w:name="_Ref468791623"/>
      <w:bookmarkStart w:id="61" w:name="_Toc476317914"/>
      <w:bookmarkEnd w:id="39"/>
      <w:bookmarkEnd w:id="52"/>
      <w:r>
        <w:t xml:space="preserve">Estimated and simulated average </w:t>
      </w:r>
      <w:proofErr w:type="gramStart"/>
      <w:r>
        <w:t>groundwater recharge</w:t>
      </w:r>
      <w:proofErr w:type="gramEnd"/>
      <w:r>
        <w:t xml:space="preserve"> and discharge components for 1981–2005 within a control </w:t>
      </w:r>
      <w:proofErr w:type="spellStart"/>
      <w:r>
        <w:t>volume</w:t>
      </w:r>
      <w:r w:rsidRPr="004C063B">
        <w:rPr>
          <w:vertAlign w:val="superscript"/>
        </w:rPr>
        <w:t>a</w:t>
      </w:r>
      <w:proofErr w:type="spellEnd"/>
      <w:r>
        <w:t xml:space="preserve"> of the model domain (modified from </w:t>
      </w:r>
      <w:r w:rsidR="00AB7647">
        <w:t>Davis and Long, 2017a</w:t>
      </w:r>
      <w:r>
        <w:t>).</w:t>
      </w:r>
      <w:bookmarkEnd w:id="60"/>
      <w:bookmarkEnd w:id="61"/>
    </w:p>
    <w:p w14:paraId="4EBAE040" w14:textId="77777777" w:rsidR="00010259" w:rsidRDefault="00115AB9" w:rsidP="006258BA">
      <w:pPr>
        <w:pStyle w:val="BodyText"/>
      </w:pPr>
      <w:bookmarkStart w:id="62" w:name="_Toc59000061"/>
      <w:r w:rsidRPr="00313A11">
        <w:t>Declining groundwater levels have occurred locally</w:t>
      </w:r>
      <w:r w:rsidR="00ED4696">
        <w:t xml:space="preserve"> in the Fox Hills and Hell Creek aquifers</w:t>
      </w:r>
      <w:r w:rsidRPr="00313A11">
        <w:t xml:space="preserve"> as a result of flowing artesian wells that were installed </w:t>
      </w:r>
      <w:r w:rsidR="00FC3B7C">
        <w:t>to supply</w:t>
      </w:r>
      <w:r>
        <w:t xml:space="preserve"> water </w:t>
      </w:r>
      <w:r w:rsidRPr="00313A11">
        <w:t>for domestic</w:t>
      </w:r>
      <w:r w:rsidR="00FC3B7C">
        <w:t xml:space="preserve"> and agricultural</w:t>
      </w:r>
      <w:r w:rsidRPr="00313A11">
        <w:t xml:space="preserve"> use; these</w:t>
      </w:r>
      <w:r w:rsidR="006258BA">
        <w:t xml:space="preserve"> wells</w:t>
      </w:r>
      <w:r w:rsidRPr="00313A11">
        <w:t xml:space="preserve"> flow continuously as a result of hydrostatic pressure. Fischer (2013) described 521 flowing artesian wells in North Dakota</w:t>
      </w:r>
      <w:r w:rsidR="00FC3B7C">
        <w:t xml:space="preserve"> that are</w:t>
      </w:r>
      <w:r w:rsidRPr="00313A11">
        <w:t xml:space="preserve"> open to the Fox Hills and lower Hell Creek aquifers</w:t>
      </w:r>
      <w:r>
        <w:t>,</w:t>
      </w:r>
      <w:r w:rsidRPr="00313A11">
        <w:t xml:space="preserve"> primarily near the Yellowstone, Little Missouri, and Knife Rivers. Collectively, these wells have a total flow rate of about 1.6 ft</w:t>
      </w:r>
      <w:r w:rsidRPr="002565E5">
        <w:rPr>
          <w:vertAlign w:val="superscript"/>
        </w:rPr>
        <w:t>3</w:t>
      </w:r>
      <w:r w:rsidRPr="00313A11">
        <w:t>/s (Fischer, 2013). Near the Yellowstone River, flowing wells may have, in part, resulted in groundwater-level declines of about 1 foot per year (</w:t>
      </w:r>
      <w:proofErr w:type="spellStart"/>
      <w:r w:rsidRPr="00313A11">
        <w:t>ft</w:t>
      </w:r>
      <w:proofErr w:type="spellEnd"/>
      <w:r w:rsidRPr="00313A11">
        <w:t>/</w:t>
      </w:r>
      <w:proofErr w:type="spellStart"/>
      <w:r w:rsidRPr="00313A11">
        <w:t>yr</w:t>
      </w:r>
      <w:proofErr w:type="spellEnd"/>
      <w:r w:rsidRPr="00313A11">
        <w:t>) since the 1970s in the Fox Hills</w:t>
      </w:r>
      <w:r w:rsidR="00FC3B7C">
        <w:t xml:space="preserve"> and Hell Creek aquifers in that</w:t>
      </w:r>
      <w:r w:rsidRPr="00313A11">
        <w:t xml:space="preserve"> area (Smith and others, 2000; Fischer, 2013). Flowing artesian wells that discharge water from the </w:t>
      </w:r>
      <w:r w:rsidRPr="00313A11">
        <w:lastRenderedPageBreak/>
        <w:t>Upper Cretaceous aquifer system might allow leakage into the overlying lower Tertiary aquifer system because of inadequate sealing or corrosion of these wells (Fisch</w:t>
      </w:r>
      <w:r w:rsidR="00FC3B7C">
        <w:t>er, 2013)</w:t>
      </w:r>
      <w:r w:rsidRPr="00313A11">
        <w:t>.</w:t>
      </w:r>
    </w:p>
    <w:p w14:paraId="7239CD31" w14:textId="77777777" w:rsidR="00115AB9" w:rsidRDefault="00115AB9" w:rsidP="00115AB9">
      <w:pPr>
        <w:pStyle w:val="Heading2"/>
      </w:pPr>
      <w:bookmarkStart w:id="63" w:name="_Toc468441113"/>
      <w:bookmarkStart w:id="64" w:name="_Toc477244259"/>
      <w:r>
        <w:t>Summary of Numerical Model</w:t>
      </w:r>
      <w:bookmarkEnd w:id="63"/>
      <w:r w:rsidR="004B6FED">
        <w:t>ing</w:t>
      </w:r>
      <w:bookmarkEnd w:id="64"/>
    </w:p>
    <w:p w14:paraId="2E81B7C1" w14:textId="77777777" w:rsidR="005B6FA9" w:rsidRDefault="00115AB9" w:rsidP="00384E9B">
      <w:pPr>
        <w:pStyle w:val="BodyText"/>
      </w:pPr>
      <w:r>
        <w:t>Two calibrated numerical groundwater-flow models wer</w:t>
      </w:r>
      <w:r w:rsidR="00FE3443">
        <w:t xml:space="preserve">e documented by </w:t>
      </w:r>
      <w:r w:rsidR="00F010EF">
        <w:t>Davis and Long (2017a</w:t>
      </w:r>
      <w:r w:rsidR="008264D0">
        <w:t>, 2017b</w:t>
      </w:r>
      <w:proofErr w:type="gramStart"/>
      <w:r w:rsidR="00F010EF">
        <w:t xml:space="preserve">) </w:t>
      </w:r>
      <w:r>
        <w:t>.</w:t>
      </w:r>
      <w:proofErr w:type="gramEnd"/>
      <w:r>
        <w:t xml:space="preserve"> The first model re</w:t>
      </w:r>
      <w:r w:rsidR="00AF24AF">
        <w:t>presents average hydrologic</w:t>
      </w:r>
      <w:r>
        <w:t xml:space="preserve"> conditions for 1981‒2005 and is executed in steady-state mode (Harbaugh, 2005), hereafter referred to as the</w:t>
      </w:r>
      <w:r w:rsidR="005B6FA9">
        <w:t xml:space="preserve"> “steady-state model</w:t>
      </w:r>
      <w:r>
        <w:t xml:space="preserve">.” </w:t>
      </w:r>
      <w:r w:rsidR="00F83980">
        <w:t xml:space="preserve">The second model </w:t>
      </w:r>
      <w:r>
        <w:t xml:space="preserve">was calibrated to </w:t>
      </w:r>
      <w:proofErr w:type="gramStart"/>
      <w:r>
        <w:t>temporally-varying</w:t>
      </w:r>
      <w:proofErr w:type="gramEnd"/>
      <w:r>
        <w:t xml:space="preserve"> conditions for 1961‒2005, hereafter referred to as the “transient model.” </w:t>
      </w:r>
      <w:r w:rsidR="005B6FA9">
        <w:t xml:space="preserve">The transient model was designed to be a </w:t>
      </w:r>
      <w:r w:rsidR="00AE2DA8">
        <w:t>tool for forecasting the outcomes of</w:t>
      </w:r>
      <w:r w:rsidR="005B6FA9">
        <w:t xml:space="preserve"> different hyd</w:t>
      </w:r>
      <w:r w:rsidR="00AE2DA8">
        <w:t>rologic scenarios</w:t>
      </w:r>
      <w:r w:rsidR="005B6FA9">
        <w:t xml:space="preserve">. </w:t>
      </w:r>
      <w:proofErr w:type="spellStart"/>
      <w:r w:rsidR="00384E9B">
        <w:t>Thamke</w:t>
      </w:r>
      <w:proofErr w:type="spellEnd"/>
      <w:r w:rsidR="00384E9B">
        <w:t xml:space="preserve"> and others (2014</w:t>
      </w:r>
      <w:proofErr w:type="gramStart"/>
      <w:r w:rsidR="00384E9B">
        <w:t>)  provided</w:t>
      </w:r>
      <w:proofErr w:type="gramEnd"/>
      <w:r w:rsidR="00384E9B">
        <w:t xml:space="preserve"> the bedrock hydrogeologic framework and initial (uncalibrated) aquifer-property values for the numerical models. Long and others (2014) described a conceptual model of groundwater flow, including a groundwater-flow </w:t>
      </w:r>
      <w:proofErr w:type="gramStart"/>
      <w:r w:rsidR="00384E9B">
        <w:t>budget, that</w:t>
      </w:r>
      <w:proofErr w:type="gramEnd"/>
      <w:r w:rsidR="00384E9B">
        <w:t xml:space="preserve"> provided a basis for numerical modeling.</w:t>
      </w:r>
      <w:r w:rsidR="00384E9B" w:rsidRPr="00384E9B">
        <w:t xml:space="preserve"> </w:t>
      </w:r>
      <w:r w:rsidR="00384E9B">
        <w:t>The purpose of the steady-state model was to</w:t>
      </w:r>
      <w:r w:rsidR="00384E9B" w:rsidRPr="00384E9B">
        <w:t xml:space="preserve"> </w:t>
      </w:r>
      <w:r w:rsidR="00384E9B">
        <w:t>test this conceptual model and to calibrate many of the adjustable parameters, such as hydraulic conductivity</w:t>
      </w:r>
      <w:proofErr w:type="gramStart"/>
      <w:r w:rsidR="00384E9B">
        <w:t>,  the</w:t>
      </w:r>
      <w:proofErr w:type="gramEnd"/>
      <w:r w:rsidR="00384E9B">
        <w:t xml:space="preserve"> values of which were then used in the transient </w:t>
      </w:r>
      <w:r w:rsidR="00AB7647">
        <w:t>model (Davis and long</w:t>
      </w:r>
      <w:r w:rsidR="00384E9B">
        <w:t>, 2017</w:t>
      </w:r>
      <w:r w:rsidR="00AB7647">
        <w:t>a</w:t>
      </w:r>
      <w:r w:rsidR="00384E9B">
        <w:t>).</w:t>
      </w:r>
    </w:p>
    <w:p w14:paraId="417330C5" w14:textId="77777777" w:rsidR="008C2430" w:rsidRDefault="00115AB9" w:rsidP="00115AB9">
      <w:pPr>
        <w:pStyle w:val="BodyText"/>
      </w:pPr>
      <w:r w:rsidRPr="00EA1565">
        <w:t>The</w:t>
      </w:r>
      <w:r>
        <w:t xml:space="preserve"> t</w:t>
      </w:r>
      <w:r w:rsidR="00F83980">
        <w:t>ransient model is not fully</w:t>
      </w:r>
      <w:r>
        <w:t xml:space="preserve"> continuous</w:t>
      </w:r>
      <w:r w:rsidR="00F83980">
        <w:t xml:space="preserve"> with respect to time</w:t>
      </w:r>
      <w:r>
        <w:t xml:space="preserve"> but rather represents distinct blocks of time called “stress periods</w:t>
      </w:r>
      <w:r w:rsidR="00F83980">
        <w:t>,” within which all hydrologic</w:t>
      </w:r>
      <w:r>
        <w:t xml:space="preserve"> conditions are </w:t>
      </w:r>
      <w:r w:rsidR="00AE2DA8">
        <w:t xml:space="preserve">assumed </w:t>
      </w:r>
      <w:r w:rsidR="00F83980">
        <w:t>constant. M</w:t>
      </w:r>
      <w:r>
        <w:t>odel output represents the end of each stress period. The transient model consists</w:t>
      </w:r>
      <w:r w:rsidRPr="00EA1565">
        <w:t xml:space="preserve"> of</w:t>
      </w:r>
      <w:r w:rsidR="00D21FE6">
        <w:t xml:space="preserve"> an initial steady-state</w:t>
      </w:r>
      <w:r w:rsidR="001104CB">
        <w:t xml:space="preserve"> stress period to simulate a long-term</w:t>
      </w:r>
      <w:r w:rsidR="00D21FE6">
        <w:t xml:space="preserve"> perio</w:t>
      </w:r>
      <w:r w:rsidR="00F83980">
        <w:t xml:space="preserve">d prior to 1961, which represents a period </w:t>
      </w:r>
      <w:r w:rsidR="00D21FE6">
        <w:t>prior to most groundwater withdrawals, hereafter referred to as the “</w:t>
      </w:r>
      <w:r w:rsidR="005F0A9C">
        <w:t>pre</w:t>
      </w:r>
      <w:r w:rsidR="00F83980">
        <w:t>de</w:t>
      </w:r>
      <w:r w:rsidR="001104CB">
        <w:t>velopment period.” Following this initial</w:t>
      </w:r>
      <w:r w:rsidR="005F0A9C">
        <w:t xml:space="preserve"> stress period are four</w:t>
      </w:r>
      <w:r>
        <w:t xml:space="preserve"> 5-year</w:t>
      </w:r>
      <w:r w:rsidRPr="00EA1565">
        <w:t xml:space="preserve"> stress periods representing </w:t>
      </w:r>
      <w:r>
        <w:t>the calendar years</w:t>
      </w:r>
      <w:proofErr w:type="gramStart"/>
      <w:r>
        <w:t>,</w:t>
      </w:r>
      <w:r w:rsidRPr="00EA1565">
        <w:t>1961</w:t>
      </w:r>
      <w:proofErr w:type="gramEnd"/>
      <w:r w:rsidRPr="00EA1565">
        <w:t>–1965, 1966–1970, 1971–1975,</w:t>
      </w:r>
      <w:r w:rsidR="00AE2DA8">
        <w:t xml:space="preserve"> and</w:t>
      </w:r>
      <w:r w:rsidRPr="00EA1565">
        <w:t xml:space="preserve"> 1976–1980</w:t>
      </w:r>
      <w:r w:rsidR="00AE2DA8">
        <w:t>, which are</w:t>
      </w:r>
      <w:r w:rsidR="00F83980">
        <w:t xml:space="preserve"> followed by</w:t>
      </w:r>
      <w:r w:rsidRPr="00EA1565">
        <w:t xml:space="preserve"> 25 annual stress periods representing</w:t>
      </w:r>
      <w:r w:rsidR="00F83980">
        <w:t xml:space="preserve"> each of the</w:t>
      </w:r>
      <w:r>
        <w:t xml:space="preserve"> calendar years,</w:t>
      </w:r>
      <w:r w:rsidRPr="00EA1565">
        <w:t xml:space="preserve"> 1981–</w:t>
      </w:r>
      <w:r>
        <w:t xml:space="preserve">2005. The </w:t>
      </w:r>
      <w:r>
        <w:lastRenderedPageBreak/>
        <w:t xml:space="preserve">transient model was used herein to simulate groundwater responses to </w:t>
      </w:r>
      <w:r w:rsidR="00D43220">
        <w:t xml:space="preserve">hydrologic </w:t>
      </w:r>
      <w:r>
        <w:t>scenarios involving flowing wells, drought, and increased groundwa</w:t>
      </w:r>
      <w:r w:rsidR="00D43220">
        <w:t>ter withdrawal</w:t>
      </w:r>
      <w:r>
        <w:t>, which are described in sections that follow.</w:t>
      </w:r>
      <w:r w:rsidR="00FE3443">
        <w:t xml:space="preserve"> </w:t>
      </w:r>
    </w:p>
    <w:p w14:paraId="7B22BE3E" w14:textId="77777777" w:rsidR="009D5997" w:rsidRDefault="009D5997" w:rsidP="009D5997">
      <w:pPr>
        <w:pStyle w:val="Heading2"/>
      </w:pPr>
      <w:bookmarkStart w:id="65" w:name="_Toc477244260"/>
      <w:r>
        <w:t>Purpose and Scope</w:t>
      </w:r>
      <w:bookmarkEnd w:id="65"/>
    </w:p>
    <w:p w14:paraId="7EE95811" w14:textId="77777777" w:rsidR="00946379" w:rsidRDefault="00946379" w:rsidP="00946379">
      <w:pPr>
        <w:pStyle w:val="BodyText"/>
      </w:pPr>
      <w:r>
        <w:t>The purpose of this report is to describe</w:t>
      </w:r>
      <w:r w:rsidRPr="00D2396D">
        <w:t xml:space="preserve"> current groundwater </w:t>
      </w:r>
      <w:r>
        <w:t>availability of the three uppermost principal aquifer systems—the glacial, lower Tertiary, and the Upper Cretaceous—in the Williston Basin</w:t>
      </w:r>
      <w:r w:rsidRPr="00D2396D">
        <w:t>, evaluate how these resources have changed</w:t>
      </w:r>
      <w:r>
        <w:t xml:space="preserve"> over time, and provide a basis to assess system response to</w:t>
      </w:r>
      <w:r w:rsidRPr="00D2396D">
        <w:t xml:space="preserve"> anthropogenic and environmental stresses.</w:t>
      </w:r>
      <w:r>
        <w:t xml:space="preserve"> </w:t>
      </w:r>
      <w:r w:rsidR="009D5997">
        <w:t xml:space="preserve">The scope of this report is focused on the Williston Basin and summarizes previous publications that resulted from this study describing a hydrogeologic framework, a conceptual model and groundwater-flow budget, and a numerical model of groundwater flow (Long and others, 2014; </w:t>
      </w:r>
      <w:proofErr w:type="spellStart"/>
      <w:r w:rsidR="009D5997">
        <w:t>Thamke</w:t>
      </w:r>
      <w:proofErr w:type="spellEnd"/>
      <w:r w:rsidR="009D5997">
        <w:t xml:space="preserve"> and others, 2014; </w:t>
      </w:r>
      <w:r w:rsidR="003C1521">
        <w:t>Davis and Long, 2017a</w:t>
      </w:r>
      <w:r w:rsidR="009D5997">
        <w:t xml:space="preserve">). This report presents hydrologic forecasts simulated with this </w:t>
      </w:r>
      <w:r w:rsidR="009D5997" w:rsidRPr="009246EF">
        <w:t>numerical model</w:t>
      </w:r>
      <w:r w:rsidR="009D5997">
        <w:t xml:space="preserve"> to assess the potential for drought, pumped groundwater, and free-flowing wells to affect future groundwater availability. An example of the use of this model to help determine high-value locations to establish new hydrologic-monitoring stations also is presented. </w:t>
      </w:r>
      <w:commentRangeStart w:id="66"/>
      <w:r w:rsidR="009D5997">
        <w:t>The</w:t>
      </w:r>
      <w:commentRangeEnd w:id="66"/>
      <w:r w:rsidR="009D5997">
        <w:rPr>
          <w:rStyle w:val="CommentReference"/>
        </w:rPr>
        <w:commentReference w:id="66"/>
      </w:r>
      <w:r w:rsidR="009D5997">
        <w:t xml:space="preserve"> study described herein has benefitted from numerous publications dating from the 1960s until present, most of which were summarized by Long and others (2014), </w:t>
      </w:r>
      <w:proofErr w:type="spellStart"/>
      <w:r w:rsidR="009D5997">
        <w:t>Thamke</w:t>
      </w:r>
      <w:proofErr w:type="spellEnd"/>
      <w:r w:rsidR="009D5997">
        <w:t xml:space="preserve"> and others (2014), and </w:t>
      </w:r>
      <w:r w:rsidR="00F010EF">
        <w:t>Davis and Long (2017a</w:t>
      </w:r>
      <w:proofErr w:type="gramStart"/>
      <w:r w:rsidR="00F010EF">
        <w:t xml:space="preserve">) </w:t>
      </w:r>
      <w:r w:rsidR="009D5997">
        <w:t>;</w:t>
      </w:r>
      <w:proofErr w:type="gramEnd"/>
      <w:r w:rsidR="009D5997">
        <w:t xml:space="preserve"> additional publications are acknowledged herein.</w:t>
      </w:r>
    </w:p>
    <w:p w14:paraId="58E474A4" w14:textId="77777777" w:rsidR="009D5997" w:rsidRPr="00CC13DF" w:rsidRDefault="009D5997" w:rsidP="00946379">
      <w:pPr>
        <w:pStyle w:val="BodyText"/>
      </w:pPr>
      <w:r>
        <w:t>This report is one in a series of reports summarizing the findings of studies conducted by the USGS to assess groundwater availability of principal aquifers throughout the United States. These reports include “</w:t>
      </w:r>
      <w:r w:rsidRPr="00480710">
        <w:rPr>
          <w:i/>
        </w:rPr>
        <w:t>Groundwater Availability of the Central Valley Aquifer, California</w:t>
      </w:r>
      <w:r>
        <w:t>” (</w:t>
      </w:r>
      <w:proofErr w:type="spellStart"/>
      <w:r>
        <w:t>Faunt</w:t>
      </w:r>
      <w:proofErr w:type="spellEnd"/>
      <w:r>
        <w:t>, 2009), “</w:t>
      </w:r>
      <w:r w:rsidRPr="00480710">
        <w:rPr>
          <w:i/>
        </w:rPr>
        <w:t>Groundwater Availability in the Atlantic Coastal Plain of North and South Carolina</w:t>
      </w:r>
      <w:r>
        <w:t xml:space="preserve">” (Campbell and </w:t>
      </w:r>
      <w:proofErr w:type="spellStart"/>
      <w:r>
        <w:t>Coes</w:t>
      </w:r>
      <w:proofErr w:type="spellEnd"/>
      <w:r>
        <w:t>, 2010), “</w:t>
      </w:r>
      <w:r w:rsidRPr="00480710">
        <w:rPr>
          <w:i/>
        </w:rPr>
        <w:t xml:space="preserve">Water availability and use pilot—A multiscale </w:t>
      </w:r>
      <w:r w:rsidRPr="00480710">
        <w:rPr>
          <w:i/>
        </w:rPr>
        <w:lastRenderedPageBreak/>
        <w:t>assessment in the U.S. Great Lakes Basin</w:t>
      </w:r>
      <w:r>
        <w:t>” (Reeves, 2010), “</w:t>
      </w:r>
      <w:r w:rsidRPr="00480710">
        <w:rPr>
          <w:i/>
        </w:rPr>
        <w:t>Groundwater availability of the Denver Basin aquifer system, Colorado</w:t>
      </w:r>
      <w:r>
        <w:t>” (</w:t>
      </w:r>
      <w:proofErr w:type="spellStart"/>
      <w:r>
        <w:t>Paschke</w:t>
      </w:r>
      <w:proofErr w:type="spellEnd"/>
      <w:r>
        <w:t>, 2011), “</w:t>
      </w:r>
      <w:r w:rsidRPr="00480710">
        <w:rPr>
          <w:i/>
        </w:rPr>
        <w:t>Groundwater availability of the Mississippi embayment</w:t>
      </w:r>
      <w:r>
        <w:t>” (Clark and others, 2011), and “</w:t>
      </w:r>
      <w:r w:rsidRPr="00480710">
        <w:rPr>
          <w:i/>
        </w:rPr>
        <w:t>Groundwater availability of the Columbia Plateau Regional Aquifer System, Washington, Oregon, and Idaho</w:t>
      </w:r>
      <w:r>
        <w:t>” (</w:t>
      </w:r>
      <w:proofErr w:type="spellStart"/>
      <w:r>
        <w:t>Kahle</w:t>
      </w:r>
      <w:proofErr w:type="spellEnd"/>
      <w:r>
        <w:t xml:space="preserve"> and others, 2015). A map of principal aquifers of the United States is accessible at </w:t>
      </w:r>
      <w:hyperlink r:id="rId20" w:history="1">
        <w:r w:rsidRPr="009F353E">
          <w:rPr>
            <w:rStyle w:val="Hyperlink"/>
          </w:rPr>
          <w:t>https://water.usgs.gov/ogw/aquifer/map.html</w:t>
        </w:r>
      </w:hyperlink>
      <w:r>
        <w:t>.</w:t>
      </w:r>
    </w:p>
    <w:p w14:paraId="4F5BAA25" w14:textId="77777777" w:rsidR="002D4586" w:rsidRDefault="001B61C6" w:rsidP="000E4A13">
      <w:pPr>
        <w:pStyle w:val="Heading1"/>
      </w:pPr>
      <w:bookmarkStart w:id="67" w:name="_Toc477244261"/>
      <w:r>
        <w:t xml:space="preserve">Assessing </w:t>
      </w:r>
      <w:r w:rsidR="002D4586">
        <w:t>Groundwater Availability</w:t>
      </w:r>
      <w:bookmarkEnd w:id="67"/>
    </w:p>
    <w:p w14:paraId="0A9B1CDE" w14:textId="77777777" w:rsidR="00030B12" w:rsidRDefault="000746DA" w:rsidP="000746DA">
      <w:pPr>
        <w:pStyle w:val="BodyText"/>
      </w:pPr>
      <w:r>
        <w:t>Groundwater availability of a regional groundwater system is a complex topic, dependent of many</w:t>
      </w:r>
      <w:r w:rsidR="00541F68">
        <w:t xml:space="preserve"> interconnected and</w:t>
      </w:r>
      <w:r>
        <w:t xml:space="preserve"> uncertain factors. These factors include climate variability, human use of groundwater, complex aquifer characteristics</w:t>
      </w:r>
      <w:r w:rsidR="00030B12">
        <w:t>,</w:t>
      </w:r>
      <w:r>
        <w:t xml:space="preserve"> continual changes in groundwater storage that are influenced by numerous factors</w:t>
      </w:r>
      <w:r w:rsidR="00030B12">
        <w:t>, and changes in the ease of extracting groundwater</w:t>
      </w:r>
      <w:r>
        <w:t>. For example, aquifers that are highly productive but small in volume are most vulnerable to severe dewatering if local water demands are high. The groundwater stored in a regional aquifer overall might be minimally affected by local groundwater withdrawal but heavily affected</w:t>
      </w:r>
      <w:r w:rsidR="00030B12">
        <w:t xml:space="preserve"> locally</w:t>
      </w:r>
      <w:r>
        <w:t xml:space="preserve"> in the withdrawal area. If the saturated zone of an aquifer is</w:t>
      </w:r>
      <w:r w:rsidR="00030B12">
        <w:t xml:space="preserve"> several</w:t>
      </w:r>
      <w:r>
        <w:t xml:space="preserve"> </w:t>
      </w:r>
      <w:r w:rsidR="00030B12">
        <w:t>hundred</w:t>
      </w:r>
      <w:r>
        <w:t xml:space="preserve"> feet thick, a lowered water table might cause minimal</w:t>
      </w:r>
      <w:r w:rsidR="00541F68">
        <w:t xml:space="preserve"> change as a fraction of</w:t>
      </w:r>
      <w:r>
        <w:t xml:space="preserve"> total groundwater storage but</w:t>
      </w:r>
      <w:r w:rsidR="00030B12">
        <w:t xml:space="preserve"> could result in increased</w:t>
      </w:r>
      <w:r>
        <w:t xml:space="preserve"> difficulty extracting groundwa</w:t>
      </w:r>
      <w:r w:rsidR="00030B12">
        <w:t>ter from</w:t>
      </w:r>
      <w:r w:rsidR="00541F68">
        <w:t xml:space="preserve"> a</w:t>
      </w:r>
      <w:r w:rsidR="00030B12">
        <w:t xml:space="preserve"> deepening sour</w:t>
      </w:r>
      <w:r w:rsidR="00541F68">
        <w:t>ce</w:t>
      </w:r>
      <w:r w:rsidR="004C6D19">
        <w:t xml:space="preserve">. Compounding this </w:t>
      </w:r>
      <w:r w:rsidR="00030B12">
        <w:t>issue, in many cases, is that w</w:t>
      </w:r>
      <w:r>
        <w:t>ater quality decreases with depth</w:t>
      </w:r>
      <w:r w:rsidR="004C6D19">
        <w:t>, or the aquifer could become permanently compacted</w:t>
      </w:r>
      <w:r w:rsidR="00541F68">
        <w:t xml:space="preserve"> as a result of reduced hydrostatic pressure</w:t>
      </w:r>
      <w:r w:rsidR="004C6D19">
        <w:t>.</w:t>
      </w:r>
    </w:p>
    <w:p w14:paraId="7BAF38CD" w14:textId="77777777" w:rsidR="00DE20E3" w:rsidRDefault="002867AE" w:rsidP="000746DA">
      <w:pPr>
        <w:pStyle w:val="BodyText"/>
      </w:pPr>
      <w:r>
        <w:t>A groundwater</w:t>
      </w:r>
      <w:r w:rsidR="00ED0BFF">
        <w:t>-flow</w:t>
      </w:r>
      <w:r>
        <w:t xml:space="preserve"> budget that quantifies all inflows and outflows of the overall groundwater system is</w:t>
      </w:r>
      <w:r w:rsidR="000B3495">
        <w:t xml:space="preserve"> a valuable</w:t>
      </w:r>
      <w:r>
        <w:t xml:space="preserve"> starting point</w:t>
      </w:r>
      <w:r w:rsidR="000B3495">
        <w:t xml:space="preserve"> to assess groundwater availability</w:t>
      </w:r>
      <w:r>
        <w:t xml:space="preserve"> but falls short of addressing numerous considerations that are important to making groundwater available for </w:t>
      </w:r>
      <w:r>
        <w:lastRenderedPageBreak/>
        <w:t xml:space="preserve">human and ecological needs. </w:t>
      </w:r>
      <w:r w:rsidR="000B3495">
        <w:t xml:space="preserve">The total volume of groundwater stored provides little information </w:t>
      </w:r>
      <w:r w:rsidR="00C94C07">
        <w:t>useful for managing groundwater</w:t>
      </w:r>
      <w:r w:rsidR="000B3495">
        <w:t xml:space="preserve"> because </w:t>
      </w:r>
      <w:r w:rsidR="004C6D19">
        <w:t>only a small fraction</w:t>
      </w:r>
      <w:r w:rsidR="00F77720">
        <w:t xml:space="preserve"> of </w:t>
      </w:r>
      <w:r w:rsidR="004C6D19">
        <w:t xml:space="preserve">stored </w:t>
      </w:r>
      <w:r w:rsidR="00F77720">
        <w:t>ground</w:t>
      </w:r>
      <w:r w:rsidR="004C6D19">
        <w:t>water can be extracted sustainably</w:t>
      </w:r>
      <w:r w:rsidR="00F77720">
        <w:t>,</w:t>
      </w:r>
      <w:r w:rsidR="004C6D19">
        <w:t xml:space="preserve"> in most cases, as a result of decreased groundwater levels and quality</w:t>
      </w:r>
      <w:r w:rsidR="00F77720">
        <w:t xml:space="preserve">. </w:t>
      </w:r>
      <w:r w:rsidR="00053A9E">
        <w:t>However, the change in groundwater storage that results from changing inflows and outflow is a</w:t>
      </w:r>
      <w:r w:rsidR="00ED0BFF">
        <w:t xml:space="preserve"> useful metric to assess the long-term sustainability of an aquifer, and a monthly or annual groundwater-flow budget provides an estimate of this metric. </w:t>
      </w:r>
      <w:r w:rsidR="00541F68">
        <w:t>A groundwater-flow budget also is useful for comparing the relative flow magnitudes of different inflows and outflows. For example, human water use ideally should be small in comparison to total groundwater recharge for long-term sustainability.</w:t>
      </w:r>
    </w:p>
    <w:p w14:paraId="0C230D9B" w14:textId="77777777" w:rsidR="000746DA" w:rsidRPr="000746DA" w:rsidRDefault="00DE20E3" w:rsidP="00F67F72">
      <w:pPr>
        <w:pStyle w:val="BodyText"/>
      </w:pPr>
      <w:r>
        <w:t>An assessment of the hydrogeologic framework defines the properties and characteristics of an aquifer system</w:t>
      </w:r>
      <w:r w:rsidR="00F67F72">
        <w:t xml:space="preserve"> in a</w:t>
      </w:r>
      <w:r>
        <w:t xml:space="preserve"> simplified form that can be used, along with a groundwater-flow budget, to develop a conceptual understanding, or model, of groundwater flow.</w:t>
      </w:r>
      <w:r w:rsidR="00F67F72">
        <w:t xml:space="preserve"> The hydrogeologic framework, groundwater</w:t>
      </w:r>
      <w:r w:rsidR="00983864">
        <w:t>-flow</w:t>
      </w:r>
      <w:r w:rsidR="00F67F72">
        <w:t xml:space="preserve"> budget, and c</w:t>
      </w:r>
      <w:r w:rsidR="00983864">
        <w:t xml:space="preserve">onceptual model described by Long and others (2014) and </w:t>
      </w:r>
      <w:proofErr w:type="spellStart"/>
      <w:r w:rsidR="00983864">
        <w:t>Thamke</w:t>
      </w:r>
      <w:proofErr w:type="spellEnd"/>
      <w:r w:rsidR="00983864">
        <w:t xml:space="preserve"> and others (2014)</w:t>
      </w:r>
      <w:r w:rsidR="00F67F72">
        <w:t xml:space="preserve"> were used to construct a numerical model of groundwater flow</w:t>
      </w:r>
      <w:r w:rsidR="00983864">
        <w:t xml:space="preserve"> (</w:t>
      </w:r>
      <w:r w:rsidR="003C1521">
        <w:t>Davis and Long, 2017a</w:t>
      </w:r>
      <w:r w:rsidR="00983864">
        <w:t>). This model</w:t>
      </w:r>
      <w:r w:rsidR="00F67F72">
        <w:t xml:space="preserve"> was used</w:t>
      </w:r>
      <w:r w:rsidR="00983864">
        <w:t xml:space="preserve"> herein</w:t>
      </w:r>
      <w:r w:rsidR="00F67F72">
        <w:t xml:space="preserve"> to assess changes in groundwater sto</w:t>
      </w:r>
      <w:r w:rsidR="00983864">
        <w:t>rage and water levels that might</w:t>
      </w:r>
      <w:r w:rsidR="00F67F72">
        <w:t xml:space="preserve"> result from human activity and climate variability, and therefore, affect groundwater availability.</w:t>
      </w:r>
    </w:p>
    <w:p w14:paraId="37CDB3F9" w14:textId="77777777" w:rsidR="00315492" w:rsidRDefault="00315492" w:rsidP="001B61C6">
      <w:pPr>
        <w:pStyle w:val="Heading1"/>
      </w:pPr>
      <w:bookmarkStart w:id="68" w:name="_Toc477244262"/>
      <w:r>
        <w:t>Analysis of Precipitation</w:t>
      </w:r>
      <w:r w:rsidR="00403D34">
        <w:t xml:space="preserve"> and Recharge</w:t>
      </w:r>
      <w:bookmarkEnd w:id="68"/>
    </w:p>
    <w:p w14:paraId="697E27EE" w14:textId="77777777" w:rsidR="005C7F31" w:rsidRDefault="00315492" w:rsidP="00315492">
      <w:pPr>
        <w:pStyle w:val="BodyText"/>
      </w:pPr>
      <w:r>
        <w:t xml:space="preserve">An analysis of precipitation patterns for the study area indicates that climate varies widely, spatially and temporally. </w:t>
      </w:r>
      <w:r w:rsidR="005C7F31">
        <w:t>An analysis of the annual cumulative departure from the mean (ACDM) for precipitation is one way to visualize multi-year or decadal pattern</w:t>
      </w:r>
      <w:r w:rsidR="007E1CFF">
        <w:t xml:space="preserve"> in precipitation rates across the study area</w:t>
      </w:r>
      <w:r w:rsidR="005C7F31">
        <w:t xml:space="preserve">. </w:t>
      </w:r>
      <w:r w:rsidR="007E1CFF">
        <w:t xml:space="preserve">The ACDM representing the spatial average of </w:t>
      </w:r>
      <w:proofErr w:type="gramStart"/>
      <w:r w:rsidR="007E1CFF">
        <w:t>spatially-distributed</w:t>
      </w:r>
      <w:proofErr w:type="gramEnd"/>
      <w:r w:rsidR="007E1CFF">
        <w:t xml:space="preserve"> </w:t>
      </w:r>
      <w:r w:rsidR="007E1CFF">
        <w:lastRenderedPageBreak/>
        <w:t>(or gridded) precipitation estimates for the study area was calculated for 1930–2014 (</w:t>
      </w:r>
      <w:r w:rsidR="007E1CFF">
        <w:fldChar w:fldCharType="begin"/>
      </w:r>
      <w:r w:rsidR="007E1CFF">
        <w:instrText xml:space="preserve"> REF _Ref467591513 \r \h </w:instrText>
      </w:r>
      <w:r w:rsidR="007E1CFF">
        <w:fldChar w:fldCharType="separate"/>
      </w:r>
      <w:r w:rsidR="00BC5220">
        <w:t>Figure 6</w:t>
      </w:r>
      <w:r w:rsidR="007E1CFF">
        <w:fldChar w:fldCharType="end"/>
      </w:r>
      <w:r w:rsidR="007E1CFF" w:rsidRPr="005030EE">
        <w:rPr>
          <w:i/>
        </w:rPr>
        <w:t>A</w:t>
      </w:r>
      <w:r w:rsidR="007E1CFF">
        <w:t xml:space="preserve">). </w:t>
      </w:r>
      <w:r>
        <w:t xml:space="preserve">Daily precipitation values from </w:t>
      </w:r>
      <w:r w:rsidRPr="001972EF">
        <w:t xml:space="preserve">Parameter-elevation Regressions on Independent Slopes Model </w:t>
      </w:r>
      <w:r>
        <w:t xml:space="preserve">(PRISM; </w:t>
      </w:r>
      <w:hyperlink r:id="rId21" w:history="1">
        <w:r w:rsidRPr="008A1A32">
          <w:rPr>
            <w:rStyle w:val="Hyperlink"/>
          </w:rPr>
          <w:t>http://prism.oregonstate.edu/</w:t>
        </w:r>
      </w:hyperlink>
      <w:r>
        <w:t xml:space="preserve">) averaged over the study area were accessed through the USGS </w:t>
      </w:r>
      <w:proofErr w:type="spellStart"/>
      <w:r>
        <w:t>GeoData</w:t>
      </w:r>
      <w:proofErr w:type="spellEnd"/>
      <w:r>
        <w:t xml:space="preserve"> Portal (GDP; </w:t>
      </w:r>
      <w:hyperlink r:id="rId22" w:history="1">
        <w:r w:rsidRPr="008A1A32">
          <w:rPr>
            <w:rStyle w:val="Hyperlink"/>
          </w:rPr>
          <w:t>http://cida.usgs.gov/gdp/</w:t>
        </w:r>
      </w:hyperlink>
      <w:r>
        <w:t xml:space="preserve">). However, the PRISM data were not available for the Canadian part of the study area. </w:t>
      </w:r>
      <w:commentRangeStart w:id="69"/>
      <w:r>
        <w:t>Maurer</w:t>
      </w:r>
      <w:commentRangeEnd w:id="69"/>
      <w:r>
        <w:rPr>
          <w:rStyle w:val="CommentReference"/>
        </w:rPr>
        <w:commentReference w:id="69"/>
      </w:r>
      <w:r>
        <w:t xml:space="preserve"> and others (2002) provided a similar dataset with spatially distributed precipitation estimates for the entire study area</w:t>
      </w:r>
      <w:r w:rsidRPr="00E46098">
        <w:t>, b</w:t>
      </w:r>
      <w:r>
        <w:t>ut for a shorter period (1950–1999). Comparison of</w:t>
      </w:r>
      <w:r w:rsidRPr="00E46098">
        <w:t xml:space="preserve"> </w:t>
      </w:r>
      <w:r>
        <w:t>total annual precipitation for these two datasets indicates similarity, and</w:t>
      </w:r>
      <w:r w:rsidRPr="00E46098">
        <w:t xml:space="preserve"> therefore</w:t>
      </w:r>
      <w:r>
        <w:t>,</w:t>
      </w:r>
      <w:r w:rsidRPr="00E46098">
        <w:t xml:space="preserve"> the PRISM data</w:t>
      </w:r>
      <w:r>
        <w:t xml:space="preserve"> were used to assess long-term changes</w:t>
      </w:r>
      <w:r w:rsidR="00FF0720">
        <w:t xml:space="preserve"> by analysis of</w:t>
      </w:r>
      <w:r w:rsidR="007E1CFF">
        <w:t xml:space="preserve"> the ACDM (</w:t>
      </w:r>
      <w:r w:rsidR="007E1CFF">
        <w:fldChar w:fldCharType="begin"/>
      </w:r>
      <w:r w:rsidR="007E1CFF">
        <w:instrText xml:space="preserve"> REF _Ref467591513 \r \h </w:instrText>
      </w:r>
      <w:r w:rsidR="007E1CFF">
        <w:fldChar w:fldCharType="separate"/>
      </w:r>
      <w:r w:rsidR="00BC5220">
        <w:t>Figure 6</w:t>
      </w:r>
      <w:r w:rsidR="007E1CFF">
        <w:fldChar w:fldCharType="end"/>
      </w:r>
      <w:r w:rsidR="007E1CFF" w:rsidRPr="005030EE">
        <w:rPr>
          <w:i/>
        </w:rPr>
        <w:t>A</w:t>
      </w:r>
      <w:r w:rsidR="007E1CFF">
        <w:t>)</w:t>
      </w:r>
      <w:r>
        <w:t xml:space="preserve">. </w:t>
      </w:r>
    </w:p>
    <w:p w14:paraId="27CEB273" w14:textId="77777777" w:rsidR="00315492" w:rsidRDefault="00315492" w:rsidP="00315492">
      <w:pPr>
        <w:pStyle w:val="BodyText"/>
      </w:pPr>
      <w:r>
        <w:t>Downward slopes in the ACDM indicate dry periods, and upward slopes indicate wet periods. There were three distinct dry periods that lasted at least 4 years since 1930, which are evident for periods where the slope of the ACDM is relatively steep and downward overall (</w:t>
      </w:r>
      <w:r>
        <w:fldChar w:fldCharType="begin"/>
      </w:r>
      <w:r>
        <w:instrText xml:space="preserve"> REF _Ref467591513 \r \h </w:instrText>
      </w:r>
      <w:r>
        <w:fldChar w:fldCharType="separate"/>
      </w:r>
      <w:r w:rsidR="00BC5220">
        <w:t>Figure 6</w:t>
      </w:r>
      <w:r>
        <w:fldChar w:fldCharType="end"/>
      </w:r>
      <w:r w:rsidRPr="005030EE">
        <w:rPr>
          <w:i/>
        </w:rPr>
        <w:t>A</w:t>
      </w:r>
      <w:r>
        <w:t xml:space="preserve">). These periods are most of the 1930s, the late 1950s, and the late 1980s. The wettest periods include the early 1940s, the early 1960s, and 2007 to present. </w:t>
      </w:r>
    </w:p>
    <w:p w14:paraId="3FA0A937" w14:textId="77777777" w:rsidR="007E1CFF" w:rsidRDefault="007E1CFF" w:rsidP="00315492">
      <w:pPr>
        <w:pStyle w:val="BodyText"/>
      </w:pPr>
    </w:p>
    <w:p w14:paraId="118868BE" w14:textId="77777777" w:rsidR="00BB1B86" w:rsidRPr="00B2226B" w:rsidRDefault="00BB1B86" w:rsidP="00BB1B86">
      <w:pPr>
        <w:pStyle w:val="FigureCaption"/>
      </w:pPr>
      <w:bookmarkStart w:id="70" w:name="_Ref467591513"/>
      <w:bookmarkStart w:id="71" w:name="_Toc468707874"/>
      <w:bookmarkStart w:id="72" w:name="_Ref476149677"/>
      <w:bookmarkStart w:id="73" w:name="_Ref476227608"/>
      <w:bookmarkStart w:id="74" w:name="_Toc486492000"/>
      <w:r>
        <w:t xml:space="preserve">Annual cumulative departure from the mean for, </w:t>
      </w:r>
      <w:r w:rsidRPr="00B17834">
        <w:rPr>
          <w:i/>
        </w:rPr>
        <w:t>A</w:t>
      </w:r>
      <w:r>
        <w:t xml:space="preserve">, precipitation and simulated groundwater recharge as a spatial average within the control volume </w:t>
      </w:r>
      <w:r w:rsidR="0094429C">
        <w:t>(Davis and Long</w:t>
      </w:r>
      <w:r w:rsidR="00F010EF">
        <w:t>,</w:t>
      </w:r>
      <w:r w:rsidR="0094429C">
        <w:t xml:space="preserve"> 2017b) </w:t>
      </w:r>
      <w:r>
        <w:t xml:space="preserve">and, </w:t>
      </w:r>
      <w:r w:rsidRPr="00B17834">
        <w:rPr>
          <w:i/>
        </w:rPr>
        <w:t>B</w:t>
      </w:r>
      <w:r>
        <w:t>, precipitation for selected weather stations</w:t>
      </w:r>
      <w:bookmarkStart w:id="75" w:name="_Ref468787672"/>
      <w:bookmarkEnd w:id="70"/>
      <w:bookmarkEnd w:id="71"/>
      <w:r>
        <w:t>. Climatically dry periods are shown in gray.</w:t>
      </w:r>
      <w:bookmarkEnd w:id="72"/>
      <w:bookmarkEnd w:id="73"/>
      <w:bookmarkEnd w:id="74"/>
      <w:r>
        <w:t xml:space="preserve"> </w:t>
      </w:r>
    </w:p>
    <w:bookmarkEnd w:id="75"/>
    <w:p w14:paraId="3926F89F" w14:textId="77777777" w:rsidR="00036DCE" w:rsidRDefault="00370C3D" w:rsidP="00036DCE">
      <w:pPr>
        <w:pStyle w:val="BodyText"/>
      </w:pPr>
      <w:r>
        <w:t>The ACDM for simulated groundwater recharge is similar to, but smoother than, that of precipitation (</w:t>
      </w:r>
      <w:r>
        <w:fldChar w:fldCharType="begin"/>
      </w:r>
      <w:r>
        <w:instrText xml:space="preserve"> REF _Ref467591513 \r \h </w:instrText>
      </w:r>
      <w:r>
        <w:fldChar w:fldCharType="separate"/>
      </w:r>
      <w:r w:rsidR="00BC5220">
        <w:t>Figure 6</w:t>
      </w:r>
      <w:r>
        <w:fldChar w:fldCharType="end"/>
      </w:r>
      <w:r w:rsidRPr="005030EE">
        <w:rPr>
          <w:i/>
        </w:rPr>
        <w:t>A</w:t>
      </w:r>
      <w:r>
        <w:t xml:space="preserve">), which indicates that the soils store infiltrating precipitation for periods long enough to damp the variability of precipitation that becomes recharge. Also, the volume of recharge is much less than the volume of precipitation as a result of evapotranspiration and direct </w:t>
      </w:r>
      <w:r>
        <w:lastRenderedPageBreak/>
        <w:t xml:space="preserve">runoff, which is evident in </w:t>
      </w:r>
      <w:r>
        <w:fldChar w:fldCharType="begin"/>
      </w:r>
      <w:r>
        <w:instrText xml:space="preserve"> REF _Ref467591513 \r \h </w:instrText>
      </w:r>
      <w:r>
        <w:fldChar w:fldCharType="separate"/>
      </w:r>
      <w:r w:rsidR="00BC5220">
        <w:t>Figure 6</w:t>
      </w:r>
      <w:r>
        <w:fldChar w:fldCharType="end"/>
      </w:r>
      <w:r w:rsidRPr="005030EE">
        <w:rPr>
          <w:i/>
        </w:rPr>
        <w:t>A</w:t>
      </w:r>
      <w:r>
        <w:t>, where the ACDM for recharge is exaggerated by a factor of 10</w:t>
      </w:r>
      <w:r w:rsidR="0056288F">
        <w:t xml:space="preserve"> in relation to precipitation. </w:t>
      </w:r>
    </w:p>
    <w:p w14:paraId="271CBD10" w14:textId="77777777" w:rsidR="00315492" w:rsidRDefault="005C7F31" w:rsidP="00315492">
      <w:pPr>
        <w:pStyle w:val="BodyText"/>
      </w:pPr>
      <w:r>
        <w:t xml:space="preserve">The ACDM was calculated </w:t>
      </w:r>
      <w:r w:rsidR="00496514">
        <w:t xml:space="preserve">individually </w:t>
      </w:r>
      <w:r>
        <w:t>for eight weather stations in the study area (</w:t>
      </w:r>
      <w:r>
        <w:fldChar w:fldCharType="begin"/>
      </w:r>
      <w:r>
        <w:instrText xml:space="preserve"> REF _Ref467591513 \r \h </w:instrText>
      </w:r>
      <w:r>
        <w:fldChar w:fldCharType="separate"/>
      </w:r>
      <w:r w:rsidR="00BC5220">
        <w:t>Figure 6</w:t>
      </w:r>
      <w:r>
        <w:fldChar w:fldCharType="end"/>
      </w:r>
      <w:r w:rsidRPr="005030EE">
        <w:rPr>
          <w:i/>
        </w:rPr>
        <w:t>B</w:t>
      </w:r>
      <w:r>
        <w:t xml:space="preserve">). </w:t>
      </w:r>
      <w:r w:rsidR="00315492">
        <w:t xml:space="preserve">Daily precipitation values for climate stations in the study area for 1930–2006 were available from the </w:t>
      </w:r>
      <w:r w:rsidR="00315492" w:rsidRPr="00F16291">
        <w:t>Global Historical Climatology Network (GHCN)</w:t>
      </w:r>
      <w:r w:rsidR="00315492">
        <w:t xml:space="preserve"> (</w:t>
      </w:r>
      <w:hyperlink r:id="rId23" w:history="1">
        <w:r w:rsidR="00315492" w:rsidRPr="008A1A32">
          <w:rPr>
            <w:rStyle w:val="Hyperlink"/>
          </w:rPr>
          <w:t>http://www.ncdc.noaa.gov/ghcnm/v2.php</w:t>
        </w:r>
      </w:hyperlink>
      <w:r w:rsidR="00315492">
        <w:t>). These data were supplemented with precipitation data for the same stations from Climate Data Online (</w:t>
      </w:r>
      <w:hyperlink r:id="rId24" w:anchor="ANNUAL" w:history="1">
        <w:r w:rsidR="00315492" w:rsidRPr="00F410C2">
          <w:rPr>
            <w:rStyle w:val="Hyperlink"/>
          </w:rPr>
          <w:t>https://www.ncdc.noaa.gov/cdo-web/datasets#ANNUAL</w:t>
        </w:r>
      </w:hyperlink>
      <w:r w:rsidR="00315492">
        <w:t>) to extend the period of record to 2015. The daily values were used to calculate</w:t>
      </w:r>
      <w:r w:rsidR="00C515A3">
        <w:t xml:space="preserve"> ACDM </w:t>
      </w:r>
      <w:r w:rsidR="00315492">
        <w:t>for each station</w:t>
      </w:r>
      <w:r w:rsidR="00315492" w:rsidRPr="0009410A">
        <w:t xml:space="preserve"> </w:t>
      </w:r>
      <w:r w:rsidR="00315492">
        <w:t>for the period 1930–2015 (</w:t>
      </w:r>
      <w:r w:rsidR="00315492">
        <w:fldChar w:fldCharType="begin"/>
      </w:r>
      <w:r w:rsidR="00315492">
        <w:instrText xml:space="preserve"> REF _Ref467591513 \r \h </w:instrText>
      </w:r>
      <w:r w:rsidR="00315492">
        <w:fldChar w:fldCharType="separate"/>
      </w:r>
      <w:r w:rsidR="00BC5220">
        <w:t>Figure 6</w:t>
      </w:r>
      <w:r w:rsidR="00315492">
        <w:fldChar w:fldCharType="end"/>
      </w:r>
      <w:r w:rsidR="00315492" w:rsidRPr="005030EE">
        <w:rPr>
          <w:i/>
        </w:rPr>
        <w:t>B</w:t>
      </w:r>
      <w:r w:rsidR="00315492">
        <w:t>). Spatially, there are differences in the occurrence of wet and dry periods between the northwest and southeast parts of the study area. However, all of the stations experienced mostly dry years during the three dry periods that were indicated for the spatial average (</w:t>
      </w:r>
      <w:r w:rsidR="00315492">
        <w:fldChar w:fldCharType="begin"/>
      </w:r>
      <w:r w:rsidR="00315492">
        <w:instrText xml:space="preserve"> REF _Ref476149677 \r \h </w:instrText>
      </w:r>
      <w:r w:rsidR="00315492">
        <w:fldChar w:fldCharType="separate"/>
      </w:r>
      <w:r w:rsidR="00BC5220">
        <w:t>Figure 6</w:t>
      </w:r>
      <w:r w:rsidR="00315492">
        <w:fldChar w:fldCharType="end"/>
      </w:r>
      <w:r w:rsidR="00315492" w:rsidRPr="00DD738D">
        <w:rPr>
          <w:i/>
        </w:rPr>
        <w:t>A</w:t>
      </w:r>
      <w:r w:rsidR="00315492">
        <w:t>). The Glasgow and Regina stations in the northwest</w:t>
      </w:r>
      <w:r w:rsidR="00315492" w:rsidRPr="004A16C2">
        <w:t xml:space="preserve"> experienced</w:t>
      </w:r>
      <w:r w:rsidR="00315492">
        <w:t xml:space="preserve"> wet conditions (as compared to</w:t>
      </w:r>
      <w:r w:rsidR="00496514">
        <w:t xml:space="preserve"> the station’s long-term</w:t>
      </w:r>
      <w:r w:rsidR="00315492">
        <w:t xml:space="preserve"> average) during the 1040s and early 1950s</w:t>
      </w:r>
      <w:r w:rsidR="00496514">
        <w:t>,</w:t>
      </w:r>
      <w:r w:rsidR="00315492">
        <w:t xml:space="preserve"> compared to the other stations. The Richardson Abbey station overall was most different from the other stations, particularly after 1975, where the ACDM generally increased until 1987 and decreased until 2015. The </w:t>
      </w:r>
      <w:proofErr w:type="spellStart"/>
      <w:r w:rsidR="00315492">
        <w:t>Bismark</w:t>
      </w:r>
      <w:proofErr w:type="spellEnd"/>
      <w:r w:rsidR="00315492">
        <w:t xml:space="preserve"> station was almost opposite to the Richardson Abbey station after 1961. </w:t>
      </w:r>
    </w:p>
    <w:p w14:paraId="148DC55D" w14:textId="77777777" w:rsidR="00C66840" w:rsidRDefault="002B20E0" w:rsidP="00C66840">
      <w:pPr>
        <w:pStyle w:val="BodyText"/>
      </w:pPr>
      <w:r>
        <w:t>A map of the long-term precipitation rate indicates a large change in total precipitation from west to east but less change from north to south (</w:t>
      </w:r>
      <w:r>
        <w:rPr>
          <w:highlight w:val="yellow"/>
        </w:rPr>
        <w:fldChar w:fldCharType="begin"/>
      </w:r>
      <w:r>
        <w:instrText xml:space="preserve"> REF _Ref476648451 \r \h </w:instrText>
      </w:r>
      <w:r>
        <w:rPr>
          <w:highlight w:val="yellow"/>
        </w:rPr>
      </w:r>
      <w:r>
        <w:rPr>
          <w:highlight w:val="yellow"/>
        </w:rPr>
        <w:fldChar w:fldCharType="separate"/>
      </w:r>
      <w:r w:rsidR="00BC5220">
        <w:t>Figure 7</w:t>
      </w:r>
      <w:r>
        <w:rPr>
          <w:highlight w:val="yellow"/>
        </w:rPr>
        <w:fldChar w:fldCharType="end"/>
      </w:r>
      <w:r>
        <w:t xml:space="preserve">), which is similar to the spatial the spatial distribution of groundwater recharge (Long and others, 2014). </w:t>
      </w:r>
      <w:proofErr w:type="gramStart"/>
      <w:r w:rsidR="005C7F31">
        <w:t xml:space="preserve">Differences in the ACDM </w:t>
      </w:r>
      <w:r w:rsidR="00C66840">
        <w:t xml:space="preserve">for precipitation </w:t>
      </w:r>
      <w:r w:rsidR="005C7F31">
        <w:t>between stations indicates</w:t>
      </w:r>
      <w:proofErr w:type="gramEnd"/>
      <w:r w:rsidR="005C7F31">
        <w:t xml:space="preserve"> that temporal patterns of precipitation are related</w:t>
      </w:r>
      <w:r>
        <w:t xml:space="preserve"> to the spatial distribution</w:t>
      </w:r>
      <w:r w:rsidR="005C7F31">
        <w:t xml:space="preserve"> of precipitation. A </w:t>
      </w:r>
      <w:proofErr w:type="spellStart"/>
      <w:r w:rsidR="005C7F31">
        <w:t>spatio</w:t>
      </w:r>
      <w:proofErr w:type="spellEnd"/>
      <w:r w:rsidR="005C7F31">
        <w:t>-temporal analysis of precipitation</w:t>
      </w:r>
      <w:r>
        <w:t xml:space="preserve">, </w:t>
      </w:r>
      <w:r>
        <w:lastRenderedPageBreak/>
        <w:t xml:space="preserve">therefore, </w:t>
      </w:r>
      <w:r w:rsidR="005C7F31">
        <w:t>provide</w:t>
      </w:r>
      <w:r>
        <w:t>s</w:t>
      </w:r>
      <w:r w:rsidR="005C7F31">
        <w:t xml:space="preserve"> insight</w:t>
      </w:r>
      <w:r w:rsidR="00C66840">
        <w:t xml:space="preserve"> by proxy</w:t>
      </w:r>
      <w:r w:rsidR="005C7F31">
        <w:t xml:space="preserve"> into the </w:t>
      </w:r>
      <w:proofErr w:type="spellStart"/>
      <w:r w:rsidR="005C7F31">
        <w:t>spatio</w:t>
      </w:r>
      <w:proofErr w:type="spellEnd"/>
      <w:r w:rsidR="005C7F31">
        <w:t xml:space="preserve">-temporal characteristics of groundwater recharge. </w:t>
      </w:r>
    </w:p>
    <w:p w14:paraId="1DD93D41" w14:textId="77777777" w:rsidR="00B517F0" w:rsidRDefault="00315492" w:rsidP="00B517F0">
      <w:pPr>
        <w:pStyle w:val="BodyText"/>
      </w:pPr>
      <w:r>
        <w:t xml:space="preserve">Consistent with the </w:t>
      </w:r>
      <w:r w:rsidR="00C515A3">
        <w:t>spatial distribution of precipitation</w:t>
      </w:r>
      <w:r>
        <w:t xml:space="preserve"> are the ACDM curves for the </w:t>
      </w:r>
      <w:r w:rsidR="00A545E7">
        <w:t xml:space="preserve">weather </w:t>
      </w:r>
      <w:r>
        <w:t>stations, which</w:t>
      </w:r>
      <w:r w:rsidR="00C515A3">
        <w:t xml:space="preserve"> also</w:t>
      </w:r>
      <w:r>
        <w:t xml:space="preserve"> have more variability from west to east than from north to south (</w:t>
      </w:r>
      <w:r>
        <w:fldChar w:fldCharType="begin"/>
      </w:r>
      <w:r>
        <w:instrText xml:space="preserve"> REF _Ref476227608 \r \h </w:instrText>
      </w:r>
      <w:r>
        <w:fldChar w:fldCharType="separate"/>
      </w:r>
      <w:r w:rsidR="00BC5220">
        <w:t>Figure 6</w:t>
      </w:r>
      <w:r>
        <w:fldChar w:fldCharType="end"/>
      </w:r>
      <w:r w:rsidR="00305C99">
        <w:rPr>
          <w:i/>
        </w:rPr>
        <w:t>B</w:t>
      </w:r>
      <w:r w:rsidR="00C515A3">
        <w:t xml:space="preserve">, </w:t>
      </w:r>
      <w:r w:rsidR="00C515A3">
        <w:rPr>
          <w:highlight w:val="yellow"/>
        </w:rPr>
        <w:fldChar w:fldCharType="begin"/>
      </w:r>
      <w:r w:rsidR="00C515A3">
        <w:instrText xml:space="preserve"> REF _Ref476648451 \r \h </w:instrText>
      </w:r>
      <w:r w:rsidR="00C515A3">
        <w:rPr>
          <w:highlight w:val="yellow"/>
        </w:rPr>
      </w:r>
      <w:r w:rsidR="00C515A3">
        <w:rPr>
          <w:highlight w:val="yellow"/>
        </w:rPr>
        <w:fldChar w:fldCharType="separate"/>
      </w:r>
      <w:r w:rsidR="00BC5220">
        <w:t>Figure 7</w:t>
      </w:r>
      <w:r w:rsidR="00C515A3">
        <w:rPr>
          <w:highlight w:val="yellow"/>
        </w:rPr>
        <w:fldChar w:fldCharType="end"/>
      </w:r>
      <w:r>
        <w:t>).</w:t>
      </w:r>
      <w:r w:rsidR="00A545E7">
        <w:t xml:space="preserve"> </w:t>
      </w:r>
      <w:r w:rsidR="00B12855">
        <w:t>Further</w:t>
      </w:r>
      <w:r w:rsidR="00A545E7">
        <w:t xml:space="preserve">, the timing of dry and wet periods are not </w:t>
      </w:r>
      <w:r w:rsidR="00B12855">
        <w:t>consistent everywhere in the study area.</w:t>
      </w:r>
      <w:r>
        <w:t xml:space="preserve"> For example, the Glasgow and Regina stations, located farthest to the</w:t>
      </w:r>
      <w:r w:rsidR="00305C99">
        <w:t xml:space="preserve"> northwest, overall have similar ACDM curves</w:t>
      </w:r>
      <w:r w:rsidR="00C515A3">
        <w:t>; to</w:t>
      </w:r>
      <w:r>
        <w:t xml:space="preserve"> the southeast,</w:t>
      </w:r>
      <w:r w:rsidR="00305C99">
        <w:t xml:space="preserve"> however,</w:t>
      </w:r>
      <w:r>
        <w:t xml:space="preserve"> the G</w:t>
      </w:r>
      <w:r w:rsidR="00C515A3">
        <w:t>lendive and Crosby stations</w:t>
      </w:r>
      <w:r>
        <w:t xml:space="preserve"> have similar characteristics but are different from Glasgow and Regina</w:t>
      </w:r>
      <w:r w:rsidR="00305C99">
        <w:t xml:space="preserve"> (</w:t>
      </w:r>
      <w:r w:rsidR="00305C99">
        <w:fldChar w:fldCharType="begin"/>
      </w:r>
      <w:r w:rsidR="00305C99">
        <w:instrText xml:space="preserve"> REF _Ref476227608 \r \h </w:instrText>
      </w:r>
      <w:r w:rsidR="00305C99">
        <w:fldChar w:fldCharType="separate"/>
      </w:r>
      <w:r w:rsidR="00BC5220">
        <w:t>Figure 6</w:t>
      </w:r>
      <w:r w:rsidR="00305C99">
        <w:fldChar w:fldCharType="end"/>
      </w:r>
      <w:r w:rsidR="00305C99">
        <w:rPr>
          <w:i/>
        </w:rPr>
        <w:t>B</w:t>
      </w:r>
      <w:r w:rsidR="00305C99">
        <w:t>)</w:t>
      </w:r>
      <w:r>
        <w:t>. The next station t</w:t>
      </w:r>
      <w:r w:rsidR="00305C99">
        <w:t>o the east, Richardson abbey, has a</w:t>
      </w:r>
      <w:r>
        <w:t xml:space="preserve"> unique</w:t>
      </w:r>
      <w:r w:rsidR="00305C99">
        <w:t xml:space="preserve"> ACDM</w:t>
      </w:r>
      <w:r>
        <w:t xml:space="preserve"> and might represent a climatic transition from west to east.</w:t>
      </w:r>
      <w:r w:rsidR="009D502C">
        <w:t xml:space="preserve"> Separating thes</w:t>
      </w:r>
      <w:r w:rsidR="00B12855">
        <w:t>e weather-station groupings into categories of climatically driest, moderately dry, moderate, moderately wet, and wettest</w:t>
      </w:r>
      <w:r w:rsidR="009D502C">
        <w:t xml:space="preserve"> helps to visualize this pattern in relation to the</w:t>
      </w:r>
      <w:r w:rsidR="00B517F0">
        <w:t xml:space="preserve"> long-term</w:t>
      </w:r>
      <w:r w:rsidR="009D502C">
        <w:t xml:space="preserve"> precipitation map (</w:t>
      </w:r>
      <w:r w:rsidR="009D502C">
        <w:fldChar w:fldCharType="begin"/>
      </w:r>
      <w:r w:rsidR="009D502C">
        <w:instrText xml:space="preserve"> REF _Ref476648451 \r \h </w:instrText>
      </w:r>
      <w:r w:rsidR="009D502C">
        <w:fldChar w:fldCharType="separate"/>
      </w:r>
      <w:r w:rsidR="00BC5220">
        <w:t>Figure 7</w:t>
      </w:r>
      <w:r w:rsidR="009D502C">
        <w:fldChar w:fldCharType="end"/>
      </w:r>
      <w:r w:rsidR="009D502C">
        <w:t>).</w:t>
      </w:r>
      <w:r>
        <w:t xml:space="preserve"> Although the Willow City and Dupree stations </w:t>
      </w:r>
      <w:r w:rsidR="00112274">
        <w:t xml:space="preserve">are spaced far apart, they </w:t>
      </w:r>
      <w:r>
        <w:t xml:space="preserve">have similar </w:t>
      </w:r>
      <w:r w:rsidR="00305C99">
        <w:t xml:space="preserve">ACDM </w:t>
      </w:r>
      <w:r w:rsidR="00112274">
        <w:t>characteristics and are located in the moderately wet area</w:t>
      </w:r>
      <w:r>
        <w:t xml:space="preserve">. The </w:t>
      </w:r>
      <w:r w:rsidR="005B62C2">
        <w:t>Bismarck</w:t>
      </w:r>
      <w:r>
        <w:t xml:space="preserve"> station, also different from</w:t>
      </w:r>
      <w:r w:rsidR="00305C99">
        <w:t xml:space="preserve"> the</w:t>
      </w:r>
      <w:r>
        <w:t xml:space="preserve"> othe</w:t>
      </w:r>
      <w:r w:rsidR="009D502C">
        <w:t>r stations, is farthest to the southeast</w:t>
      </w:r>
      <w:r w:rsidR="00B517F0">
        <w:t xml:space="preserve"> in the wettest area</w:t>
      </w:r>
      <w:r>
        <w:t>. Therefore, the ACDM curves</w:t>
      </w:r>
      <w:r w:rsidR="00CD4230">
        <w:t xml:space="preserve"> for the weather stations indicate</w:t>
      </w:r>
      <w:r>
        <w:t xml:space="preserve"> </w:t>
      </w:r>
      <w:r w:rsidR="00305C99">
        <w:t xml:space="preserve">climatic </w:t>
      </w:r>
      <w:r w:rsidR="00CD4230">
        <w:t>differences</w:t>
      </w:r>
      <w:r>
        <w:t xml:space="preserve"> from west to</w:t>
      </w:r>
      <w:r w:rsidR="005B62C2">
        <w:t xml:space="preserve"> east</w:t>
      </w:r>
      <w:r w:rsidR="00CD4230">
        <w:t xml:space="preserve"> but similarities from north to south; this is</w:t>
      </w:r>
      <w:r>
        <w:t xml:space="preserve"> consistent with long-term av</w:t>
      </w:r>
      <w:r w:rsidR="00CD4230">
        <w:t>erage precipitation that has a gradient from west to east</w:t>
      </w:r>
      <w:r>
        <w:t>.</w:t>
      </w:r>
      <w:r w:rsidR="00F60A6C">
        <w:t xml:space="preserve"> </w:t>
      </w:r>
      <w:r>
        <w:t xml:space="preserve"> </w:t>
      </w:r>
    </w:p>
    <w:p w14:paraId="320FB07E" w14:textId="77777777" w:rsidR="00B517F0" w:rsidRDefault="00B517F0" w:rsidP="00B517F0">
      <w:pPr>
        <w:pStyle w:val="BodyText"/>
      </w:pPr>
    </w:p>
    <w:p w14:paraId="1EF2AF5C" w14:textId="77777777" w:rsidR="006C6C53" w:rsidRPr="00315492" w:rsidRDefault="006C6C53" w:rsidP="006C6C53">
      <w:pPr>
        <w:pStyle w:val="FigureCaption"/>
      </w:pPr>
      <w:bookmarkStart w:id="76" w:name="_Ref476648451"/>
      <w:bookmarkStart w:id="77" w:name="_Toc486492001"/>
      <w:r>
        <w:t>Weather stations and long-term precipitation (1981</w:t>
      </w:r>
      <w:r>
        <w:rPr>
          <w:rFonts w:ascii="Times New Roman" w:hAnsi="Times New Roman"/>
        </w:rPr>
        <w:t>‒</w:t>
      </w:r>
      <w:r>
        <w:t>2011) in the study area. Precipitation map from Long and others (2014).</w:t>
      </w:r>
      <w:bookmarkEnd w:id="76"/>
      <w:bookmarkEnd w:id="77"/>
    </w:p>
    <w:p w14:paraId="5F3E313D" w14:textId="77777777" w:rsidR="000E4A13" w:rsidRDefault="000E4A13" w:rsidP="001B61C6">
      <w:pPr>
        <w:pStyle w:val="Heading1"/>
      </w:pPr>
      <w:bookmarkStart w:id="78" w:name="_Toc477244263"/>
      <w:r>
        <w:lastRenderedPageBreak/>
        <w:t>Comparison of Conceptual and Numerical Models</w:t>
      </w:r>
      <w:bookmarkEnd w:id="78"/>
    </w:p>
    <w:p w14:paraId="6FF3E2AD" w14:textId="77777777" w:rsidR="000B1C5C" w:rsidRPr="006F5C25" w:rsidRDefault="005C0793" w:rsidP="001B61C6">
      <w:pPr>
        <w:pStyle w:val="BodyText"/>
      </w:pPr>
      <w:r>
        <w:t>A</w:t>
      </w:r>
      <w:r w:rsidR="00357C52">
        <w:t xml:space="preserve"> comparison of the conceptual and </w:t>
      </w:r>
      <w:proofErr w:type="gramStart"/>
      <w:r w:rsidR="00357C52">
        <w:t>steady-state</w:t>
      </w:r>
      <w:proofErr w:type="gramEnd"/>
      <w:r w:rsidR="00357C52">
        <w:t xml:space="preserve"> numerical models</w:t>
      </w:r>
      <w:r>
        <w:t xml:space="preserve"> serves as a qualitative evaluation of both models</w:t>
      </w:r>
      <w:r w:rsidR="00C94C07">
        <w:t xml:space="preserve"> because</w:t>
      </w:r>
      <w:r>
        <w:t xml:space="preserve"> these models should be reasonably consistent.</w:t>
      </w:r>
      <w:r w:rsidR="000B1C5C">
        <w:t xml:space="preserve"> </w:t>
      </w:r>
      <w:proofErr w:type="gramStart"/>
      <w:r w:rsidR="005506C9">
        <w:t>Differences between</w:t>
      </w:r>
      <w:r>
        <w:t xml:space="preserve"> the two groundwater-</w:t>
      </w:r>
      <w:r w:rsidR="001104CB">
        <w:t xml:space="preserve">flow </w:t>
      </w:r>
      <w:r>
        <w:t>budgets helps to quantify the range of uncertainty with regard to these estimates</w:t>
      </w:r>
      <w:r w:rsidR="001104CB">
        <w:t xml:space="preserve"> (</w:t>
      </w:r>
      <w:r w:rsidR="001104CB">
        <w:fldChar w:fldCharType="begin"/>
      </w:r>
      <w:r w:rsidR="001104CB">
        <w:instrText xml:space="preserve"> REF _Ref468791623 \r \h </w:instrText>
      </w:r>
      <w:r w:rsidR="001104CB">
        <w:fldChar w:fldCharType="separate"/>
      </w:r>
      <w:r w:rsidR="001104CB">
        <w:t>Table 1</w:t>
      </w:r>
      <w:r w:rsidR="001104CB">
        <w:fldChar w:fldCharType="end"/>
      </w:r>
      <w:r w:rsidR="001104CB">
        <w:t>)</w:t>
      </w:r>
      <w:r w:rsidR="005506C9">
        <w:t>.</w:t>
      </w:r>
      <w:proofErr w:type="gramEnd"/>
    </w:p>
    <w:p w14:paraId="7A4BE7CD" w14:textId="77777777" w:rsidR="00281756" w:rsidRDefault="00281756" w:rsidP="001B61C6">
      <w:pPr>
        <w:pStyle w:val="Heading2"/>
      </w:pPr>
      <w:bookmarkStart w:id="79" w:name="_Toc477244264"/>
      <w:r>
        <w:t>Groundwater Flow</w:t>
      </w:r>
      <w:bookmarkEnd w:id="79"/>
    </w:p>
    <w:p w14:paraId="4D08A579" w14:textId="77777777" w:rsidR="00EF49E9" w:rsidRDefault="00281756" w:rsidP="001B61C6">
      <w:pPr>
        <w:pStyle w:val="BodyText"/>
      </w:pPr>
      <w:r>
        <w:t xml:space="preserve">Long and others (2014) described general groundwater flow directions and other characteristics within the context of an overall conceptual model of the study area. In this description, </w:t>
      </w:r>
      <w:r w:rsidR="00EF49E9">
        <w:t xml:space="preserve">the estimated </w:t>
      </w:r>
      <w:r>
        <w:t>potentiometric surfaces for aquifers close to the land surface closely resemble the undulating topography of the land surface, and flow directions are from upland areas toward streams; whereas in the deepest aquifers (e.g., the Fox Hills aquifer), groundwater flows from southwest to northeast, with minimal influence from the land surface and, therefore, has a smooth</w:t>
      </w:r>
      <w:r w:rsidR="00172ED9">
        <w:t>er</w:t>
      </w:r>
      <w:r>
        <w:t xml:space="preserve"> potentiometric surface. </w:t>
      </w:r>
      <w:r w:rsidR="00172ED9">
        <w:t>The lower Fort Union aquifer, having a middle range of depth,</w:t>
      </w:r>
      <w:r>
        <w:t xml:space="preserve"> has a potentiometric surface with characteristics of deep and shallow aquifers. </w:t>
      </w:r>
      <w:r w:rsidR="00F010EF">
        <w:t>Davis and Long (2017a</w:t>
      </w:r>
      <w:proofErr w:type="gramStart"/>
      <w:r w:rsidR="00F010EF">
        <w:t xml:space="preserve">) </w:t>
      </w:r>
      <w:r>
        <w:t xml:space="preserve"> showed</w:t>
      </w:r>
      <w:proofErr w:type="gramEnd"/>
      <w:r>
        <w:t xml:space="preserve"> that the numerical model</w:t>
      </w:r>
      <w:r w:rsidR="00B61320">
        <w:t>s</w:t>
      </w:r>
      <w:r w:rsidR="00172ED9">
        <w:t xml:space="preserve"> produced these general </w:t>
      </w:r>
      <w:r w:rsidR="00EF49E9">
        <w:t>characteristics</w:t>
      </w:r>
      <w:r w:rsidR="00172ED9">
        <w:t xml:space="preserve"> similarly</w:t>
      </w:r>
      <w:r w:rsidR="00EF49E9">
        <w:t xml:space="preserve"> and</w:t>
      </w:r>
      <w:r>
        <w:t xml:space="preserve"> further quantified similarities and differences of simulated and observed hydraulic-head values, spatially and temporally.</w:t>
      </w:r>
      <w:r w:rsidR="009C75E8">
        <w:t xml:space="preserve"> Estimated</w:t>
      </w:r>
      <w:r w:rsidR="00B61320">
        <w:t xml:space="preserve"> groundwater flow directions for the upper Fort Union aquifer, lower Fort Union aquifer, and Upper Cretaceous aquifer system </w:t>
      </w:r>
      <w:r w:rsidR="009C75E8">
        <w:t>(Long and others; 2014) generally correspond</w:t>
      </w:r>
      <w:r w:rsidR="00B61320">
        <w:t xml:space="preserve"> to</w:t>
      </w:r>
      <w:r w:rsidR="00EF49E9">
        <w:t xml:space="preserve"> simulated</w:t>
      </w:r>
      <w:r w:rsidR="00B61320">
        <w:t xml:space="preserve"> flow di</w:t>
      </w:r>
      <w:r w:rsidR="00EF49E9">
        <w:t>rections.</w:t>
      </w:r>
    </w:p>
    <w:p w14:paraId="5FC0F27D" w14:textId="77777777" w:rsidR="0093528A" w:rsidRDefault="0093528A" w:rsidP="001B61C6">
      <w:pPr>
        <w:pStyle w:val="BodyText"/>
      </w:pPr>
      <w:r w:rsidRPr="0093528A">
        <w:rPr>
          <w:highlight w:val="yellow"/>
        </w:rPr>
        <w:t>[Add statement that ND permitted wells for glacial aquifers are clustered in areas of wet cells in layers 1 and 2 and seldom located in areas of dry cells. Shows that the model simulated areas where aquifers are unsaturated accurately.]</w:t>
      </w:r>
    </w:p>
    <w:p w14:paraId="082395F5" w14:textId="77777777" w:rsidR="00281756" w:rsidRDefault="009B0FA4" w:rsidP="001B61C6">
      <w:pPr>
        <w:pStyle w:val="Heading2"/>
      </w:pPr>
      <w:bookmarkStart w:id="80" w:name="_Toc477244265"/>
      <w:r>
        <w:lastRenderedPageBreak/>
        <w:t>Average Groundw</w:t>
      </w:r>
      <w:r w:rsidR="00281756">
        <w:t>ater</w:t>
      </w:r>
      <w:r w:rsidR="00D3419C">
        <w:t>-Flow</w:t>
      </w:r>
      <w:r w:rsidR="00281756">
        <w:t xml:space="preserve"> Budget</w:t>
      </w:r>
      <w:bookmarkEnd w:id="80"/>
    </w:p>
    <w:p w14:paraId="583C84BC" w14:textId="77777777" w:rsidR="003C21CB" w:rsidRDefault="003C21CB" w:rsidP="003C21CB">
      <w:pPr>
        <w:pStyle w:val="BodyText"/>
      </w:pPr>
      <w:r>
        <w:t>The groundwater</w:t>
      </w:r>
      <w:r w:rsidR="00D3419C">
        <w:t>-flow</w:t>
      </w:r>
      <w:r>
        <w:t xml:space="preserve"> budget is de</w:t>
      </w:r>
      <w:r w:rsidR="00D3419C">
        <w:t>scribed by equation 1, in which</w:t>
      </w:r>
      <w:r>
        <w:t xml:space="preserve"> in</w:t>
      </w:r>
      <w:r w:rsidR="00D3419C">
        <w:t xml:space="preserve">flows and </w:t>
      </w:r>
      <w:r>
        <w:t>outflow</w:t>
      </w:r>
      <w:r w:rsidR="00C67DD2">
        <w:t>s</w:t>
      </w:r>
      <w:r>
        <w:t xml:space="preserve"> are assigned</w:t>
      </w:r>
      <w:r w:rsidR="00D3419C">
        <w:t xml:space="preserve"> positive and</w:t>
      </w:r>
      <w:r>
        <w:t xml:space="preserve"> negative values</w:t>
      </w:r>
      <w:r w:rsidR="00D3419C">
        <w:t>, respectively</w:t>
      </w:r>
      <w:r>
        <w:t xml:space="preserve">. </w:t>
      </w:r>
    </w:p>
    <w:p w14:paraId="24BD0AFF" w14:textId="77777777" w:rsidR="003C21CB" w:rsidRDefault="003C21CB" w:rsidP="003C21CB">
      <w:pPr>
        <w:pStyle w:val="EquationNumbered"/>
      </w:pPr>
      <w:r>
        <w:tab/>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GW</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GW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+∆S=0</m:t>
        </m:r>
      </m:oMath>
      <w:r>
        <w:tab/>
        <w:t>(</w:t>
      </w:r>
      <w:fldSimple w:instr=" SEQ Equation \* MERGEFORMAT ">
        <w:r w:rsidR="00D32500">
          <w:rPr>
            <w:noProof/>
          </w:rPr>
          <w:t>1</w:t>
        </w:r>
      </w:fldSimple>
      <w:r>
        <w:t>)</w:t>
      </w:r>
    </w:p>
    <w:p w14:paraId="035BA54B" w14:textId="77777777" w:rsidR="003C21CB" w:rsidRDefault="003C21CB" w:rsidP="003C21CB">
      <w:pPr>
        <w:pStyle w:val="EquationWhere"/>
      </w:pPr>
      <w:proofErr w:type="gramStart"/>
      <w:r>
        <w:t>where</w:t>
      </w:r>
      <w:proofErr w:type="gramEnd"/>
      <w:r>
        <w:tab/>
      </w:r>
      <w:r w:rsidRPr="00E206CD">
        <w:rPr>
          <w:i/>
        </w:rPr>
        <w:t>R</w:t>
      </w:r>
      <w:r w:rsidRPr="00E206CD">
        <w:rPr>
          <w:i/>
          <w:vertAlign w:val="subscript"/>
        </w:rPr>
        <w:t>P</w:t>
      </w:r>
      <w:r>
        <w:tab/>
        <w:t>is precipitation recharge;</w:t>
      </w:r>
    </w:p>
    <w:p w14:paraId="6DE0DAC0" w14:textId="77777777" w:rsidR="003C21CB" w:rsidRDefault="003C21CB" w:rsidP="003C21CB">
      <w:pPr>
        <w:pStyle w:val="EquationWhere"/>
      </w:pPr>
      <w:r>
        <w:tab/>
      </w:r>
      <w:r w:rsidRPr="00E206CD">
        <w:rPr>
          <w:i/>
        </w:rPr>
        <w:t>R</w:t>
      </w:r>
      <w:r>
        <w:rPr>
          <w:i/>
          <w:vertAlign w:val="subscript"/>
        </w:rPr>
        <w:t>I</w:t>
      </w:r>
      <w:r>
        <w:tab/>
        <w:t>is irrigation recharge</w:t>
      </w:r>
      <w:proofErr w:type="gramStart"/>
      <w:r>
        <w:t>;</w:t>
      </w:r>
      <w:proofErr w:type="gramEnd"/>
    </w:p>
    <w:p w14:paraId="6634F3E7" w14:textId="77777777" w:rsidR="003C21CB" w:rsidRPr="0096278C" w:rsidRDefault="003C21CB" w:rsidP="003C21CB">
      <w:pPr>
        <w:pStyle w:val="EquationWhere"/>
      </w:pPr>
      <w:r>
        <w:tab/>
      </w:r>
      <w:proofErr w:type="spellStart"/>
      <w:r>
        <w:rPr>
          <w:i/>
        </w:rPr>
        <w:t>SF</w:t>
      </w:r>
      <w:r>
        <w:rPr>
          <w:i/>
          <w:vertAlign w:val="subscript"/>
        </w:rPr>
        <w:t>in</w:t>
      </w:r>
      <w:proofErr w:type="spellEnd"/>
      <w:r w:rsidRPr="0096278C">
        <w:tab/>
      </w:r>
      <w:r>
        <w:t>is stream and reservoir infiltration</w:t>
      </w:r>
      <w:proofErr w:type="gramStart"/>
      <w:r>
        <w:t>;</w:t>
      </w:r>
      <w:proofErr w:type="gramEnd"/>
    </w:p>
    <w:p w14:paraId="187DE460" w14:textId="77777777" w:rsidR="003C21CB" w:rsidRDefault="003C21CB" w:rsidP="003C21CB">
      <w:pPr>
        <w:pStyle w:val="EquationWhere"/>
      </w:pPr>
      <w:r>
        <w:tab/>
      </w:r>
      <w:proofErr w:type="spellStart"/>
      <w:r>
        <w:rPr>
          <w:i/>
        </w:rPr>
        <w:t>GW</w:t>
      </w:r>
      <w:r>
        <w:rPr>
          <w:i/>
          <w:vertAlign w:val="subscript"/>
        </w:rPr>
        <w:t>in</w:t>
      </w:r>
      <w:proofErr w:type="spellEnd"/>
      <w:r w:rsidRPr="0096278C">
        <w:tab/>
      </w:r>
      <w:r>
        <w:t>is groundwater inflow</w:t>
      </w:r>
      <w:r w:rsidR="00BA2E52">
        <w:t xml:space="preserve"> to the control volume</w:t>
      </w:r>
      <w:proofErr w:type="gramStart"/>
      <w:r>
        <w:t>;</w:t>
      </w:r>
      <w:proofErr w:type="gramEnd"/>
    </w:p>
    <w:p w14:paraId="30AEE93A" w14:textId="77777777" w:rsidR="003C21CB" w:rsidRPr="0096278C" w:rsidRDefault="003C21CB" w:rsidP="003C21CB">
      <w:pPr>
        <w:pStyle w:val="EquationWhere"/>
      </w:pPr>
      <w:r>
        <w:rPr>
          <w:rStyle w:val="Emphasis"/>
        </w:rPr>
        <w:tab/>
      </w:r>
      <w:proofErr w:type="spellStart"/>
      <w:r>
        <w:rPr>
          <w:i/>
        </w:rPr>
        <w:t>SF</w:t>
      </w:r>
      <w:r>
        <w:rPr>
          <w:i/>
          <w:vertAlign w:val="subscript"/>
        </w:rPr>
        <w:t>out</w:t>
      </w:r>
      <w:proofErr w:type="spellEnd"/>
      <w:r w:rsidRPr="0096278C">
        <w:tab/>
      </w:r>
      <w:r>
        <w:t>is stream and r</w:t>
      </w:r>
      <w:r w:rsidR="00D3419C">
        <w:t>eservoir exfiltration</w:t>
      </w:r>
      <w:proofErr w:type="gramStart"/>
      <w:r>
        <w:t>;</w:t>
      </w:r>
      <w:proofErr w:type="gramEnd"/>
    </w:p>
    <w:p w14:paraId="4136324F" w14:textId="77777777" w:rsidR="003C21CB" w:rsidRDefault="003C21CB" w:rsidP="003C21CB">
      <w:pPr>
        <w:pStyle w:val="EquationWhere"/>
      </w:pPr>
      <w:r>
        <w:tab/>
      </w:r>
      <w:proofErr w:type="spellStart"/>
      <w:r>
        <w:rPr>
          <w:i/>
        </w:rPr>
        <w:t>GW</w:t>
      </w:r>
      <w:r>
        <w:rPr>
          <w:i/>
          <w:vertAlign w:val="subscript"/>
        </w:rPr>
        <w:t>out</w:t>
      </w:r>
      <w:proofErr w:type="spellEnd"/>
      <w:r w:rsidRPr="0096278C">
        <w:tab/>
      </w:r>
      <w:r>
        <w:t>i</w:t>
      </w:r>
      <w:r w:rsidR="00D3419C">
        <w:t>s groundwater outflow</w:t>
      </w:r>
      <w:r w:rsidR="00BA2E52">
        <w:t xml:space="preserve"> from the control volume</w:t>
      </w:r>
      <w:proofErr w:type="gramStart"/>
      <w:r>
        <w:t>;</w:t>
      </w:r>
      <w:proofErr w:type="gramEnd"/>
    </w:p>
    <w:p w14:paraId="5734CB2D" w14:textId="77777777" w:rsidR="003C21CB" w:rsidRPr="0096278C" w:rsidRDefault="003C21CB" w:rsidP="003C21CB">
      <w:pPr>
        <w:pStyle w:val="EquationWhere"/>
      </w:pPr>
      <w:r>
        <w:rPr>
          <w:i/>
        </w:rPr>
        <w:tab/>
      </w:r>
      <w:proofErr w:type="spellStart"/>
      <w:r>
        <w:rPr>
          <w:i/>
        </w:rPr>
        <w:t>W</w:t>
      </w:r>
      <w:r>
        <w:rPr>
          <w:i/>
          <w:vertAlign w:val="subscript"/>
        </w:rPr>
        <w:t>out</w:t>
      </w:r>
      <w:proofErr w:type="spellEnd"/>
      <w:r w:rsidRPr="0096278C">
        <w:tab/>
      </w:r>
      <w:r>
        <w:t>is well withdra</w:t>
      </w:r>
      <w:r w:rsidR="00D3419C">
        <w:t>wal and flowing wells</w:t>
      </w:r>
      <w:r>
        <w:t>; and</w:t>
      </w:r>
    </w:p>
    <w:p w14:paraId="1F636C52" w14:textId="77777777" w:rsidR="003C21CB" w:rsidRDefault="003C21CB" w:rsidP="003C21CB">
      <w:pPr>
        <w:pStyle w:val="EquationWhere"/>
      </w:pPr>
      <w:r>
        <w:tab/>
        <w:t>Δ</w:t>
      </w:r>
      <w:r w:rsidRPr="00D5115D">
        <w:rPr>
          <w:i/>
        </w:rPr>
        <w:t>S</w:t>
      </w:r>
      <w:r w:rsidRPr="0096278C">
        <w:tab/>
      </w:r>
      <w:r>
        <w:t>is storage change (positive or negative)</w:t>
      </w:r>
      <w:r w:rsidR="00865991">
        <w:t>.</w:t>
      </w:r>
    </w:p>
    <w:p w14:paraId="443F39A4" w14:textId="77777777" w:rsidR="003C21CB" w:rsidRDefault="003C21CB" w:rsidP="00865991">
      <w:pPr>
        <w:pStyle w:val="BodyText"/>
        <w:ind w:firstLine="0"/>
      </w:pPr>
    </w:p>
    <w:p w14:paraId="489316BA" w14:textId="77777777" w:rsidR="00703733" w:rsidRDefault="0042732A" w:rsidP="00C67DD2">
      <w:pPr>
        <w:pStyle w:val="BodyText"/>
      </w:pPr>
      <w:r>
        <w:t>Long and others (2014) estimated the</w:t>
      </w:r>
      <w:r w:rsidR="00B03598">
        <w:t xml:space="preserve"> groundwater</w:t>
      </w:r>
      <w:r w:rsidR="00D3419C">
        <w:t>-flow</w:t>
      </w:r>
      <w:r w:rsidR="00B03598">
        <w:t xml:space="preserve"> budget</w:t>
      </w:r>
      <w:r>
        <w:t xml:space="preserve"> for average conditions (</w:t>
      </w:r>
      <w:r w:rsidR="003349DE">
        <w:t>1981‒2005</w:t>
      </w:r>
      <w:r>
        <w:t>) for the control volume (</w:t>
      </w:r>
      <w:r>
        <w:fldChar w:fldCharType="begin"/>
      </w:r>
      <w:r>
        <w:instrText xml:space="preserve"> REF _Ref468791623 \r \h </w:instrText>
      </w:r>
      <w:r>
        <w:fldChar w:fldCharType="separate"/>
      </w:r>
      <w:r w:rsidR="00BC5220">
        <w:t>Table 1</w:t>
      </w:r>
      <w:r>
        <w:fldChar w:fldCharType="end"/>
      </w:r>
      <w:r w:rsidR="00597C83">
        <w:t>). Storage change</w:t>
      </w:r>
      <w:r w:rsidR="00865991">
        <w:t xml:space="preserve"> </w:t>
      </w:r>
      <w:r w:rsidR="00597C83">
        <w:t>(</w:t>
      </w:r>
      <w:r w:rsidR="003C21CB">
        <w:t>Δ</w:t>
      </w:r>
      <w:r w:rsidR="003C21CB" w:rsidRPr="00C919B4">
        <w:rPr>
          <w:i/>
        </w:rPr>
        <w:t>S</w:t>
      </w:r>
      <w:r w:rsidR="00597C83">
        <w:t>)</w:t>
      </w:r>
      <w:r w:rsidR="003C21CB">
        <w:t xml:space="preserve"> was assumed</w:t>
      </w:r>
      <w:r w:rsidR="00865991">
        <w:t xml:space="preserve"> to be zero for these long-term-</w:t>
      </w:r>
      <w:r w:rsidR="003C21CB">
        <w:t xml:space="preserve">average conditions. </w:t>
      </w:r>
      <w:r w:rsidR="007B1A9D">
        <w:t xml:space="preserve">Simulated </w:t>
      </w:r>
      <w:r w:rsidR="00D3419C">
        <w:t>groundwater-flow budget</w:t>
      </w:r>
      <w:r w:rsidR="007B1A9D">
        <w:t>s presented herein for the predevelopment pe</w:t>
      </w:r>
      <w:r w:rsidR="00BA2E52">
        <w:t>riod through 2005 consist of values from</w:t>
      </w:r>
      <w:r w:rsidR="007B1A9D" w:rsidRPr="007B1A9D">
        <w:t xml:space="preserve"> </w:t>
      </w:r>
      <w:r w:rsidR="00F010EF">
        <w:t>Davis and Long (2017a</w:t>
      </w:r>
      <w:proofErr w:type="gramStart"/>
      <w:r w:rsidR="00F010EF">
        <w:t xml:space="preserve">) </w:t>
      </w:r>
      <w:r w:rsidR="007B1A9D">
        <w:t>.</w:t>
      </w:r>
      <w:proofErr w:type="gramEnd"/>
      <w:r w:rsidR="007B1A9D">
        <w:t xml:space="preserve"> </w:t>
      </w:r>
      <w:r w:rsidR="0076787F">
        <w:t>Similarly to the estimated</w:t>
      </w:r>
      <w:r w:rsidR="00B03598">
        <w:t xml:space="preserve"> </w:t>
      </w:r>
      <w:r w:rsidR="00D3419C">
        <w:t>groundwater-flow budget</w:t>
      </w:r>
      <w:r w:rsidR="0076787F">
        <w:t>, the</w:t>
      </w:r>
      <w:r w:rsidR="002A526D">
        <w:t xml:space="preserve"> simulated</w:t>
      </w:r>
      <w:r w:rsidR="00B03598">
        <w:t xml:space="preserve"> </w:t>
      </w:r>
      <w:r w:rsidR="00D3419C">
        <w:t>groundwater-flow budget</w:t>
      </w:r>
      <w:r w:rsidR="002A526D">
        <w:t xml:space="preserve"> fo</w:t>
      </w:r>
      <w:r>
        <w:t>r average conditions</w:t>
      </w:r>
      <w:r w:rsidR="00BA2E52">
        <w:t xml:space="preserve"> is dominated</w:t>
      </w:r>
      <w:r w:rsidR="00D655FA" w:rsidRPr="00D10DDA">
        <w:t xml:space="preserve"> </w:t>
      </w:r>
      <w:r w:rsidR="002A526D" w:rsidRPr="00D10DDA">
        <w:t>by</w:t>
      </w:r>
      <w:r w:rsidR="00D10DDA" w:rsidRPr="00D10DDA">
        <w:t xml:space="preserve"> </w:t>
      </w:r>
      <w:proofErr w:type="spellStart"/>
      <w:r w:rsidR="00BA2E52">
        <w:rPr>
          <w:i/>
        </w:rPr>
        <w:t>SF</w:t>
      </w:r>
      <w:r w:rsidR="00BA2E52">
        <w:rPr>
          <w:i/>
          <w:vertAlign w:val="subscript"/>
        </w:rPr>
        <w:t>in</w:t>
      </w:r>
      <w:proofErr w:type="spellEnd"/>
      <w:r w:rsidR="00BA2E52" w:rsidRPr="00D10DDA">
        <w:t xml:space="preserve"> </w:t>
      </w:r>
      <w:r w:rsidR="00BA2E52">
        <w:t xml:space="preserve">and </w:t>
      </w:r>
      <w:proofErr w:type="spellStart"/>
      <w:r w:rsidR="00BA2E52">
        <w:rPr>
          <w:i/>
        </w:rPr>
        <w:t>SF</w:t>
      </w:r>
      <w:r w:rsidR="00BA2E52">
        <w:rPr>
          <w:i/>
          <w:vertAlign w:val="subscript"/>
        </w:rPr>
        <w:t>out</w:t>
      </w:r>
      <w:proofErr w:type="spellEnd"/>
      <w:r w:rsidR="00BA2E52" w:rsidRPr="00D10DDA">
        <w:t xml:space="preserve"> </w:t>
      </w:r>
      <w:r w:rsidR="002A526D">
        <w:t>and</w:t>
      </w:r>
      <w:r w:rsidR="00D655FA">
        <w:t xml:space="preserve"> secondarily by</w:t>
      </w:r>
      <w:r w:rsidR="00BA2E52">
        <w:t xml:space="preserve"> </w:t>
      </w:r>
      <w:r w:rsidR="00BA2E52" w:rsidRPr="00E36FAF">
        <w:rPr>
          <w:i/>
        </w:rPr>
        <w:t>R</w:t>
      </w:r>
      <w:r w:rsidR="00BA2E52" w:rsidRPr="00E36FAF">
        <w:rPr>
          <w:i/>
          <w:vertAlign w:val="subscript"/>
        </w:rPr>
        <w:t>P</w:t>
      </w:r>
      <w:r w:rsidR="00BE3B13">
        <w:t>; minor compon</w:t>
      </w:r>
      <w:r w:rsidR="00BA2E52">
        <w:t xml:space="preserve">ents consist of </w:t>
      </w:r>
      <w:proofErr w:type="spellStart"/>
      <w:r w:rsidR="00BA2E52">
        <w:rPr>
          <w:i/>
        </w:rPr>
        <w:t>W</w:t>
      </w:r>
      <w:r w:rsidR="00BA2E52">
        <w:rPr>
          <w:i/>
          <w:vertAlign w:val="subscript"/>
        </w:rPr>
        <w:t>out</w:t>
      </w:r>
      <w:proofErr w:type="spellEnd"/>
      <w:r w:rsidR="00BA2E52">
        <w:t>,</w:t>
      </w:r>
      <w:r w:rsidR="00BE3B13">
        <w:t xml:space="preserve"> </w:t>
      </w:r>
      <w:proofErr w:type="spellStart"/>
      <w:r w:rsidR="00BA2E52">
        <w:rPr>
          <w:i/>
        </w:rPr>
        <w:t>GW</w:t>
      </w:r>
      <w:r w:rsidR="00BA2E52">
        <w:rPr>
          <w:i/>
          <w:vertAlign w:val="subscript"/>
        </w:rPr>
        <w:t>in</w:t>
      </w:r>
      <w:proofErr w:type="spellEnd"/>
      <w:r w:rsidR="00BA2E52">
        <w:t xml:space="preserve">, and </w:t>
      </w:r>
      <w:proofErr w:type="spellStart"/>
      <w:r w:rsidR="00BA2E52">
        <w:rPr>
          <w:i/>
        </w:rPr>
        <w:t>GW</w:t>
      </w:r>
      <w:r w:rsidR="00BA2E52">
        <w:rPr>
          <w:i/>
          <w:vertAlign w:val="subscript"/>
        </w:rPr>
        <w:t>out</w:t>
      </w:r>
      <w:proofErr w:type="spellEnd"/>
      <w:r w:rsidR="00BA2E52">
        <w:t xml:space="preserve"> </w:t>
      </w:r>
      <w:r w:rsidR="002A526D">
        <w:t>(</w:t>
      </w:r>
      <w:r w:rsidR="002A526D">
        <w:fldChar w:fldCharType="begin"/>
      </w:r>
      <w:r w:rsidR="002A526D">
        <w:instrText xml:space="preserve"> REF _Ref468877768 \r \h </w:instrText>
      </w:r>
      <w:r w:rsidR="002A526D">
        <w:fldChar w:fldCharType="separate"/>
      </w:r>
      <w:r w:rsidR="00BC5220">
        <w:t>Figure 8</w:t>
      </w:r>
      <w:r w:rsidR="002A526D">
        <w:fldChar w:fldCharType="end"/>
      </w:r>
      <w:r w:rsidR="009B0FA4">
        <w:rPr>
          <w:i/>
        </w:rPr>
        <w:t>B</w:t>
      </w:r>
      <w:r>
        <w:t xml:space="preserve">, </w:t>
      </w:r>
      <w:r>
        <w:fldChar w:fldCharType="begin"/>
      </w:r>
      <w:r>
        <w:instrText xml:space="preserve"> REF _Ref468791623 \r \h </w:instrText>
      </w:r>
      <w:r>
        <w:fldChar w:fldCharType="separate"/>
      </w:r>
      <w:r w:rsidR="00BC5220">
        <w:t>Table 1</w:t>
      </w:r>
      <w:r>
        <w:fldChar w:fldCharType="end"/>
      </w:r>
      <w:r w:rsidR="002A526D">
        <w:t>)</w:t>
      </w:r>
      <w:r w:rsidR="00865991">
        <w:t>.</w:t>
      </w:r>
      <w:r w:rsidR="00C67DD2">
        <w:t xml:space="preserve"> </w:t>
      </w:r>
      <w:r w:rsidR="00703733" w:rsidRPr="00E36FAF">
        <w:rPr>
          <w:i/>
        </w:rPr>
        <w:t>R</w:t>
      </w:r>
      <w:r w:rsidR="00703733" w:rsidRPr="00E36FAF">
        <w:rPr>
          <w:i/>
          <w:vertAlign w:val="subscript"/>
        </w:rPr>
        <w:t>P</w:t>
      </w:r>
      <w:r w:rsidR="00703733">
        <w:t xml:space="preserve"> is a major forcing component that affects streamflow, which likewise affects </w:t>
      </w:r>
      <w:proofErr w:type="spellStart"/>
      <w:r w:rsidR="00703733">
        <w:rPr>
          <w:i/>
        </w:rPr>
        <w:t>SF</w:t>
      </w:r>
      <w:r w:rsidR="00703733">
        <w:rPr>
          <w:i/>
          <w:vertAlign w:val="subscript"/>
        </w:rPr>
        <w:t>in</w:t>
      </w:r>
      <w:proofErr w:type="spellEnd"/>
      <w:r w:rsidR="00703733">
        <w:t xml:space="preserve">; the combination of </w:t>
      </w:r>
      <w:r w:rsidR="00703733" w:rsidRPr="00E36FAF">
        <w:rPr>
          <w:i/>
        </w:rPr>
        <w:t>R</w:t>
      </w:r>
      <w:r w:rsidR="00703733" w:rsidRPr="00E36FAF">
        <w:rPr>
          <w:i/>
          <w:vertAlign w:val="subscript"/>
        </w:rPr>
        <w:t>P</w:t>
      </w:r>
      <w:r w:rsidR="00703733">
        <w:t xml:space="preserve"> and </w:t>
      </w:r>
      <w:proofErr w:type="spellStart"/>
      <w:r w:rsidR="00703733">
        <w:rPr>
          <w:i/>
        </w:rPr>
        <w:t>SF</w:t>
      </w:r>
      <w:r w:rsidR="00703733">
        <w:rPr>
          <w:i/>
          <w:vertAlign w:val="subscript"/>
        </w:rPr>
        <w:t>in</w:t>
      </w:r>
      <w:proofErr w:type="spellEnd"/>
      <w:r w:rsidR="00703733">
        <w:t xml:space="preserve"> are the major </w:t>
      </w:r>
      <w:proofErr w:type="spellStart"/>
      <w:r w:rsidR="00703733">
        <w:t>forcings</w:t>
      </w:r>
      <w:proofErr w:type="spellEnd"/>
      <w:r w:rsidR="00703733">
        <w:t xml:space="preserve"> that effect </w:t>
      </w:r>
      <w:proofErr w:type="spellStart"/>
      <w:r w:rsidR="00703733">
        <w:rPr>
          <w:i/>
        </w:rPr>
        <w:t>SF</w:t>
      </w:r>
      <w:r w:rsidR="00703733">
        <w:rPr>
          <w:i/>
          <w:vertAlign w:val="subscript"/>
        </w:rPr>
        <w:t>out</w:t>
      </w:r>
      <w:proofErr w:type="spellEnd"/>
      <w:r w:rsidR="00703733">
        <w:t>.</w:t>
      </w:r>
      <w:r w:rsidR="006100BA">
        <w:t xml:space="preserve"> Consequently,</w:t>
      </w:r>
      <w:r w:rsidR="00703733">
        <w:t xml:space="preserve"> </w:t>
      </w:r>
      <w:r w:rsidR="00703733" w:rsidRPr="00E36FAF">
        <w:rPr>
          <w:i/>
        </w:rPr>
        <w:t>R</w:t>
      </w:r>
      <w:r w:rsidR="00703733" w:rsidRPr="00E36FAF">
        <w:rPr>
          <w:i/>
          <w:vertAlign w:val="subscript"/>
        </w:rPr>
        <w:t>P</w:t>
      </w:r>
      <w:r w:rsidR="00703733">
        <w:t xml:space="preserve">, </w:t>
      </w:r>
      <w:proofErr w:type="spellStart"/>
      <w:r w:rsidR="00703733">
        <w:rPr>
          <w:i/>
        </w:rPr>
        <w:t>SF</w:t>
      </w:r>
      <w:r w:rsidR="00703733">
        <w:rPr>
          <w:i/>
          <w:vertAlign w:val="subscript"/>
        </w:rPr>
        <w:t>in</w:t>
      </w:r>
      <w:proofErr w:type="spellEnd"/>
      <w:r w:rsidR="00703733">
        <w:t xml:space="preserve">, and </w:t>
      </w:r>
      <w:proofErr w:type="spellStart"/>
      <w:r w:rsidR="00703733">
        <w:rPr>
          <w:i/>
        </w:rPr>
        <w:t>SF</w:t>
      </w:r>
      <w:r w:rsidR="00703733">
        <w:rPr>
          <w:i/>
          <w:vertAlign w:val="subscript"/>
        </w:rPr>
        <w:t>out</w:t>
      </w:r>
      <w:proofErr w:type="spellEnd"/>
      <w:r w:rsidR="00703733">
        <w:t xml:space="preserve"> account for </w:t>
      </w:r>
      <w:r w:rsidR="00703733" w:rsidRPr="00BA2E52">
        <w:rPr>
          <w:highlight w:val="yellow"/>
        </w:rPr>
        <w:t>94</w:t>
      </w:r>
      <w:r w:rsidR="00703733">
        <w:t xml:space="preserve"> percent of total inflow and outflow for average conditions (</w:t>
      </w:r>
      <w:r w:rsidR="00703733">
        <w:fldChar w:fldCharType="begin"/>
      </w:r>
      <w:r w:rsidR="00703733">
        <w:instrText xml:space="preserve"> REF _Ref469311011 \r \h </w:instrText>
      </w:r>
      <w:r w:rsidR="00703733">
        <w:fldChar w:fldCharType="separate"/>
      </w:r>
      <w:r w:rsidR="00BC5220">
        <w:t>Figure 8</w:t>
      </w:r>
      <w:r w:rsidR="00703733">
        <w:fldChar w:fldCharType="end"/>
      </w:r>
      <w:r w:rsidR="00703733" w:rsidRPr="009C3681">
        <w:rPr>
          <w:i/>
        </w:rPr>
        <w:t>B</w:t>
      </w:r>
      <w:r w:rsidR="00703733">
        <w:t>).</w:t>
      </w:r>
    </w:p>
    <w:p w14:paraId="4DDBC8B8" w14:textId="77777777" w:rsidR="00281756" w:rsidRDefault="003349DE" w:rsidP="003349DE">
      <w:pPr>
        <w:pStyle w:val="BodyText"/>
      </w:pPr>
      <w:r>
        <w:lastRenderedPageBreak/>
        <w:t>C</w:t>
      </w:r>
      <w:r w:rsidR="00281756">
        <w:t>omparison of the estimated</w:t>
      </w:r>
      <w:r>
        <w:t xml:space="preserve"> and simulated</w:t>
      </w:r>
      <w:r w:rsidR="00B03598">
        <w:t xml:space="preserve"> </w:t>
      </w:r>
      <w:r w:rsidR="00D3419C">
        <w:t>groundwater-flow budget</w:t>
      </w:r>
      <w:r>
        <w:t>s</w:t>
      </w:r>
      <w:r w:rsidR="00281756">
        <w:t xml:space="preserve"> </w:t>
      </w:r>
      <w:r w:rsidR="00281756" w:rsidRPr="00EB2CBF">
        <w:t>indicates</w:t>
      </w:r>
      <w:r w:rsidR="00281756">
        <w:t xml:space="preserve"> noteworthy similarities and differences (</w:t>
      </w:r>
      <w:r w:rsidR="00281756">
        <w:fldChar w:fldCharType="begin"/>
      </w:r>
      <w:r w:rsidR="00281756">
        <w:instrText xml:space="preserve"> REF _Ref468791623 \r \h </w:instrText>
      </w:r>
      <w:r w:rsidR="00281756">
        <w:fldChar w:fldCharType="separate"/>
      </w:r>
      <w:r w:rsidR="00BC5220">
        <w:t>Table 1</w:t>
      </w:r>
      <w:r w:rsidR="00281756">
        <w:fldChar w:fldCharType="end"/>
      </w:r>
      <w:r w:rsidR="00281756">
        <w:t>). These</w:t>
      </w:r>
      <w:r w:rsidR="006100BA">
        <w:t xml:space="preserve"> differences result primarily from limitations inherent to estimating and simulating regional-scale groundwater flow.</w:t>
      </w:r>
      <w:r w:rsidR="00281756">
        <w:t xml:space="preserve"> Long and others (2014) estimated precipitation recharge</w:t>
      </w:r>
      <w:r w:rsidR="00B26564">
        <w:t xml:space="preserve"> for the entire study area</w:t>
      </w:r>
      <w:r w:rsidR="00281756">
        <w:t xml:space="preserve"> by using the Soil-Water Balance (SWB) model (</w:t>
      </w:r>
      <w:proofErr w:type="spellStart"/>
      <w:r w:rsidR="00281756">
        <w:t>Westenb</w:t>
      </w:r>
      <w:r w:rsidR="00A46B2C">
        <w:t>r</w:t>
      </w:r>
      <w:r w:rsidR="00281756">
        <w:t>oek</w:t>
      </w:r>
      <w:proofErr w:type="spellEnd"/>
      <w:r w:rsidR="00281756">
        <w:t xml:space="preserve"> and others, 2010). </w:t>
      </w:r>
      <w:r w:rsidR="00F010EF">
        <w:t>Davis and Long (2017a</w:t>
      </w:r>
      <w:proofErr w:type="gramStart"/>
      <w:r w:rsidR="00F010EF">
        <w:t xml:space="preserve">) </w:t>
      </w:r>
      <w:r w:rsidR="006100BA">
        <w:t xml:space="preserve"> initially</w:t>
      </w:r>
      <w:proofErr w:type="gramEnd"/>
      <w:r w:rsidR="00281756">
        <w:t xml:space="preserve"> applied these SWB esti</w:t>
      </w:r>
      <w:r w:rsidR="006100BA">
        <w:t>mates to the numerical model and then adjusted the original estimates slightly upward during model calibration; t</w:t>
      </w:r>
      <w:r>
        <w:t>his</w:t>
      </w:r>
      <w:r w:rsidR="006100BA">
        <w:t xml:space="preserve"> </w:t>
      </w:r>
      <w:r>
        <w:t>increase was</w:t>
      </w:r>
      <w:r w:rsidR="00B26564">
        <w:t xml:space="preserve"> supported by comparison to two other</w:t>
      </w:r>
      <w:r w:rsidR="00281756">
        <w:t xml:space="preserve"> rec</w:t>
      </w:r>
      <w:r w:rsidR="00B26564">
        <w:t>harge estimation methods for selected parts of the</w:t>
      </w:r>
      <w:r w:rsidR="00281756">
        <w:t xml:space="preserve"> study area, in which the SWB estimates were similar</w:t>
      </w:r>
      <w:r w:rsidR="006100BA">
        <w:t xml:space="preserve"> to</w:t>
      </w:r>
      <w:r w:rsidR="00281756">
        <w:t>, but at the lower range, of estimates from</w:t>
      </w:r>
      <w:r w:rsidR="00B26564">
        <w:t xml:space="preserve"> the</w:t>
      </w:r>
      <w:r w:rsidR="00281756">
        <w:t xml:space="preserve"> other methods</w:t>
      </w:r>
      <w:r w:rsidR="009260A0">
        <w:t xml:space="preserve"> (</w:t>
      </w:r>
      <w:proofErr w:type="spellStart"/>
      <w:r w:rsidR="009260A0">
        <w:t>Aurand</w:t>
      </w:r>
      <w:proofErr w:type="spellEnd"/>
      <w:r w:rsidR="009260A0">
        <w:t>, 2013; Long and others, 2014)</w:t>
      </w:r>
      <w:r w:rsidR="00281756">
        <w:t xml:space="preserve">. </w:t>
      </w:r>
      <w:r w:rsidR="00EB2CBF">
        <w:t>For the steady-state</w:t>
      </w:r>
      <w:r w:rsidR="00281756">
        <w:t xml:space="preserve"> model</w:t>
      </w:r>
      <w:r w:rsidR="00EB2CBF">
        <w:t xml:space="preserve"> (1981‒2005)</w:t>
      </w:r>
      <w:r w:rsidR="00281756">
        <w:t>, precipi</w:t>
      </w:r>
      <w:r w:rsidR="00E321ED">
        <w:t xml:space="preserve">tation </w:t>
      </w:r>
      <w:r w:rsidR="00281756">
        <w:t xml:space="preserve">recharge was </w:t>
      </w:r>
      <w:r w:rsidR="00281756" w:rsidRPr="003273C4">
        <w:rPr>
          <w:highlight w:val="yellow"/>
        </w:rPr>
        <w:t>1.4</w:t>
      </w:r>
      <w:r w:rsidR="00281756">
        <w:t xml:space="preserve"> times higher than the estimated value (</w:t>
      </w:r>
      <w:r w:rsidR="00281756">
        <w:fldChar w:fldCharType="begin"/>
      </w:r>
      <w:r w:rsidR="00281756">
        <w:instrText xml:space="preserve"> REF _Ref468791623 \r \h </w:instrText>
      </w:r>
      <w:r w:rsidR="00281756">
        <w:fldChar w:fldCharType="separate"/>
      </w:r>
      <w:r w:rsidR="00BC5220">
        <w:t>Table 1</w:t>
      </w:r>
      <w:r w:rsidR="00281756">
        <w:fldChar w:fldCharType="end"/>
      </w:r>
      <w:r w:rsidR="00281756">
        <w:t>).</w:t>
      </w:r>
      <w:r w:rsidR="00375C2F">
        <w:t xml:space="preserve"> </w:t>
      </w:r>
    </w:p>
    <w:p w14:paraId="03B00AF2" w14:textId="77777777" w:rsidR="00A46B2C" w:rsidRDefault="00A46B2C" w:rsidP="00281756">
      <w:pPr>
        <w:pStyle w:val="BodyText"/>
      </w:pPr>
    </w:p>
    <w:p w14:paraId="13A0A010" w14:textId="77777777" w:rsidR="00A46B2C" w:rsidRDefault="0061267D" w:rsidP="0046626C">
      <w:pPr>
        <w:pStyle w:val="FigureCaption"/>
      </w:pPr>
      <w:bookmarkStart w:id="81" w:name="_Toc468707875"/>
      <w:bookmarkStart w:id="82" w:name="_Ref468805855"/>
      <w:bookmarkStart w:id="83" w:name="_Ref468877768"/>
      <w:bookmarkStart w:id="84" w:name="_Ref468973086"/>
      <w:bookmarkStart w:id="85" w:name="_Ref468975067"/>
      <w:bookmarkStart w:id="86" w:name="_Ref469311011"/>
      <w:bookmarkStart w:id="87" w:name="_Toc486492002"/>
      <w:r>
        <w:t xml:space="preserve">Simulated </w:t>
      </w:r>
      <w:r w:rsidR="00D3419C">
        <w:t>groundwater-flow budget</w:t>
      </w:r>
      <w:r w:rsidR="002B0E6C">
        <w:t xml:space="preserve">, showing </w:t>
      </w:r>
      <w:r w:rsidR="002B0E6C" w:rsidRPr="002B0E6C">
        <w:rPr>
          <w:i/>
        </w:rPr>
        <w:t>A</w:t>
      </w:r>
      <w:r w:rsidR="002B0E6C">
        <w:t>, conceptual profile of the groundwater system</w:t>
      </w:r>
      <w:r w:rsidR="001A64FD">
        <w:t xml:space="preserve"> and </w:t>
      </w:r>
      <w:r w:rsidR="001A64FD" w:rsidRPr="001A64FD">
        <w:rPr>
          <w:i/>
        </w:rPr>
        <w:t>B</w:t>
      </w:r>
      <w:r w:rsidR="001A64FD">
        <w:t>, relative magnitudes of water-budget components</w:t>
      </w:r>
      <w:r w:rsidR="002B0E6C">
        <w:t xml:space="preserve"> for </w:t>
      </w:r>
      <w:r w:rsidR="009B0FA4">
        <w:t>predevelopment (pre-1961)</w:t>
      </w:r>
      <w:r w:rsidR="001A64FD">
        <w:t xml:space="preserve">, </w:t>
      </w:r>
      <w:r w:rsidR="009B0FA4">
        <w:t>average conditions (1981-2005)</w:t>
      </w:r>
      <w:r w:rsidR="001A64FD">
        <w:t>,</w:t>
      </w:r>
      <w:r w:rsidR="005A316E">
        <w:t xml:space="preserve"> and</w:t>
      </w:r>
      <w:r w:rsidR="0046626C">
        <w:t xml:space="preserve"> 2005</w:t>
      </w:r>
      <w:r w:rsidR="00B03598">
        <w:t>. This budget applies to the</w:t>
      </w:r>
      <w:r w:rsidR="0046626C">
        <w:t xml:space="preserve"> control volume</w:t>
      </w:r>
      <w:r w:rsidR="00A46B2C">
        <w:t>.</w:t>
      </w:r>
      <w:bookmarkEnd w:id="81"/>
      <w:bookmarkEnd w:id="82"/>
      <w:bookmarkEnd w:id="83"/>
      <w:bookmarkEnd w:id="84"/>
      <w:bookmarkEnd w:id="85"/>
      <w:bookmarkEnd w:id="86"/>
      <w:r w:rsidR="007B1A9D">
        <w:t xml:space="preserve"> Values are from </w:t>
      </w:r>
      <w:r w:rsidR="00F010EF">
        <w:t>Davis and Long (2017a</w:t>
      </w:r>
      <w:proofErr w:type="gramStart"/>
      <w:r w:rsidR="00F010EF">
        <w:t xml:space="preserve">) </w:t>
      </w:r>
      <w:r w:rsidR="007B1A9D">
        <w:t>.</w:t>
      </w:r>
      <w:bookmarkEnd w:id="87"/>
      <w:proofErr w:type="gramEnd"/>
      <w:r w:rsidR="00600D0D">
        <w:t xml:space="preserve"> </w:t>
      </w:r>
    </w:p>
    <w:p w14:paraId="1429377E" w14:textId="77777777" w:rsidR="00281756" w:rsidRDefault="00281756" w:rsidP="00A44D11">
      <w:pPr>
        <w:pStyle w:val="BodyText"/>
      </w:pPr>
      <w:r>
        <w:t>Although simulated stream infiltration was much lower than the estimated value (</w:t>
      </w:r>
      <w:r>
        <w:fldChar w:fldCharType="begin"/>
      </w:r>
      <w:r>
        <w:instrText xml:space="preserve"> REF _Ref468791623 \r \h </w:instrText>
      </w:r>
      <w:r>
        <w:fldChar w:fldCharType="separate"/>
      </w:r>
      <w:r w:rsidR="0038152B">
        <w:t>Table 1</w:t>
      </w:r>
      <w:r>
        <w:fldChar w:fldCharType="end"/>
      </w:r>
      <w:r>
        <w:t>), uncertainty of the estimate was large (Long and others, 2014), partly resulting from uncertaint</w:t>
      </w:r>
      <w:r w:rsidR="00E321ED">
        <w:t>y in consumptive use of surface water</w:t>
      </w:r>
      <w:r>
        <w:t xml:space="preserve">. </w:t>
      </w:r>
      <w:r w:rsidR="000323A2">
        <w:t>Simulated stream exfiltration</w:t>
      </w:r>
      <w:r w:rsidR="00E321ED">
        <w:t xml:space="preserve"> (</w:t>
      </w:r>
      <w:r w:rsidR="00E321ED">
        <w:fldChar w:fldCharType="begin"/>
      </w:r>
      <w:r w:rsidR="00E321ED">
        <w:instrText xml:space="preserve"> REF _Ref468791623 \r \h </w:instrText>
      </w:r>
      <w:r w:rsidR="00E321ED">
        <w:fldChar w:fldCharType="separate"/>
      </w:r>
      <w:r w:rsidR="0038152B">
        <w:t>Table 1</w:t>
      </w:r>
      <w:r w:rsidR="00E321ED">
        <w:fldChar w:fldCharType="end"/>
      </w:r>
      <w:r w:rsidR="00E321ED">
        <w:t>)</w:t>
      </w:r>
      <w:r w:rsidR="000323A2">
        <w:t xml:space="preserve"> </w:t>
      </w:r>
      <w:r>
        <w:t xml:space="preserve">differed from the estimated value by only </w:t>
      </w:r>
      <w:r w:rsidRPr="00E321ED">
        <w:rPr>
          <w:highlight w:val="yellow"/>
        </w:rPr>
        <w:t>5</w:t>
      </w:r>
      <w:r>
        <w:t xml:space="preserve"> percent. Irrigation recharge is the excess irrigation that infiltrates the aquifer, for which the simulated and estimated values were identical</w:t>
      </w:r>
      <w:r w:rsidR="00C94C07">
        <w:t xml:space="preserve"> because</w:t>
      </w:r>
      <w:r>
        <w:t xml:space="preserve"> this rate was specified in the model rather than calibrated. Lakes and reservoirs interact with groundwater similarly to streams. In contrast to the es</w:t>
      </w:r>
      <w:r w:rsidR="009D09CE">
        <w:t>timated reservoir infiltration</w:t>
      </w:r>
      <w:r>
        <w:t xml:space="preserve"> of zero, the </w:t>
      </w:r>
      <w:r>
        <w:lastRenderedPageBreak/>
        <w:t xml:space="preserve">simulated </w:t>
      </w:r>
      <w:proofErr w:type="gramStart"/>
      <w:r>
        <w:t>value was large (1,575 ft</w:t>
      </w:r>
      <w:r>
        <w:rPr>
          <w:vertAlign w:val="superscript"/>
        </w:rPr>
        <w:t>3</w:t>
      </w:r>
      <w:r>
        <w:t>/s) and in a similar range to that of simulated precipitation recharge</w:t>
      </w:r>
      <w:proofErr w:type="gramEnd"/>
      <w:r>
        <w:t xml:space="preserve"> and stream infiltration (</w:t>
      </w:r>
      <w:r>
        <w:fldChar w:fldCharType="begin"/>
      </w:r>
      <w:r>
        <w:instrText xml:space="preserve"> REF _Ref468791623 \r \h </w:instrText>
      </w:r>
      <w:r>
        <w:fldChar w:fldCharType="separate"/>
      </w:r>
      <w:r w:rsidR="0038152B">
        <w:t>Table 1</w:t>
      </w:r>
      <w:r>
        <w:fldChar w:fldCharType="end"/>
      </w:r>
      <w:r w:rsidR="009D09CE">
        <w:t>). Estimated reservoir exfiltration</w:t>
      </w:r>
      <w:r>
        <w:t xml:space="preserve"> was only 10 ft</w:t>
      </w:r>
      <w:r>
        <w:rPr>
          <w:vertAlign w:val="superscript"/>
        </w:rPr>
        <w:t>3</w:t>
      </w:r>
      <w:r>
        <w:t>/s compared to the simulated value of 546 ft</w:t>
      </w:r>
      <w:r>
        <w:rPr>
          <w:vertAlign w:val="superscript"/>
        </w:rPr>
        <w:t>3</w:t>
      </w:r>
      <w:r>
        <w:t xml:space="preserve">/s. </w:t>
      </w:r>
    </w:p>
    <w:p w14:paraId="0C42A0A9" w14:textId="77777777" w:rsidR="00281756" w:rsidRDefault="009D09CE" w:rsidP="007E43F2">
      <w:pPr>
        <w:pStyle w:val="BodyText"/>
      </w:pPr>
      <w:r>
        <w:t>A relatively small amount of g</w:t>
      </w:r>
      <w:r w:rsidR="00281756">
        <w:t>roundwat</w:t>
      </w:r>
      <w:r w:rsidR="00E321ED">
        <w:t>er flows from the Powder River Basin into the Williston B</w:t>
      </w:r>
      <w:r w:rsidR="00281756">
        <w:t>asin through connected hydrogeologic units. The glacial aquifer system extends beyond the limits of the control volume and, therefore, allows horizontal groundwater flow into and out of the control volume. The simulated groundwater inflow and outflow for the control volume within the glacial aquifer system is a small component of the simulated</w:t>
      </w:r>
      <w:r w:rsidR="00B03598">
        <w:t xml:space="preserve"> </w:t>
      </w:r>
      <w:r w:rsidR="00D3419C">
        <w:t>groundwater-flow budget</w:t>
      </w:r>
      <w:r w:rsidR="00281756">
        <w:t>, and inflow and outflow are nearly balanced (</w:t>
      </w:r>
      <w:r w:rsidR="00281756">
        <w:fldChar w:fldCharType="begin"/>
      </w:r>
      <w:r w:rsidR="00281756">
        <w:instrText xml:space="preserve"> REF _Ref468791623 \r \h </w:instrText>
      </w:r>
      <w:r w:rsidR="00281756">
        <w:fldChar w:fldCharType="separate"/>
      </w:r>
      <w:r w:rsidR="0038152B">
        <w:t>Table 1</w:t>
      </w:r>
      <w:r w:rsidR="00281756">
        <w:fldChar w:fldCharType="end"/>
      </w:r>
      <w:r w:rsidR="00281756">
        <w:t>); the estimated counterparts of this inflow and outflow were assumed to be balanced (Long and others, 2014) and, therefore, not considered in the estimated</w:t>
      </w:r>
      <w:r w:rsidR="00B03598">
        <w:t xml:space="preserve"> </w:t>
      </w:r>
      <w:r w:rsidR="00D3419C">
        <w:t>groundwater-flow budget</w:t>
      </w:r>
      <w:r w:rsidR="00281756">
        <w:t>. Groundwater withdrawal was a small part of the estimated and simulated</w:t>
      </w:r>
      <w:r w:rsidR="00B03598">
        <w:t xml:space="preserve"> </w:t>
      </w:r>
      <w:r w:rsidR="00D3419C">
        <w:t>groundwater-flow budget</w:t>
      </w:r>
      <w:r w:rsidR="00281756">
        <w:t xml:space="preserve"> (</w:t>
      </w:r>
      <w:r w:rsidR="00281756">
        <w:fldChar w:fldCharType="begin"/>
      </w:r>
      <w:r w:rsidR="00281756">
        <w:instrText xml:space="preserve"> REF _Ref468791623 \r \h </w:instrText>
      </w:r>
      <w:r w:rsidR="00281756">
        <w:fldChar w:fldCharType="separate"/>
      </w:r>
      <w:r w:rsidR="0038152B">
        <w:t>Table 1</w:t>
      </w:r>
      <w:r w:rsidR="00281756">
        <w:fldChar w:fldCharType="end"/>
      </w:r>
      <w:r w:rsidR="00281756">
        <w:t>); the estimated value was</w:t>
      </w:r>
      <w:r>
        <w:t xml:space="preserve"> reduced by 32 percent in the steady-state model (1981‒2005) because of numerical instability during model calibration</w:t>
      </w:r>
      <w:r w:rsidR="00281756">
        <w:t xml:space="preserve">, as described by </w:t>
      </w:r>
      <w:r w:rsidR="00F010EF">
        <w:t>Davis and Long (2017a</w:t>
      </w:r>
      <w:proofErr w:type="gramStart"/>
      <w:r w:rsidR="00F010EF">
        <w:t xml:space="preserve">) </w:t>
      </w:r>
      <w:r w:rsidR="00281756">
        <w:t>.</w:t>
      </w:r>
      <w:proofErr w:type="gramEnd"/>
      <w:r w:rsidR="00281756">
        <w:t xml:space="preserve"> </w:t>
      </w:r>
      <w:r w:rsidR="004551E0">
        <w:t xml:space="preserve">However, this reduction of estimated well withdrawal was not applied to the transient model and, therefore, had no effect on simulating hydrologic scenarios. </w:t>
      </w:r>
    </w:p>
    <w:p w14:paraId="731A3C99" w14:textId="77777777" w:rsidR="00266441" w:rsidRDefault="00266441" w:rsidP="00266441">
      <w:pPr>
        <w:pStyle w:val="BodyText"/>
      </w:pPr>
      <w:r>
        <w:t>Infiltration to groundwater from domestic on-site sewage treatment, or septic, systems also was considered. About 9 percent of all well withdrawals in the control vol</w:t>
      </w:r>
      <w:r w:rsidR="00E321ED">
        <w:t>ume are</w:t>
      </w:r>
      <w:r w:rsidR="00A974A5">
        <w:t xml:space="preserve"> from domestic wells; </w:t>
      </w:r>
      <w:r>
        <w:t>about 50% of all well withdra</w:t>
      </w:r>
      <w:r w:rsidR="00E321ED">
        <w:t>wals are</w:t>
      </w:r>
      <w:r w:rsidR="00A974A5">
        <w:t xml:space="preserve"> from flowing wells (Long and others, 2014). On this basis, we assume that water produced from flowing wells accounts for 50% of domestic-well withdrawals. Because most of the flowing wells produce water continuously, only a small percentage </w:t>
      </w:r>
      <w:r w:rsidR="00D57A61">
        <w:t>of this water might be</w:t>
      </w:r>
      <w:r w:rsidR="00A974A5">
        <w:t xml:space="preserve"> diverted to domestic septic systems. If we then assume that 50‒90% of the pumped water is diverted to septic systems, the infiltration from domestic </w:t>
      </w:r>
      <w:r w:rsidR="00A974A5">
        <w:lastRenderedPageBreak/>
        <w:t>septic systems is less than 0.3 percent of total ground</w:t>
      </w:r>
      <w:r w:rsidR="00D57A61">
        <w:t>water recharge and, therefore,</w:t>
      </w:r>
      <w:r w:rsidR="00A974A5">
        <w:t xml:space="preserve"> was assumed negligible.</w:t>
      </w:r>
    </w:p>
    <w:p w14:paraId="5093A52E" w14:textId="77777777" w:rsidR="00281756" w:rsidRDefault="00281756" w:rsidP="00A40EFC">
      <w:pPr>
        <w:pStyle w:val="Heading1"/>
      </w:pPr>
      <w:bookmarkStart w:id="88" w:name="_Toc477244266"/>
      <w:r>
        <w:t>Simulated Transient</w:t>
      </w:r>
      <w:r w:rsidR="004860C7">
        <w:t xml:space="preserve"> </w:t>
      </w:r>
      <w:r w:rsidR="00D3419C">
        <w:t>Groundwater-flow budget</w:t>
      </w:r>
      <w:bookmarkEnd w:id="88"/>
    </w:p>
    <w:p w14:paraId="4B34A941" w14:textId="77777777" w:rsidR="00676274" w:rsidRDefault="00F86F44" w:rsidP="00845286">
      <w:pPr>
        <w:pStyle w:val="BodyText"/>
      </w:pPr>
      <w:r>
        <w:t xml:space="preserve">For transient simulations, </w:t>
      </w:r>
      <w:r w:rsidR="00865991">
        <w:t>Δ</w:t>
      </w:r>
      <w:r w:rsidR="00865991" w:rsidRPr="00C919B4">
        <w:rPr>
          <w:i/>
        </w:rPr>
        <w:t>S</w:t>
      </w:r>
      <w:r w:rsidR="00865991">
        <w:t xml:space="preserve"> balances equation 1 so that the sum of all components equates to zero; the sign of Δ</w:t>
      </w:r>
      <w:r w:rsidR="00865991" w:rsidRPr="00C919B4">
        <w:rPr>
          <w:i/>
        </w:rPr>
        <w:t>S</w:t>
      </w:r>
      <w:r w:rsidR="00865991">
        <w:t xml:space="preserve"> is determined on this basis. For example, if inflows exceed outflows, Δ</w:t>
      </w:r>
      <w:r w:rsidR="00865991" w:rsidRPr="00C919B4">
        <w:rPr>
          <w:i/>
        </w:rPr>
        <w:t>S</w:t>
      </w:r>
      <w:r w:rsidR="00865991">
        <w:t xml:space="preserve"> is negative and represents an increase in</w:t>
      </w:r>
      <w:r w:rsidR="00AE58EE">
        <w:t xml:space="preserve"> groundwater</w:t>
      </w:r>
      <w:r w:rsidR="00865991">
        <w:t xml:space="preserve"> storage. </w:t>
      </w:r>
      <w:r w:rsidR="00A602FE">
        <w:t>The</w:t>
      </w:r>
      <w:r w:rsidR="00B03598">
        <w:t xml:space="preserve"> </w:t>
      </w:r>
      <w:r w:rsidR="00D3419C">
        <w:t>groundwater-flow budget</w:t>
      </w:r>
      <w:r w:rsidR="00A602FE">
        <w:t xml:space="preserve"> for the predevelopment period</w:t>
      </w:r>
      <w:r w:rsidR="003C21CB">
        <w:t xml:space="preserve"> differs little from that of</w:t>
      </w:r>
      <w:r w:rsidR="00BF3E04">
        <w:t xml:space="preserve"> average conditions (1981‒</w:t>
      </w:r>
      <w:proofErr w:type="gramStart"/>
      <w:r w:rsidR="00BF3E04">
        <w:t>2005 )</w:t>
      </w:r>
      <w:proofErr w:type="gramEnd"/>
      <w:r w:rsidR="00C94C07">
        <w:t xml:space="preserve"> because</w:t>
      </w:r>
      <w:r w:rsidR="00845286">
        <w:t xml:space="preserve"> average well </w:t>
      </w:r>
      <w:r w:rsidR="00BF3E04">
        <w:t>withdrawals for 1981‒2005 were a small part of the total</w:t>
      </w:r>
      <w:r w:rsidR="00B03598">
        <w:t xml:space="preserve"> </w:t>
      </w:r>
      <w:r w:rsidR="00D3419C">
        <w:t>groundwater-flow budget</w:t>
      </w:r>
      <w:r w:rsidR="00A602FE">
        <w:t xml:space="preserve"> (</w:t>
      </w:r>
      <w:r w:rsidR="00A602FE">
        <w:fldChar w:fldCharType="begin"/>
      </w:r>
      <w:r w:rsidR="00A602FE">
        <w:instrText xml:space="preserve"> REF _Ref468805855 \r \h </w:instrText>
      </w:r>
      <w:r w:rsidR="00A602FE">
        <w:fldChar w:fldCharType="separate"/>
      </w:r>
      <w:r w:rsidR="00BC5220">
        <w:t>Figure 8</w:t>
      </w:r>
      <w:r w:rsidR="00A602FE">
        <w:fldChar w:fldCharType="end"/>
      </w:r>
      <w:r w:rsidR="00BF3E04" w:rsidRPr="00BF3E04">
        <w:rPr>
          <w:i/>
        </w:rPr>
        <w:t>A</w:t>
      </w:r>
      <w:r w:rsidR="00BF3E04">
        <w:t xml:space="preserve"> and </w:t>
      </w:r>
      <w:r w:rsidR="00BF3E04" w:rsidRPr="00BF3E04">
        <w:rPr>
          <w:i/>
        </w:rPr>
        <w:t>B</w:t>
      </w:r>
      <w:r w:rsidR="00A602FE">
        <w:t>)</w:t>
      </w:r>
      <w:r w:rsidR="00BF3E04">
        <w:t>.</w:t>
      </w:r>
      <w:r w:rsidR="0060311A">
        <w:t xml:space="preserve"> </w:t>
      </w:r>
    </w:p>
    <w:p w14:paraId="3E4E10C2" w14:textId="77777777" w:rsidR="008A77D0" w:rsidRDefault="0069355A" w:rsidP="00845286">
      <w:pPr>
        <w:pStyle w:val="BodyText"/>
      </w:pPr>
      <w:r>
        <w:t xml:space="preserve">For </w:t>
      </w:r>
      <w:r w:rsidR="00DE558F">
        <w:t xml:space="preserve">2005, the last </w:t>
      </w:r>
      <w:r w:rsidR="0060311A">
        <w:t xml:space="preserve">model stress period, </w:t>
      </w:r>
      <w:r>
        <w:t xml:space="preserve">precipitation </w:t>
      </w:r>
      <w:r w:rsidR="009C5F9A">
        <w:t>recharge was only 11</w:t>
      </w:r>
      <w:r w:rsidR="00DE558F">
        <w:t xml:space="preserve"> perce</w:t>
      </w:r>
      <w:r w:rsidR="009C5F9A">
        <w:t>nt of total inflow,</w:t>
      </w:r>
      <w:r w:rsidR="00AE58EE">
        <w:t xml:space="preserve"> which is</w:t>
      </w:r>
      <w:r w:rsidR="009C5F9A">
        <w:t xml:space="preserve"> in contrast to 35 percent</w:t>
      </w:r>
      <w:r w:rsidR="00AE58EE">
        <w:t xml:space="preserve"> precipitation recharge</w:t>
      </w:r>
      <w:r w:rsidR="009C5F9A">
        <w:t xml:space="preserve"> for average conditions (</w:t>
      </w:r>
      <w:r w:rsidR="009C5F9A">
        <w:fldChar w:fldCharType="begin"/>
      </w:r>
      <w:r w:rsidR="009C5F9A">
        <w:instrText xml:space="preserve"> REF _Ref468973086 \r \h </w:instrText>
      </w:r>
      <w:r w:rsidR="009C5F9A">
        <w:fldChar w:fldCharType="separate"/>
      </w:r>
      <w:r w:rsidR="00BC5220">
        <w:t>Figure 8</w:t>
      </w:r>
      <w:r w:rsidR="009C5F9A">
        <w:fldChar w:fldCharType="end"/>
      </w:r>
      <w:r w:rsidR="009C5F9A" w:rsidRPr="009C5F9A">
        <w:rPr>
          <w:i/>
        </w:rPr>
        <w:t>B</w:t>
      </w:r>
      <w:r w:rsidR="009C5F9A">
        <w:t xml:space="preserve"> and </w:t>
      </w:r>
      <w:r w:rsidR="009C5F9A" w:rsidRPr="009C5F9A">
        <w:rPr>
          <w:i/>
        </w:rPr>
        <w:t>C</w:t>
      </w:r>
      <w:r w:rsidR="009C5F9A">
        <w:t>)</w:t>
      </w:r>
      <w:r w:rsidR="002A0B95">
        <w:t>; this is consistent with</w:t>
      </w:r>
      <w:r w:rsidR="000C5A33">
        <w:t xml:space="preserve"> below-average</w:t>
      </w:r>
      <w:r w:rsidR="006A02E6">
        <w:t xml:space="preserve"> p</w:t>
      </w:r>
      <w:r w:rsidR="000C5A33">
        <w:t xml:space="preserve">recipitation </w:t>
      </w:r>
      <w:r w:rsidR="006A02E6">
        <w:t xml:space="preserve">recharge </w:t>
      </w:r>
      <w:r w:rsidR="000C5A33">
        <w:t>for</w:t>
      </w:r>
      <w:r w:rsidR="006A02E6">
        <w:t xml:space="preserve"> 2000‒</w:t>
      </w:r>
      <w:r w:rsidR="000C5A33">
        <w:t>2005</w:t>
      </w:r>
      <w:r w:rsidR="002A0B95">
        <w:t>, as shown by a negative slope in the cumulative-departure curve</w:t>
      </w:r>
      <w:r w:rsidR="006A02E6">
        <w:t xml:space="preserve"> (</w:t>
      </w:r>
      <w:r w:rsidR="006A02E6">
        <w:fldChar w:fldCharType="begin"/>
      </w:r>
      <w:r w:rsidR="006A02E6">
        <w:instrText xml:space="preserve"> REF _Ref467591513 \r \h </w:instrText>
      </w:r>
      <w:r w:rsidR="006A02E6">
        <w:fldChar w:fldCharType="separate"/>
      </w:r>
      <w:r w:rsidR="00BC5220">
        <w:t>Figure 6</w:t>
      </w:r>
      <w:r w:rsidR="006A02E6">
        <w:fldChar w:fldCharType="end"/>
      </w:r>
      <w:r w:rsidR="006A02E6">
        <w:t xml:space="preserve">). </w:t>
      </w:r>
      <w:r w:rsidR="00AE58EE">
        <w:t xml:space="preserve">Low </w:t>
      </w:r>
      <w:r w:rsidR="00F40B70">
        <w:t>precipitation recharge for 2005 resulted in</w:t>
      </w:r>
      <w:r w:rsidR="00112B28">
        <w:t xml:space="preserve"> total inflow that was</w:t>
      </w:r>
      <w:r w:rsidR="00AE58EE">
        <w:t xml:space="preserve"> only 69 percent as large as </w:t>
      </w:r>
      <w:r w:rsidR="00112B28">
        <w:t>total outflow</w:t>
      </w:r>
      <w:r w:rsidR="005E0EF4">
        <w:t xml:space="preserve"> and, consequently,</w:t>
      </w:r>
      <w:r w:rsidR="00112B28">
        <w:t xml:space="preserve"> </w:t>
      </w:r>
      <w:r w:rsidR="007567C5">
        <w:t>large storage-change</w:t>
      </w:r>
      <w:r w:rsidR="00845286">
        <w:t>,</w:t>
      </w:r>
      <w:r w:rsidR="00B36C37">
        <w:t xml:space="preserve"> Δ</w:t>
      </w:r>
      <w:r w:rsidR="00B36C37" w:rsidRPr="00B36C37">
        <w:rPr>
          <w:i/>
        </w:rPr>
        <w:t>S</w:t>
      </w:r>
      <w:r w:rsidR="007567C5">
        <w:t xml:space="preserve"> (</w:t>
      </w:r>
      <w:r w:rsidR="007567C5">
        <w:fldChar w:fldCharType="begin"/>
      </w:r>
      <w:r w:rsidR="007567C5">
        <w:instrText xml:space="preserve"> REF _Ref468975067 \r \h </w:instrText>
      </w:r>
      <w:r w:rsidR="007567C5">
        <w:fldChar w:fldCharType="separate"/>
      </w:r>
      <w:r w:rsidR="00BC5220">
        <w:t>Figure 8</w:t>
      </w:r>
      <w:r w:rsidR="007567C5">
        <w:fldChar w:fldCharType="end"/>
      </w:r>
      <w:r w:rsidR="007567C5" w:rsidRPr="00DD1BB7">
        <w:rPr>
          <w:i/>
        </w:rPr>
        <w:t>C</w:t>
      </w:r>
      <w:r w:rsidR="007567C5">
        <w:t>).</w:t>
      </w:r>
      <w:r w:rsidR="008A77D0">
        <w:t xml:space="preserve"> </w:t>
      </w:r>
    </w:p>
    <w:p w14:paraId="53E5BCC4" w14:textId="77777777" w:rsidR="00BD3D5A" w:rsidRPr="00BD3D5A" w:rsidRDefault="00C919B4" w:rsidP="008C543C">
      <w:pPr>
        <w:pStyle w:val="BodyText"/>
      </w:pPr>
      <w:r>
        <w:t xml:space="preserve">A </w:t>
      </w:r>
      <w:r w:rsidR="00D3419C">
        <w:t>groundwater-flow budget</w:t>
      </w:r>
      <w:r w:rsidR="00A56CA3">
        <w:t xml:space="preserve"> for the transient model (predevelopment-</w:t>
      </w:r>
      <w:r w:rsidR="00A56CA3" w:rsidRPr="003B7993">
        <w:t>2005</w:t>
      </w:r>
      <w:r w:rsidR="00A56CA3">
        <w:t xml:space="preserve">) </w:t>
      </w:r>
      <w:r>
        <w:t>provides additional insight into hydrologic change</w:t>
      </w:r>
      <w:r w:rsidR="00A56CA3">
        <w:t xml:space="preserve">, as well as differences in the </w:t>
      </w:r>
      <w:proofErr w:type="gramStart"/>
      <w:r w:rsidR="00A56CA3">
        <w:t>three aquifer</w:t>
      </w:r>
      <w:proofErr w:type="gramEnd"/>
      <w:r w:rsidR="00A56CA3">
        <w:t xml:space="preserve"> systems</w:t>
      </w:r>
      <w:r>
        <w:t xml:space="preserve"> (</w:t>
      </w:r>
      <w:r w:rsidR="00691B7C">
        <w:fldChar w:fldCharType="begin"/>
      </w:r>
      <w:r w:rsidR="00691B7C">
        <w:instrText xml:space="preserve"> REF _Ref468979958 \r \h </w:instrText>
      </w:r>
      <w:r w:rsidR="00691B7C">
        <w:fldChar w:fldCharType="separate"/>
      </w:r>
      <w:r w:rsidR="00BC5220">
        <w:t>Figure 9</w:t>
      </w:r>
      <w:r w:rsidR="00691B7C">
        <w:fldChar w:fldCharType="end"/>
      </w:r>
      <w:r w:rsidR="008C543C">
        <w:t xml:space="preserve">). </w:t>
      </w:r>
      <w:r w:rsidR="00676274">
        <w:t xml:space="preserve">The time increments in </w:t>
      </w:r>
      <w:r w:rsidR="00676274">
        <w:fldChar w:fldCharType="begin"/>
      </w:r>
      <w:r w:rsidR="00676274">
        <w:instrText xml:space="preserve"> REF _Ref469058196 \r \h </w:instrText>
      </w:r>
      <w:r w:rsidR="00676274">
        <w:fldChar w:fldCharType="separate"/>
      </w:r>
      <w:r w:rsidR="00BC5220">
        <w:t>Figure 9</w:t>
      </w:r>
      <w:r w:rsidR="00676274">
        <w:fldChar w:fldCharType="end"/>
      </w:r>
      <w:r w:rsidR="00676274">
        <w:t xml:space="preserve"> are variable, as described in the section “Summary of Numerical Modeling.” </w:t>
      </w:r>
      <w:r w:rsidR="008C543C">
        <w:t>T</w:t>
      </w:r>
      <w:bookmarkEnd w:id="62"/>
      <w:r w:rsidR="008C543C">
        <w:t>he total</w:t>
      </w:r>
      <w:r w:rsidR="00A56CA3">
        <w:t xml:space="preserve"> magnitude of the </w:t>
      </w:r>
      <w:r w:rsidR="00D3419C">
        <w:t>groundwater-flow budget</w:t>
      </w:r>
      <w:r w:rsidR="008C543C">
        <w:t xml:space="preserve"> by stress period shows wet and dry conditions at a glance; for example,</w:t>
      </w:r>
      <w:r w:rsidR="00C95C85">
        <w:t xml:space="preserve"> the perio</w:t>
      </w:r>
      <w:r w:rsidR="00676274">
        <w:t>d 1995‒1999 has the largest flows</w:t>
      </w:r>
      <w:r w:rsidR="00C95C85">
        <w:t xml:space="preserve"> for all three aquifer systems (</w:t>
      </w:r>
      <w:r w:rsidR="00C95C85">
        <w:fldChar w:fldCharType="begin"/>
      </w:r>
      <w:r w:rsidR="00C95C85">
        <w:instrText xml:space="preserve"> REF _Ref469320705 \r \h </w:instrText>
      </w:r>
      <w:r w:rsidR="00C95C85">
        <w:fldChar w:fldCharType="separate"/>
      </w:r>
      <w:r w:rsidR="00BC5220">
        <w:t>Figure 9</w:t>
      </w:r>
      <w:r w:rsidR="00C95C85">
        <w:fldChar w:fldCharType="end"/>
      </w:r>
      <w:r w:rsidR="00C95C85">
        <w:t xml:space="preserve">). </w:t>
      </w:r>
      <w:r w:rsidR="00E36FAF">
        <w:t xml:space="preserve">Temporal changes observable in </w:t>
      </w:r>
      <w:r w:rsidR="00E36FAF">
        <w:fldChar w:fldCharType="begin"/>
      </w:r>
      <w:r w:rsidR="00E36FAF">
        <w:instrText xml:space="preserve"> REF _Ref469060692 \r \h </w:instrText>
      </w:r>
      <w:r w:rsidR="00E36FAF">
        <w:fldChar w:fldCharType="separate"/>
      </w:r>
      <w:r w:rsidR="00BC5220">
        <w:t>Figure 9</w:t>
      </w:r>
      <w:r w:rsidR="00E36FAF">
        <w:fldChar w:fldCharType="end"/>
      </w:r>
      <w:r w:rsidR="00E36FAF">
        <w:t xml:space="preserve"> are consistent with the cumulative departure from average</w:t>
      </w:r>
      <w:r w:rsidR="00676274">
        <w:t xml:space="preserve"> precipitation recharge</w:t>
      </w:r>
      <w:r w:rsidR="00E36FAF">
        <w:t xml:space="preserve"> </w:t>
      </w:r>
      <w:r w:rsidR="00676274">
        <w:t>(</w:t>
      </w:r>
      <w:r w:rsidR="00E36FAF" w:rsidRPr="00E36FAF">
        <w:rPr>
          <w:i/>
        </w:rPr>
        <w:t>R</w:t>
      </w:r>
      <w:r w:rsidR="00E36FAF" w:rsidRPr="00E36FAF">
        <w:rPr>
          <w:i/>
          <w:vertAlign w:val="subscript"/>
        </w:rPr>
        <w:t>P</w:t>
      </w:r>
      <w:r w:rsidR="00676274">
        <w:t xml:space="preserve">) </w:t>
      </w:r>
      <w:r w:rsidR="00E36FAF">
        <w:t>(</w:t>
      </w:r>
      <w:r w:rsidR="00E36FAF">
        <w:fldChar w:fldCharType="begin"/>
      </w:r>
      <w:r w:rsidR="00E36FAF">
        <w:instrText xml:space="preserve"> REF _Ref467591513 \r \h </w:instrText>
      </w:r>
      <w:r w:rsidR="00E36FAF">
        <w:fldChar w:fldCharType="separate"/>
      </w:r>
      <w:r w:rsidR="00BC5220">
        <w:t>Figure 6</w:t>
      </w:r>
      <w:r w:rsidR="00E36FAF">
        <w:fldChar w:fldCharType="end"/>
      </w:r>
      <w:r w:rsidR="002454FC" w:rsidRPr="002454FC">
        <w:rPr>
          <w:i/>
        </w:rPr>
        <w:t>A</w:t>
      </w:r>
      <w:r w:rsidR="002454FC">
        <w:t xml:space="preserve">): </w:t>
      </w:r>
      <w:r w:rsidR="002454FC">
        <w:lastRenderedPageBreak/>
        <w:t>t</w:t>
      </w:r>
      <w:r w:rsidR="00183C04">
        <w:t>he period</w:t>
      </w:r>
      <w:r w:rsidR="001019C4">
        <w:t xml:space="preserve"> 1961‒1975 had m</w:t>
      </w:r>
      <w:r w:rsidR="00E36FAF">
        <w:t xml:space="preserve">oderately above-average </w:t>
      </w:r>
      <w:r w:rsidR="00E36FAF" w:rsidRPr="00E36FAF">
        <w:rPr>
          <w:i/>
        </w:rPr>
        <w:t>R</w:t>
      </w:r>
      <w:r w:rsidR="00E36FAF" w:rsidRPr="00E36FAF">
        <w:rPr>
          <w:i/>
          <w:vertAlign w:val="subscript"/>
        </w:rPr>
        <w:t>P</w:t>
      </w:r>
      <w:r w:rsidR="001019C4">
        <w:t>; 1971‒1986 had variable</w:t>
      </w:r>
      <w:r w:rsidR="00E36FAF">
        <w:t xml:space="preserve"> </w:t>
      </w:r>
      <w:r w:rsidR="00E36FAF" w:rsidRPr="00E36FAF">
        <w:rPr>
          <w:i/>
        </w:rPr>
        <w:t>R</w:t>
      </w:r>
      <w:r w:rsidR="00E36FAF" w:rsidRPr="00E36FAF">
        <w:rPr>
          <w:i/>
          <w:vertAlign w:val="subscript"/>
        </w:rPr>
        <w:t>P</w:t>
      </w:r>
      <w:r w:rsidR="002454FC">
        <w:t xml:space="preserve"> that was</w:t>
      </w:r>
      <w:r w:rsidR="00E36FAF">
        <w:t xml:space="preserve"> </w:t>
      </w:r>
      <w:r w:rsidR="001019C4">
        <w:t>above and below average; 1987‒1994 represent</w:t>
      </w:r>
      <w:r w:rsidR="00E36FAF">
        <w:t>ed low</w:t>
      </w:r>
      <w:r w:rsidR="001019C4">
        <w:t xml:space="preserve"> </w:t>
      </w:r>
      <w:r w:rsidR="00E36FAF" w:rsidRPr="00E36FAF">
        <w:rPr>
          <w:i/>
        </w:rPr>
        <w:t>R</w:t>
      </w:r>
      <w:r w:rsidR="00E36FAF" w:rsidRPr="00E36FAF">
        <w:rPr>
          <w:i/>
          <w:vertAlign w:val="subscript"/>
        </w:rPr>
        <w:t>P</w:t>
      </w:r>
      <w:r w:rsidR="00E36FAF">
        <w:t>;</w:t>
      </w:r>
      <w:r w:rsidR="00183C04">
        <w:t xml:space="preserve"> </w:t>
      </w:r>
      <w:r w:rsidR="00E36FAF">
        <w:t xml:space="preserve">1995‒1999 represented high </w:t>
      </w:r>
      <w:r w:rsidR="00E36FAF" w:rsidRPr="00E36FAF">
        <w:rPr>
          <w:i/>
        </w:rPr>
        <w:t>R</w:t>
      </w:r>
      <w:r w:rsidR="00E36FAF" w:rsidRPr="00E36FAF">
        <w:rPr>
          <w:i/>
          <w:vertAlign w:val="subscript"/>
        </w:rPr>
        <w:t>P</w:t>
      </w:r>
      <w:r w:rsidR="00E36FAF">
        <w:t xml:space="preserve">; and 2000‒2005 represented low </w:t>
      </w:r>
      <w:r w:rsidR="00E36FAF" w:rsidRPr="00E36FAF">
        <w:rPr>
          <w:i/>
        </w:rPr>
        <w:t>R</w:t>
      </w:r>
      <w:r w:rsidR="00E36FAF" w:rsidRPr="00E36FAF">
        <w:rPr>
          <w:i/>
          <w:vertAlign w:val="subscript"/>
        </w:rPr>
        <w:t>P</w:t>
      </w:r>
      <w:r w:rsidR="002454FC">
        <w:rPr>
          <w:i/>
          <w:vertAlign w:val="subscript"/>
        </w:rPr>
        <w:t xml:space="preserve"> </w:t>
      </w:r>
      <w:r w:rsidR="002454FC">
        <w:t>(</w:t>
      </w:r>
      <w:r w:rsidR="002454FC">
        <w:fldChar w:fldCharType="begin"/>
      </w:r>
      <w:r w:rsidR="002454FC">
        <w:instrText xml:space="preserve"> REF _Ref469319173 \r \h </w:instrText>
      </w:r>
      <w:r w:rsidR="002454FC">
        <w:fldChar w:fldCharType="separate"/>
      </w:r>
      <w:r w:rsidR="00BC5220">
        <w:t>Figure 9</w:t>
      </w:r>
      <w:r w:rsidR="002454FC">
        <w:fldChar w:fldCharType="end"/>
      </w:r>
      <w:r w:rsidR="002454FC">
        <w:t>).</w:t>
      </w:r>
      <w:r w:rsidR="00E36FAF">
        <w:t xml:space="preserve"> </w:t>
      </w:r>
      <w:r w:rsidR="002454FC">
        <w:t xml:space="preserve">In each stress period, </w:t>
      </w:r>
      <w:r w:rsidR="00637F23">
        <w:t>Δ</w:t>
      </w:r>
      <w:r w:rsidR="00637F23" w:rsidRPr="000C0164">
        <w:rPr>
          <w:i/>
        </w:rPr>
        <w:t>S</w:t>
      </w:r>
      <w:r w:rsidR="00637F23">
        <w:t xml:space="preserve"> is either pos</w:t>
      </w:r>
      <w:r w:rsidR="002454FC">
        <w:t>itive or negative</w:t>
      </w:r>
      <w:r w:rsidR="008027E5">
        <w:t>, and if</w:t>
      </w:r>
      <w:r w:rsidR="00BD3D5A">
        <w:t xml:space="preserve"> </w:t>
      </w:r>
      <w:r w:rsidR="00BD3D5A" w:rsidRPr="00E36FAF">
        <w:rPr>
          <w:i/>
        </w:rPr>
        <w:t>R</w:t>
      </w:r>
      <w:r w:rsidR="00BD3D5A" w:rsidRPr="00E36FAF">
        <w:rPr>
          <w:i/>
          <w:vertAlign w:val="subscript"/>
        </w:rPr>
        <w:t>P</w:t>
      </w:r>
      <w:r w:rsidR="00BD3D5A">
        <w:t xml:space="preserve"> is high, total inflows generally are greater than total outflows, resulting in negative Δ</w:t>
      </w:r>
      <w:r w:rsidR="00BD3D5A" w:rsidRPr="00B36C37">
        <w:rPr>
          <w:i/>
        </w:rPr>
        <w:t>S</w:t>
      </w:r>
      <w:r w:rsidR="00BD3D5A">
        <w:t xml:space="preserve">; whereas, low </w:t>
      </w:r>
      <w:r w:rsidR="00BD3D5A" w:rsidRPr="00E36FAF">
        <w:rPr>
          <w:i/>
        </w:rPr>
        <w:t>R</w:t>
      </w:r>
      <w:r w:rsidR="00BD3D5A" w:rsidRPr="00E36FAF">
        <w:rPr>
          <w:i/>
          <w:vertAlign w:val="subscript"/>
        </w:rPr>
        <w:t>P</w:t>
      </w:r>
      <w:r w:rsidR="00676274">
        <w:t xml:space="preserve"> corresponds to</w:t>
      </w:r>
      <w:r w:rsidR="00BD3D5A">
        <w:t xml:space="preserve"> positive Δ</w:t>
      </w:r>
      <w:r w:rsidR="00BD3D5A" w:rsidRPr="000C0164">
        <w:rPr>
          <w:i/>
        </w:rPr>
        <w:t>S</w:t>
      </w:r>
      <w:r w:rsidR="008027E5" w:rsidRPr="008027E5">
        <w:t xml:space="preserve"> </w:t>
      </w:r>
      <w:r w:rsidR="008027E5">
        <w:t>(</w:t>
      </w:r>
      <w:r w:rsidR="008027E5">
        <w:fldChar w:fldCharType="begin"/>
      </w:r>
      <w:r w:rsidR="008027E5">
        <w:instrText xml:space="preserve"> REF _Ref469057075 \r \h </w:instrText>
      </w:r>
      <w:r w:rsidR="008027E5">
        <w:fldChar w:fldCharType="separate"/>
      </w:r>
      <w:r w:rsidR="00BC5220">
        <w:t>Figure 9</w:t>
      </w:r>
      <w:r w:rsidR="008027E5">
        <w:fldChar w:fldCharType="end"/>
      </w:r>
      <w:r w:rsidR="008027E5">
        <w:t>).</w:t>
      </w:r>
      <w:r w:rsidR="001D604C">
        <w:t xml:space="preserve"> </w:t>
      </w:r>
    </w:p>
    <w:p w14:paraId="2F878053" w14:textId="77777777" w:rsidR="00977264" w:rsidRDefault="00C7087B" w:rsidP="00637F23">
      <w:pPr>
        <w:pStyle w:val="BodyText"/>
      </w:pPr>
      <w:r>
        <w:t xml:space="preserve">The lower Tertiary aquifer system has the largest overall </w:t>
      </w:r>
      <w:r w:rsidR="00D3419C">
        <w:t>groundwater-flow budget</w:t>
      </w:r>
      <w:r>
        <w:t xml:space="preserve"> and the greatest variability of the three aquifer systems, whereas, the Upper Cretaceous aquifer system has the smallest </w:t>
      </w:r>
      <w:r w:rsidR="00D3419C">
        <w:t>groundwater-flow budget</w:t>
      </w:r>
      <w:r>
        <w:t xml:space="preserve"> and least variability (</w:t>
      </w:r>
      <w:r>
        <w:fldChar w:fldCharType="begin"/>
      </w:r>
      <w:r>
        <w:instrText xml:space="preserve"> REF _Ref469057075 \r \h </w:instrText>
      </w:r>
      <w:r>
        <w:fldChar w:fldCharType="separate"/>
      </w:r>
      <w:r w:rsidR="00BC5220">
        <w:t>Figure 9</w:t>
      </w:r>
      <w:r>
        <w:fldChar w:fldCharType="end"/>
      </w:r>
      <w:r>
        <w:t xml:space="preserve">). </w:t>
      </w:r>
      <w:r w:rsidR="00E013DC">
        <w:t>T</w:t>
      </w:r>
      <w:r w:rsidR="00973F11">
        <w:t>he Upper Cretaceous aquifer system has</w:t>
      </w:r>
      <w:r w:rsidR="004F1A4A">
        <w:t>, on average,</w:t>
      </w:r>
      <w:r w:rsidR="00973F11">
        <w:t xml:space="preserve"> a </w:t>
      </w:r>
      <w:r w:rsidR="00D3419C">
        <w:t>groundwater-flow budget</w:t>
      </w:r>
      <w:r w:rsidR="00973F11">
        <w:t xml:space="preserve"> that is</w:t>
      </w:r>
      <w:r w:rsidR="00112812">
        <w:t xml:space="preserve"> less than one-third a</w:t>
      </w:r>
      <w:r w:rsidR="00973F11">
        <w:t>s large as the other</w:t>
      </w:r>
      <w:r w:rsidR="00E013DC">
        <w:t xml:space="preserve"> two aquifer systems but accounts for</w:t>
      </w:r>
      <w:r w:rsidR="00112812">
        <w:t xml:space="preserve"> about 70 percent of the total well withdrawals for the control volume</w:t>
      </w:r>
      <w:r w:rsidR="004F1A4A">
        <w:t xml:space="preserve"> (</w:t>
      </w:r>
      <w:r w:rsidR="004F1A4A">
        <w:fldChar w:fldCharType="begin"/>
      </w:r>
      <w:r w:rsidR="004F1A4A">
        <w:instrText xml:space="preserve"> REF _Ref469650360 \r \h </w:instrText>
      </w:r>
      <w:r w:rsidR="004F1A4A">
        <w:fldChar w:fldCharType="separate"/>
      </w:r>
      <w:r w:rsidR="00BC5220">
        <w:t>Figure 10</w:t>
      </w:r>
      <w:r w:rsidR="004F1A4A">
        <w:fldChar w:fldCharType="end"/>
      </w:r>
      <w:r w:rsidR="004F1A4A">
        <w:t>)</w:t>
      </w:r>
      <w:r w:rsidR="000E05CB">
        <w:t>;</w:t>
      </w:r>
      <w:r w:rsidR="004F1A4A">
        <w:t xml:space="preserve"> this largely is because flowing wells discharging from the Upper Cretaceous aquifer system account for about 50 percent of all well withdrawals for the control volume</w:t>
      </w:r>
      <w:r w:rsidR="000E05CB">
        <w:t xml:space="preserve"> (</w:t>
      </w:r>
      <w:r w:rsidR="00AB7647">
        <w:t>Davis and Long, 2017a</w:t>
      </w:r>
      <w:r w:rsidR="000E05CB">
        <w:t>).</w:t>
      </w:r>
      <w:r w:rsidR="00E013DC">
        <w:t xml:space="preserve"> </w:t>
      </w:r>
      <w:r w:rsidR="00EB37C4">
        <w:t>Groundwater pumped from the lower Tertiary and Upper Cretaceous aquifer system was below average during the period 1996‒2000 (</w:t>
      </w:r>
      <w:r w:rsidR="00EB37C4">
        <w:fldChar w:fldCharType="begin"/>
      </w:r>
      <w:r w:rsidR="00EB37C4">
        <w:instrText xml:space="preserve"> REF _Ref469650360 \r \h </w:instrText>
      </w:r>
      <w:r w:rsidR="00EB37C4">
        <w:fldChar w:fldCharType="separate"/>
      </w:r>
      <w:r w:rsidR="00BC5220">
        <w:t>Figure 10</w:t>
      </w:r>
      <w:r w:rsidR="00EB37C4">
        <w:fldChar w:fldCharType="end"/>
      </w:r>
      <w:r w:rsidR="00EB37C4">
        <w:t>) as a result of high precipitation recharge during this general period (</w:t>
      </w:r>
      <w:r w:rsidR="00EB37C4">
        <w:fldChar w:fldCharType="begin"/>
      </w:r>
      <w:r w:rsidR="00EB37C4">
        <w:instrText xml:space="preserve"> REF _Ref467591513 \r \h </w:instrText>
      </w:r>
      <w:r w:rsidR="00EB37C4">
        <w:fldChar w:fldCharType="separate"/>
      </w:r>
      <w:r w:rsidR="00BC5220">
        <w:t>Figure 6</w:t>
      </w:r>
      <w:r w:rsidR="00EB37C4">
        <w:fldChar w:fldCharType="end"/>
      </w:r>
      <w:r w:rsidR="00EB37C4">
        <w:t xml:space="preserve">, </w:t>
      </w:r>
      <w:r w:rsidR="00EB37C4">
        <w:fldChar w:fldCharType="begin"/>
      </w:r>
      <w:r w:rsidR="00EB37C4">
        <w:instrText xml:space="preserve"> REF _Ref469651002 \r \h </w:instrText>
      </w:r>
      <w:r w:rsidR="00EB37C4">
        <w:fldChar w:fldCharType="separate"/>
      </w:r>
      <w:r w:rsidR="00BC5220">
        <w:t>Figure 9</w:t>
      </w:r>
      <w:r w:rsidR="00EB37C4">
        <w:fldChar w:fldCharType="end"/>
      </w:r>
      <w:r w:rsidR="00EB37C4">
        <w:t>),</w:t>
      </w:r>
      <w:r w:rsidR="00676274">
        <w:t xml:space="preserve"> which reduced</w:t>
      </w:r>
      <w:r w:rsidR="00EB37C4">
        <w:t xml:space="preserve"> demand.</w:t>
      </w:r>
      <w:r w:rsidR="00977264">
        <w:t xml:space="preserve"> This high-recharge period also corresponds to a decrease in t</w:t>
      </w:r>
      <w:r w:rsidR="007D6483">
        <w:t>otal well withdrawals as a percentage of groundwater inflow for the control volume</w:t>
      </w:r>
      <w:r w:rsidR="00977264">
        <w:t>, although this percentage has</w:t>
      </w:r>
      <w:r w:rsidR="007D6483">
        <w:t xml:space="preserve"> </w:t>
      </w:r>
      <w:r w:rsidR="00977264">
        <w:t>increased overall from the predevelopment period to 2005 (</w:t>
      </w:r>
      <w:r w:rsidR="00977264">
        <w:fldChar w:fldCharType="begin"/>
      </w:r>
      <w:r w:rsidR="00977264">
        <w:instrText xml:space="preserve"> REF _Ref469650360 \r \h </w:instrText>
      </w:r>
      <w:r w:rsidR="00977264">
        <w:fldChar w:fldCharType="separate"/>
      </w:r>
      <w:r w:rsidR="00BC5220">
        <w:t>Figure 10</w:t>
      </w:r>
      <w:r w:rsidR="00977264">
        <w:fldChar w:fldCharType="end"/>
      </w:r>
      <w:r w:rsidR="00977264">
        <w:t xml:space="preserve">). </w:t>
      </w:r>
    </w:p>
    <w:p w14:paraId="7C52B0D0" w14:textId="77777777" w:rsidR="00265537" w:rsidRDefault="00265537" w:rsidP="000E05CB">
      <w:pPr>
        <w:pStyle w:val="BodyText"/>
        <w:ind w:firstLine="0"/>
      </w:pPr>
    </w:p>
    <w:p w14:paraId="0B561267" w14:textId="77777777" w:rsidR="00B238A7" w:rsidRDefault="003C7F7D" w:rsidP="003C7F7D">
      <w:pPr>
        <w:pStyle w:val="FigureCaption"/>
      </w:pPr>
      <w:bookmarkStart w:id="89" w:name="_Toc468707879"/>
      <w:bookmarkStart w:id="90" w:name="_Ref468979958"/>
      <w:bookmarkStart w:id="91" w:name="_Ref469057075"/>
      <w:bookmarkStart w:id="92" w:name="_Ref469058166"/>
      <w:bookmarkStart w:id="93" w:name="_Ref469058196"/>
      <w:bookmarkStart w:id="94" w:name="_Ref469060692"/>
      <w:bookmarkStart w:id="95" w:name="_Ref469062447"/>
      <w:bookmarkStart w:id="96" w:name="_Ref469319173"/>
      <w:bookmarkStart w:id="97" w:name="_Ref469320705"/>
      <w:bookmarkStart w:id="98" w:name="_Ref469651002"/>
      <w:bookmarkStart w:id="99" w:name="_Toc486492003"/>
      <w:r>
        <w:t xml:space="preserve">Simulated </w:t>
      </w:r>
      <w:r w:rsidR="00D3419C">
        <w:t>groundwater-flow budget</w:t>
      </w:r>
      <w:r w:rsidRPr="003B7993">
        <w:t xml:space="preserve"> </w:t>
      </w:r>
      <w:r>
        <w:t>by stress period (predevelopment-</w:t>
      </w:r>
      <w:r w:rsidRPr="003B7993">
        <w:t>2005</w:t>
      </w:r>
      <w:r>
        <w:t xml:space="preserve">) for, </w:t>
      </w:r>
      <w:r w:rsidRPr="005A316E">
        <w:rPr>
          <w:i/>
        </w:rPr>
        <w:t>A</w:t>
      </w:r>
      <w:r>
        <w:t xml:space="preserve">, the glacial aquifer system; </w:t>
      </w:r>
      <w:r>
        <w:rPr>
          <w:i/>
        </w:rPr>
        <w:t>B</w:t>
      </w:r>
      <w:r>
        <w:t xml:space="preserve">, the lower Tertiary aquifer system; and </w:t>
      </w:r>
      <w:r>
        <w:rPr>
          <w:i/>
        </w:rPr>
        <w:t>C</w:t>
      </w:r>
      <w:r>
        <w:t>, the Upper Cretaceous aquifer system</w:t>
      </w:r>
      <w:r w:rsidRPr="003B7993">
        <w:t>.</w:t>
      </w:r>
      <w:bookmarkEnd w:id="89"/>
      <w:bookmarkEnd w:id="90"/>
      <w:bookmarkEnd w:id="91"/>
      <w:bookmarkEnd w:id="92"/>
      <w:bookmarkEnd w:id="93"/>
      <w:bookmarkEnd w:id="94"/>
      <w:bookmarkEnd w:id="95"/>
      <w:bookmarkEnd w:id="96"/>
      <w:bookmarkEnd w:id="97"/>
      <w:r w:rsidR="007B1A9D">
        <w:t xml:space="preserve"> Values are from </w:t>
      </w:r>
      <w:r w:rsidR="00F010EF">
        <w:t>Davis and Long (2017a</w:t>
      </w:r>
      <w:proofErr w:type="gramStart"/>
      <w:r w:rsidR="00F010EF">
        <w:t xml:space="preserve">) </w:t>
      </w:r>
      <w:r w:rsidR="007B1A9D">
        <w:t>.</w:t>
      </w:r>
      <w:proofErr w:type="gramEnd"/>
      <w:r w:rsidR="00686CC9">
        <w:t xml:space="preserve"> </w:t>
      </w:r>
      <w:r w:rsidR="00686CC9" w:rsidRPr="00686CC9">
        <w:rPr>
          <w:highlight w:val="yellow"/>
        </w:rPr>
        <w:t>[** Kyle will update spreadsheet to show predevelopment for the first stress period</w:t>
      </w:r>
      <w:r w:rsidR="008F3C53">
        <w:rPr>
          <w:highlight w:val="yellow"/>
        </w:rPr>
        <w:t>. Switch to cfs for entire report.</w:t>
      </w:r>
      <w:r w:rsidR="00686CC9" w:rsidRPr="00686CC9">
        <w:rPr>
          <w:highlight w:val="yellow"/>
        </w:rPr>
        <w:t>]</w:t>
      </w:r>
      <w:bookmarkEnd w:id="98"/>
      <w:bookmarkEnd w:id="99"/>
    </w:p>
    <w:p w14:paraId="000CB032" w14:textId="77777777" w:rsidR="00D17A14" w:rsidRPr="00D17A14" w:rsidRDefault="00D17A14" w:rsidP="00D17A14">
      <w:pPr>
        <w:pStyle w:val="FigureCaption"/>
      </w:pPr>
      <w:bookmarkStart w:id="100" w:name="_Ref469650360"/>
      <w:bookmarkStart w:id="101" w:name="_Toc486492004"/>
      <w:r>
        <w:lastRenderedPageBreak/>
        <w:t>Groundwater well withdrawals, by aquifer system (predevelopment-</w:t>
      </w:r>
      <w:r w:rsidRPr="003B7993">
        <w:t>2005</w:t>
      </w:r>
      <w:r>
        <w:t>).</w:t>
      </w:r>
      <w:bookmarkEnd w:id="100"/>
      <w:bookmarkEnd w:id="101"/>
    </w:p>
    <w:p w14:paraId="01D0192D" w14:textId="77777777" w:rsidR="00B238A7" w:rsidRDefault="00B238A7" w:rsidP="00B238A7">
      <w:pPr>
        <w:pStyle w:val="FigureCaption"/>
      </w:pPr>
      <w:bookmarkStart w:id="102" w:name="_Toc468707878"/>
      <w:bookmarkStart w:id="103" w:name="_Ref469318051"/>
      <w:bookmarkStart w:id="104" w:name="_Toc486492005"/>
      <w:r>
        <w:t>Measured water-level change in the Fox Hills aquifer, 1960-</w:t>
      </w:r>
      <w:proofErr w:type="gramStart"/>
      <w:r>
        <w:t xml:space="preserve">2005 </w:t>
      </w:r>
      <w:r w:rsidRPr="00116FB0">
        <w:rPr>
          <w:i/>
        </w:rPr>
        <w:t xml:space="preserve"> </w:t>
      </w:r>
      <w:proofErr w:type="spellStart"/>
      <w:r w:rsidRPr="00116FB0">
        <w:rPr>
          <w:i/>
        </w:rPr>
        <w:t>Colorflood</w:t>
      </w:r>
      <w:proofErr w:type="spellEnd"/>
      <w:proofErr w:type="gramEnd"/>
      <w:r w:rsidRPr="00116FB0">
        <w:rPr>
          <w:i/>
        </w:rPr>
        <w:t xml:space="preserve"> with isopach.</w:t>
      </w:r>
      <w:bookmarkEnd w:id="102"/>
      <w:bookmarkEnd w:id="103"/>
      <w:bookmarkEnd w:id="104"/>
    </w:p>
    <w:p w14:paraId="276290DE" w14:textId="77777777" w:rsidR="00B238A7" w:rsidRPr="003B7993" w:rsidRDefault="00B238A7" w:rsidP="00B238A7">
      <w:pPr>
        <w:pStyle w:val="FigureCaption"/>
      </w:pPr>
      <w:bookmarkStart w:id="105" w:name="_Toc468707880"/>
      <w:bookmarkStart w:id="106" w:name="_Toc486492006"/>
      <w:r w:rsidRPr="003B7993">
        <w:t>Groundwater-flow budget of the lower Tertiary aquifer system, 1960-2005</w:t>
      </w:r>
      <w:bookmarkEnd w:id="105"/>
      <w:bookmarkEnd w:id="106"/>
    </w:p>
    <w:p w14:paraId="0B5C5AA7" w14:textId="77777777" w:rsidR="00B238A7" w:rsidRPr="003B7993" w:rsidRDefault="00B238A7" w:rsidP="00B238A7">
      <w:pPr>
        <w:pStyle w:val="FigureCaption"/>
      </w:pPr>
      <w:bookmarkStart w:id="107" w:name="_Toc468707881"/>
      <w:bookmarkStart w:id="108" w:name="_Toc486492007"/>
      <w:r w:rsidRPr="003B7993">
        <w:t>Groundwater-flow budget of the Upper Cretaceous aquifer system, 1960-2005</w:t>
      </w:r>
      <w:bookmarkEnd w:id="107"/>
      <w:bookmarkEnd w:id="108"/>
    </w:p>
    <w:p w14:paraId="710E7D4D" w14:textId="77777777" w:rsidR="00B238A7" w:rsidRDefault="00B238A7" w:rsidP="00B238A7">
      <w:pPr>
        <w:pStyle w:val="FigureCaption"/>
      </w:pPr>
      <w:bookmarkStart w:id="109" w:name="_Toc468707882"/>
      <w:bookmarkStart w:id="110" w:name="_Toc486492008"/>
      <w:r w:rsidRPr="003B7993">
        <w:t>Groundwater-flow budget of local areas, western North Dakota and eastern Montana</w:t>
      </w:r>
      <w:bookmarkEnd w:id="109"/>
      <w:bookmarkEnd w:id="110"/>
    </w:p>
    <w:p w14:paraId="53E9DB7F" w14:textId="77777777" w:rsidR="005A316E" w:rsidRPr="005A316E" w:rsidRDefault="005A316E" w:rsidP="005A316E">
      <w:pPr>
        <w:pStyle w:val="BodyText"/>
      </w:pPr>
      <w:proofErr w:type="gramStart"/>
      <w:r>
        <w:t xml:space="preserve">Simulated </w:t>
      </w:r>
      <w:r w:rsidR="00D3419C">
        <w:t>groundwater-flow budget</w:t>
      </w:r>
      <w:r>
        <w:t xml:space="preserve"> for, </w:t>
      </w:r>
      <w:r w:rsidRPr="0046626C">
        <w:rPr>
          <w:i/>
        </w:rPr>
        <w:t>A</w:t>
      </w:r>
      <w:r>
        <w:t xml:space="preserve">, predevelopment (pre-1961); </w:t>
      </w:r>
      <w:r w:rsidRPr="0046626C">
        <w:rPr>
          <w:i/>
        </w:rPr>
        <w:t>B</w:t>
      </w:r>
      <w:r>
        <w:t xml:space="preserve">, average conditions (1981-2005); and, </w:t>
      </w:r>
      <w:r w:rsidRPr="0046626C">
        <w:rPr>
          <w:i/>
        </w:rPr>
        <w:t>C</w:t>
      </w:r>
      <w:r>
        <w:t>, 2005.</w:t>
      </w:r>
      <w:proofErr w:type="gramEnd"/>
      <w:r>
        <w:t xml:space="preserve"> This budget applies to the control volume</w:t>
      </w:r>
    </w:p>
    <w:p w14:paraId="4D967FF6" w14:textId="77777777" w:rsidR="00B238A7" w:rsidRDefault="00B238A7" w:rsidP="00B72038">
      <w:pPr>
        <w:pStyle w:val="BodyText"/>
      </w:pPr>
    </w:p>
    <w:p w14:paraId="21B7DEA1" w14:textId="77777777" w:rsidR="00B72038" w:rsidRDefault="00B72038" w:rsidP="001B61C6">
      <w:pPr>
        <w:pStyle w:val="Heading1"/>
      </w:pPr>
      <w:bookmarkStart w:id="111" w:name="_Toc477244267"/>
      <w:r>
        <w:t>Simulated Groundwater Response to Flowing Wells</w:t>
      </w:r>
      <w:bookmarkEnd w:id="111"/>
    </w:p>
    <w:p w14:paraId="25E48D4C" w14:textId="77777777" w:rsidR="00B72038" w:rsidRPr="00250F95" w:rsidRDefault="00B72038" w:rsidP="001B61C6">
      <w:pPr>
        <w:pStyle w:val="BodyText"/>
      </w:pPr>
      <w:r>
        <w:t xml:space="preserve">Flowing wells are those that flow continuously as a result of hydrostatic pressure in the aquifer. Fischer (2013) described flowing wells in North Dakota, installed for domestic and agricultural use, that are open to the Fox Hills and lower Hell Creek aquifers primarily near the Yellowstone, Little Missouri, and Knife Rivers, with additional flowing wells near Lake Sakakawea. Flowing wells also are located parts of Montana </w:t>
      </w:r>
      <w:r w:rsidRPr="006D5B78">
        <w:rPr>
          <w:highlight w:val="yellow"/>
        </w:rPr>
        <w:t>(figure?) (</w:t>
      </w:r>
      <w:proofErr w:type="gramStart"/>
      <w:r w:rsidRPr="006D5B78">
        <w:rPr>
          <w:highlight w:val="yellow"/>
        </w:rPr>
        <w:t>reference</w:t>
      </w:r>
      <w:proofErr w:type="gramEnd"/>
      <w:r w:rsidRPr="006D5B78">
        <w:rPr>
          <w:highlight w:val="yellow"/>
        </w:rPr>
        <w:t>?)</w:t>
      </w:r>
      <w:r>
        <w:t>.</w:t>
      </w:r>
    </w:p>
    <w:p w14:paraId="4C0D6909" w14:textId="77777777" w:rsidR="00B72038" w:rsidRDefault="00B72038" w:rsidP="001B61C6">
      <w:pPr>
        <w:pStyle w:val="Heading2"/>
      </w:pPr>
      <w:bookmarkStart w:id="112" w:name="_Toc468441116"/>
      <w:bookmarkStart w:id="113" w:name="_Toc477244268"/>
      <w:r>
        <w:t>Hydrology of Flowing Wells</w:t>
      </w:r>
      <w:bookmarkEnd w:id="112"/>
      <w:bookmarkEnd w:id="113"/>
    </w:p>
    <w:p w14:paraId="39836299" w14:textId="77777777" w:rsidR="00B72038" w:rsidRDefault="00B72038" w:rsidP="001B61C6">
      <w:pPr>
        <w:pStyle w:val="BodyText"/>
      </w:pPr>
      <w:r>
        <w:t>About 70 percent of the flowing wells were installed 1960‒1990. Within most of the study area,</w:t>
      </w:r>
      <w:r w:rsidRPr="003C63E1">
        <w:t xml:space="preserve"> groundwater levels </w:t>
      </w:r>
      <w:r>
        <w:t>generally were steady prior to 2000</w:t>
      </w:r>
      <w:r w:rsidRPr="003C63E1">
        <w:t xml:space="preserve"> </w:t>
      </w:r>
      <w:r>
        <w:t>(</w:t>
      </w:r>
      <w:proofErr w:type="spellStart"/>
      <w:r>
        <w:t>Thamke</w:t>
      </w:r>
      <w:proofErr w:type="spellEnd"/>
      <w:r>
        <w:t xml:space="preserve"> and others, 2014)</w:t>
      </w:r>
      <w:r w:rsidRPr="003C63E1">
        <w:t xml:space="preserve">, </w:t>
      </w:r>
      <w:r>
        <w:t xml:space="preserve">but </w:t>
      </w:r>
      <w:r w:rsidRPr="003C63E1">
        <w:t>declining groundwater levels have occ</w:t>
      </w:r>
      <w:r>
        <w:t>urred locally in areas where</w:t>
      </w:r>
      <w:r w:rsidRPr="003C63E1">
        <w:t xml:space="preserve"> f</w:t>
      </w:r>
      <w:r>
        <w:t>lowing wells are located as a result of their cumulative groundwater discharge, which was estimated at about 1.6 ft</w:t>
      </w:r>
      <w:r w:rsidRPr="008D6A48">
        <w:rPr>
          <w:vertAlign w:val="superscript"/>
        </w:rPr>
        <w:t>3</w:t>
      </w:r>
      <w:r>
        <w:t xml:space="preserve">/s for the wells in North Dakota (Fischer, 2013). Near the Yellowstone River, flowing wells </w:t>
      </w:r>
      <w:r>
        <w:lastRenderedPageBreak/>
        <w:t>contributed to groundwater-level declines of about 1 foot per year (</w:t>
      </w:r>
      <w:proofErr w:type="spellStart"/>
      <w:r>
        <w:t>ft</w:t>
      </w:r>
      <w:proofErr w:type="spellEnd"/>
      <w:r>
        <w:t>/</w:t>
      </w:r>
      <w:proofErr w:type="spellStart"/>
      <w:r>
        <w:t>yr</w:t>
      </w:r>
      <w:proofErr w:type="spellEnd"/>
      <w:r>
        <w:t>) since the 1970s in the Fox Hills and Hell Creek aquifers (</w:t>
      </w:r>
      <w:r w:rsidRPr="003C63E1">
        <w:t>Smith and others</w:t>
      </w:r>
      <w:r>
        <w:t xml:space="preserve">, 2000; Fischer, 2013). </w:t>
      </w:r>
      <w:proofErr w:type="spellStart"/>
      <w:r w:rsidRPr="003C63E1">
        <w:t>Honeyman</w:t>
      </w:r>
      <w:proofErr w:type="spellEnd"/>
      <w:r w:rsidRPr="003C63E1">
        <w:t xml:space="preserve"> (</w:t>
      </w:r>
      <w:r>
        <w:t xml:space="preserve">2007a, 2007b, 2007c) measured </w:t>
      </w:r>
      <w:r w:rsidRPr="003C63E1">
        <w:t>hydraulic-head</w:t>
      </w:r>
      <w:r>
        <w:t xml:space="preserve"> changes, mostly</w:t>
      </w:r>
      <w:r w:rsidRPr="003C63E1">
        <w:t xml:space="preserve"> declines</w:t>
      </w:r>
      <w:r>
        <w:t>, in these two</w:t>
      </w:r>
      <w:r w:rsidRPr="003C63E1">
        <w:t xml:space="preserve"> aquifers near the Little Missouri River </w:t>
      </w:r>
      <w:r>
        <w:t xml:space="preserve">for </w:t>
      </w:r>
      <w:r w:rsidRPr="003C63E1">
        <w:t>1994</w:t>
      </w:r>
      <w:r>
        <w:t>–</w:t>
      </w:r>
      <w:r w:rsidRPr="003C63E1">
        <w:t>200</w:t>
      </w:r>
      <w:r>
        <w:t>6</w:t>
      </w:r>
      <w:r w:rsidRPr="003C63E1">
        <w:t xml:space="preserve">. </w:t>
      </w:r>
      <w:r>
        <w:t>These r</w:t>
      </w:r>
      <w:r w:rsidRPr="003C63E1">
        <w:t xml:space="preserve">ates </w:t>
      </w:r>
      <w:r>
        <w:t>of change</w:t>
      </w:r>
      <w:r w:rsidRPr="003C63E1">
        <w:t xml:space="preserve"> ranged from -4.1 to 1.4 </w:t>
      </w:r>
      <w:proofErr w:type="spellStart"/>
      <w:r w:rsidRPr="003C63E1">
        <w:t>ft</w:t>
      </w:r>
      <w:proofErr w:type="spellEnd"/>
      <w:r w:rsidRPr="003C63E1">
        <w:t>/year, with a mean rate of about -1.</w:t>
      </w:r>
      <w:r>
        <w:t xml:space="preserve">28 </w:t>
      </w:r>
      <w:proofErr w:type="spellStart"/>
      <w:r>
        <w:t>ft</w:t>
      </w:r>
      <w:proofErr w:type="spellEnd"/>
      <w:r>
        <w:t>/</w:t>
      </w:r>
      <w:proofErr w:type="spellStart"/>
      <w:r>
        <w:t>yr</w:t>
      </w:r>
      <w:proofErr w:type="spellEnd"/>
      <w:r>
        <w:t>, which was projected to result in wells ceasing to flow during the period 2007–93, depending on the well</w:t>
      </w:r>
      <w:r w:rsidR="00010259">
        <w:t xml:space="preserve"> ()</w:t>
      </w:r>
      <w:r w:rsidRPr="003C63E1">
        <w:t xml:space="preserve"> </w:t>
      </w:r>
      <w:r>
        <w:t>(</w:t>
      </w:r>
      <w:proofErr w:type="spellStart"/>
      <w:r>
        <w:t>Honeyman</w:t>
      </w:r>
      <w:proofErr w:type="spellEnd"/>
      <w:r>
        <w:t>, 2007a, 2007b, 2007c).</w:t>
      </w:r>
      <w:r w:rsidR="003C7F7D">
        <w:t xml:space="preserve"> </w:t>
      </w:r>
      <w:r>
        <w:t xml:space="preserve">In addition to discharging to the land surface, flowing wells near the Yellowstone and Little Missouri Rivers also might allow leakage into the overlying lower Tertiary aquifer system because of inadequate sealing or corrosion of well materials (Fischer, 2013) in combination with the upward hydraulic gradient that occurs in these areas (Long and others, 2014). </w:t>
      </w:r>
    </w:p>
    <w:p w14:paraId="006A69BE" w14:textId="77777777" w:rsidR="00B72038" w:rsidRDefault="0018058F" w:rsidP="001B61C6">
      <w:pPr>
        <w:pStyle w:val="Heading2"/>
      </w:pPr>
      <w:bookmarkStart w:id="114" w:name="_Toc477244269"/>
      <w:r>
        <w:t>Flowing-</w:t>
      </w:r>
      <w:r w:rsidR="003909C5">
        <w:t>Wells</w:t>
      </w:r>
      <w:bookmarkEnd w:id="114"/>
      <w:r>
        <w:t xml:space="preserve"> Scenario</w:t>
      </w:r>
    </w:p>
    <w:p w14:paraId="0D674F8E" w14:textId="77777777" w:rsidR="00B72038" w:rsidRPr="007A1D52" w:rsidRDefault="00B72038" w:rsidP="007A1D52">
      <w:pPr>
        <w:pStyle w:val="BodyText"/>
        <w:rPr>
          <w:highlight w:val="yellow"/>
        </w:rPr>
      </w:pPr>
      <w:r>
        <w:t>Flowing wells were simulated as head-dependent boundary cells (</w:t>
      </w:r>
      <w:r w:rsidR="003C1521">
        <w:t>Davis and Long, 2017a</w:t>
      </w:r>
      <w:r>
        <w:t>); that is, the rate of well discharge is influenced by hydraulic</w:t>
      </w:r>
      <w:r w:rsidR="008264D0">
        <w:t xml:space="preserve"> head surrounding the well and</w:t>
      </w:r>
      <w:r>
        <w:t>, therefore, is similar to</w:t>
      </w:r>
      <w:r w:rsidR="008264D0">
        <w:t xml:space="preserve"> spring discharge. The transient</w:t>
      </w:r>
      <w:r>
        <w:t xml:space="preserve"> model was used to simulate water-level changes for 2005‒2035</w:t>
      </w:r>
      <w:r w:rsidR="006A4789">
        <w:t xml:space="preserve"> (at 1-year stress periods)</w:t>
      </w:r>
      <w:r>
        <w:t xml:space="preserve"> that would result </w:t>
      </w:r>
      <w:r w:rsidR="008264D0">
        <w:t>if none of the flowing wells were</w:t>
      </w:r>
      <w:r>
        <w:t xml:space="preserve"> capped or plugged during this t</w:t>
      </w:r>
      <w:r w:rsidR="00727DC6">
        <w:t>ime period</w:t>
      </w:r>
      <w:r w:rsidR="00AF6C54">
        <w:t xml:space="preserve"> and other conditions remain</w:t>
      </w:r>
      <w:r w:rsidR="008264D0">
        <w:t>ed</w:t>
      </w:r>
      <w:r w:rsidR="00AF6C54">
        <w:t xml:space="preserve"> constant</w:t>
      </w:r>
      <w:r w:rsidR="00727DC6">
        <w:t>. T</w:t>
      </w:r>
      <w:r w:rsidR="008264D0">
        <w:t>he</w:t>
      </w:r>
      <w:r w:rsidR="00E42C19">
        <w:t xml:space="preserve"> </w:t>
      </w:r>
      <w:r w:rsidR="00CE1F4C">
        <w:t>flowing-wells scenario</w:t>
      </w:r>
      <w:r w:rsidR="008264D0">
        <w:t xml:space="preserve"> simulation</w:t>
      </w:r>
      <w:r w:rsidR="00727DC6">
        <w:t xml:space="preserve"> was</w:t>
      </w:r>
      <w:r w:rsidR="008264D0">
        <w:t xml:space="preserve"> exe</w:t>
      </w:r>
      <w:r w:rsidR="00E42C19">
        <w:t xml:space="preserve">cuted </w:t>
      </w:r>
      <w:r w:rsidR="008264D0">
        <w:t xml:space="preserve">for the </w:t>
      </w:r>
      <w:r w:rsidR="008264D0" w:rsidRPr="00E42C19">
        <w:t>period 1961</w:t>
      </w:r>
      <w:r w:rsidR="00727DC6" w:rsidRPr="00E42C19">
        <w:t>‒20</w:t>
      </w:r>
      <w:r w:rsidR="00E42C19" w:rsidRPr="00E42C19">
        <w:t>35 and was identical to the original transient model for the period 1961‒2005</w:t>
      </w:r>
      <w:r w:rsidR="00727DC6" w:rsidRPr="00E42C19">
        <w:t>. The</w:t>
      </w:r>
      <w:r w:rsidRPr="00E42C19">
        <w:t xml:space="preserve"> groundwater pumping rates that</w:t>
      </w:r>
      <w:r w:rsidR="00727DC6" w:rsidRPr="00E42C19">
        <w:t xml:space="preserve"> originally were </w:t>
      </w:r>
      <w:r w:rsidRPr="00E42C19">
        <w:t>ap</w:t>
      </w:r>
      <w:r w:rsidR="00727DC6" w:rsidRPr="00E42C19">
        <w:t>plied to the 2005 stress period were applied i</w:t>
      </w:r>
      <w:r w:rsidR="00CA68D7" w:rsidRPr="00E42C19">
        <w:t xml:space="preserve">n </w:t>
      </w:r>
      <w:r w:rsidR="00CE1F4C">
        <w:t>the flowing-wells scenario</w:t>
      </w:r>
      <w:r w:rsidR="007A1D52" w:rsidRPr="00E42C19">
        <w:t xml:space="preserve"> at a steady rate for 200</w:t>
      </w:r>
      <w:r w:rsidR="00727DC6" w:rsidRPr="00E42C19">
        <w:t>6</w:t>
      </w:r>
      <w:r w:rsidR="007A1D52" w:rsidRPr="00E42C19">
        <w:t>‒2035.</w:t>
      </w:r>
      <w:r w:rsidR="00CA68D7" w:rsidRPr="00E42C19">
        <w:t xml:space="preserve"> Precipitation-</w:t>
      </w:r>
      <w:r w:rsidRPr="00E42C19">
        <w:t>recharge rates</w:t>
      </w:r>
      <w:r w:rsidR="00727DC6" w:rsidRPr="00E42C19">
        <w:t xml:space="preserve"> and conditions for</w:t>
      </w:r>
      <w:r w:rsidR="007A1D52" w:rsidRPr="00E42C19">
        <w:t xml:space="preserve"> the MODFLOW Streamflow-Routing Package </w:t>
      </w:r>
      <w:r w:rsidRPr="00E42C19">
        <w:t>that were applied to th</w:t>
      </w:r>
      <w:r w:rsidR="00727DC6" w:rsidRPr="00E42C19">
        <w:t>e steady-state model</w:t>
      </w:r>
      <w:r w:rsidRPr="00E42C19">
        <w:t xml:space="preserve"> were</w:t>
      </w:r>
      <w:r w:rsidR="00CA68D7" w:rsidRPr="00E42C19">
        <w:t xml:space="preserve"> applied in </w:t>
      </w:r>
      <w:r w:rsidR="00CE1F4C">
        <w:t>the flowing-wells scenario</w:t>
      </w:r>
      <w:r w:rsidR="00727DC6" w:rsidRPr="00E42C19">
        <w:t xml:space="preserve"> at steady rates for 2006</w:t>
      </w:r>
      <w:r w:rsidRPr="00E42C19">
        <w:t>‒2035.</w:t>
      </w:r>
      <w:r w:rsidR="008D5F7F" w:rsidRPr="00E42C19">
        <w:t xml:space="preserve"> </w:t>
      </w:r>
      <w:r w:rsidRPr="00E42C19">
        <w:t>Applying these steady rates allowed the assessment</w:t>
      </w:r>
      <w:r>
        <w:t xml:space="preserve"> of flowing wells without interference from other</w:t>
      </w:r>
      <w:r w:rsidR="001A1E6B">
        <w:t xml:space="preserve"> changing hydrologic</w:t>
      </w:r>
      <w:r>
        <w:t xml:space="preserve"> conditions. </w:t>
      </w:r>
      <w:r>
        <w:lastRenderedPageBreak/>
        <w:t xml:space="preserve">The resulting </w:t>
      </w:r>
      <w:r w:rsidR="00AF6C54">
        <w:t xml:space="preserve">aquifer drawdown for </w:t>
      </w:r>
      <w:r w:rsidR="005E781B" w:rsidRPr="005E781B">
        <w:t>2006</w:t>
      </w:r>
      <w:r w:rsidRPr="005E781B">
        <w:t>‒2035 resulting from</w:t>
      </w:r>
      <w:r>
        <w:t xml:space="preserve"> flowing wells was assessed, with the largest simulated drawdown occurring in the Fox Hills aquifer (</w:t>
      </w:r>
      <w:r w:rsidR="004D7A65">
        <w:fldChar w:fldCharType="begin"/>
      </w:r>
      <w:r w:rsidR="004D7A65">
        <w:instrText xml:space="preserve"> REF _Ref445212513 \r \h </w:instrText>
      </w:r>
      <w:r w:rsidR="004D7A65">
        <w:fldChar w:fldCharType="separate"/>
      </w:r>
      <w:r w:rsidR="00151C75">
        <w:t>Figure 15</w:t>
      </w:r>
      <w:r w:rsidR="004D7A65">
        <w:fldChar w:fldCharType="end"/>
      </w:r>
      <w:r w:rsidR="004D7A65">
        <w:t xml:space="preserve">, </w:t>
      </w:r>
      <w:r w:rsidR="004D7A65">
        <w:fldChar w:fldCharType="begin"/>
      </w:r>
      <w:r w:rsidR="004D7A65">
        <w:instrText xml:space="preserve"> REF _Ref445212514 \r \h </w:instrText>
      </w:r>
      <w:r w:rsidR="004D7A65">
        <w:fldChar w:fldCharType="separate"/>
      </w:r>
      <w:r w:rsidR="00151C75">
        <w:t>Figure 16</w:t>
      </w:r>
      <w:r w:rsidR="004D7A65">
        <w:fldChar w:fldCharType="end"/>
      </w:r>
      <w:r w:rsidR="004D7A65">
        <w:t xml:space="preserve">, </w:t>
      </w:r>
      <w:r w:rsidR="004D7A65">
        <w:fldChar w:fldCharType="begin"/>
      </w:r>
      <w:r w:rsidR="004D7A65">
        <w:instrText xml:space="preserve"> REF _Ref445212516 \r \h </w:instrText>
      </w:r>
      <w:r w:rsidR="004D7A65">
        <w:fldChar w:fldCharType="separate"/>
      </w:r>
      <w:r w:rsidR="00151C75">
        <w:t>Figure 17</w:t>
      </w:r>
      <w:r w:rsidR="004D7A65">
        <w:fldChar w:fldCharType="end"/>
      </w:r>
      <w:r>
        <w:t>) … [</w:t>
      </w:r>
      <w:r w:rsidRPr="009A3E05">
        <w:rPr>
          <w:highlight w:val="yellow"/>
        </w:rPr>
        <w:t>describe results highlights</w:t>
      </w:r>
      <w:r w:rsidRPr="002E13FC">
        <w:rPr>
          <w:highlight w:val="yellow"/>
        </w:rPr>
        <w:t>, such as the effects on overlying aquifers</w:t>
      </w:r>
      <w:r>
        <w:t xml:space="preserve">]. The simulated effect of flowing wells resulted in hydraulic head values that were lowered below the land surface in some areas, causing many flowing wells to stop flowing. The number of simulated flowing wells declined from </w:t>
      </w:r>
      <w:r w:rsidRPr="00256AC7">
        <w:rPr>
          <w:highlight w:val="yellow"/>
        </w:rPr>
        <w:t>xx in 2005 to xx in 2015</w:t>
      </w:r>
      <w:r>
        <w:t xml:space="preserve"> (</w:t>
      </w:r>
      <w:r w:rsidR="004D7A65">
        <w:fldChar w:fldCharType="begin"/>
      </w:r>
      <w:r w:rsidR="004D7A65">
        <w:instrText xml:space="preserve"> REF _Ref468794023 \r \h </w:instrText>
      </w:r>
      <w:r w:rsidR="004D7A65">
        <w:fldChar w:fldCharType="separate"/>
      </w:r>
      <w:r w:rsidR="00151C75">
        <w:t>Figure 18</w:t>
      </w:r>
      <w:r w:rsidR="004D7A65">
        <w:fldChar w:fldCharType="end"/>
      </w:r>
      <w:r>
        <w:t>).  [</w:t>
      </w:r>
      <w:proofErr w:type="gramStart"/>
      <w:r w:rsidRPr="009C1FC6">
        <w:rPr>
          <w:highlight w:val="yellow"/>
        </w:rPr>
        <w:t>describe</w:t>
      </w:r>
      <w:proofErr w:type="gramEnd"/>
      <w:r w:rsidRPr="009C1FC6">
        <w:rPr>
          <w:highlight w:val="yellow"/>
        </w:rPr>
        <w:t xml:space="preserve"> anything interesting here]</w:t>
      </w:r>
    </w:p>
    <w:p w14:paraId="4F63B089" w14:textId="77777777" w:rsidR="00B72038" w:rsidRDefault="00B72038" w:rsidP="00B72038">
      <w:pPr>
        <w:pStyle w:val="BodyText"/>
      </w:pPr>
    </w:p>
    <w:p w14:paraId="3E7854B8" w14:textId="77777777" w:rsidR="00B72038" w:rsidRPr="000F1664" w:rsidRDefault="00964352" w:rsidP="00B72038">
      <w:pPr>
        <w:pStyle w:val="FigureCaption"/>
      </w:pPr>
      <w:bookmarkStart w:id="115" w:name="_Ref445212513"/>
      <w:bookmarkStart w:id="116" w:name="_Toc468707883"/>
      <w:bookmarkStart w:id="117" w:name="_Toc486492009"/>
      <w:r>
        <w:t xml:space="preserve">Simulated </w:t>
      </w:r>
      <w:r w:rsidR="005C7CBF">
        <w:t>w</w:t>
      </w:r>
      <w:r w:rsidR="00B72038">
        <w:t>ater-level change</w:t>
      </w:r>
      <w:r>
        <w:t xml:space="preserve"> map</w:t>
      </w:r>
      <w:r w:rsidR="00B72038">
        <w:t xml:space="preserve"> from 2005 to 2035 in the upper Fort Union aquifer as a result of flowing wells.</w:t>
      </w:r>
      <w:bookmarkEnd w:id="115"/>
      <w:bookmarkEnd w:id="116"/>
      <w:bookmarkEnd w:id="117"/>
    </w:p>
    <w:p w14:paraId="2956EA04" w14:textId="77777777" w:rsidR="00B72038" w:rsidRPr="0072132A" w:rsidRDefault="00964352" w:rsidP="00B72038">
      <w:pPr>
        <w:pStyle w:val="FigureCaption"/>
      </w:pPr>
      <w:bookmarkStart w:id="118" w:name="_Ref445212514"/>
      <w:bookmarkStart w:id="119" w:name="_Toc468707884"/>
      <w:bookmarkStart w:id="120" w:name="_Toc486492010"/>
      <w:r>
        <w:t>Simulated water-level change map</w:t>
      </w:r>
      <w:r w:rsidR="00B72038">
        <w:t xml:space="preserve"> from 2005 to 2035 in the lower Fort Union aquifer as a result of flowing wells.</w:t>
      </w:r>
      <w:bookmarkEnd w:id="118"/>
      <w:bookmarkEnd w:id="119"/>
      <w:bookmarkEnd w:id="120"/>
    </w:p>
    <w:p w14:paraId="065C66C3" w14:textId="77777777" w:rsidR="00B72038" w:rsidRDefault="00964352" w:rsidP="00B72038">
      <w:pPr>
        <w:pStyle w:val="FigureCaption"/>
      </w:pPr>
      <w:bookmarkStart w:id="121" w:name="_Ref445212516"/>
      <w:bookmarkStart w:id="122" w:name="_Toc468707885"/>
      <w:bookmarkStart w:id="123" w:name="_Toc486492011"/>
      <w:r>
        <w:t>Simulated water-level change map</w:t>
      </w:r>
      <w:r w:rsidR="00B72038">
        <w:t xml:space="preserve"> from 2005 to 2035 in the Fox Hills aquifer as a result of flowing wells.</w:t>
      </w:r>
      <w:bookmarkEnd w:id="121"/>
      <w:bookmarkEnd w:id="122"/>
      <w:bookmarkEnd w:id="123"/>
    </w:p>
    <w:p w14:paraId="21DEE902" w14:textId="77777777" w:rsidR="00265537" w:rsidRDefault="00B72038" w:rsidP="00B72038">
      <w:pPr>
        <w:pStyle w:val="FigureCaption"/>
      </w:pPr>
      <w:bookmarkStart w:id="124" w:name="_Ref445214829"/>
      <w:bookmarkStart w:id="125" w:name="_Toc468707886"/>
      <w:bookmarkStart w:id="126" w:name="_Ref468794023"/>
      <w:bookmarkStart w:id="127" w:name="_Toc486492012"/>
      <w:r>
        <w:t>Decline in the number of simulated fl</w:t>
      </w:r>
      <w:r w:rsidR="00B64C55">
        <w:t>owing wells from 2005 to 2035</w:t>
      </w:r>
      <w:r>
        <w:t>, during which time simulated groundwater recharge and pumping was constant.</w:t>
      </w:r>
      <w:bookmarkEnd w:id="124"/>
      <w:r>
        <w:t xml:space="preserve"> </w:t>
      </w:r>
      <w:r w:rsidR="007A1D52">
        <w:rPr>
          <w:highlight w:val="yellow"/>
        </w:rPr>
        <w:t xml:space="preserve">[** </w:t>
      </w:r>
      <w:proofErr w:type="gramStart"/>
      <w:r w:rsidRPr="00256AC7">
        <w:rPr>
          <w:highlight w:val="yellow"/>
        </w:rPr>
        <w:t>line</w:t>
      </w:r>
      <w:proofErr w:type="gramEnd"/>
      <w:r w:rsidRPr="00256AC7">
        <w:rPr>
          <w:highlight w:val="yellow"/>
        </w:rPr>
        <w:t xml:space="preserve"> graph with the number of </w:t>
      </w:r>
      <w:r>
        <w:rPr>
          <w:highlight w:val="yellow"/>
        </w:rPr>
        <w:t xml:space="preserve">flowing </w:t>
      </w:r>
      <w:r w:rsidRPr="00256AC7">
        <w:rPr>
          <w:highlight w:val="yellow"/>
        </w:rPr>
        <w:t>wells on the y-axis and time on the x-axis]</w:t>
      </w:r>
      <w:bookmarkEnd w:id="125"/>
      <w:bookmarkEnd w:id="126"/>
      <w:bookmarkEnd w:id="127"/>
    </w:p>
    <w:p w14:paraId="7F9DC4F8" w14:textId="77777777" w:rsidR="00D80415" w:rsidRPr="00D80415" w:rsidRDefault="00D80415" w:rsidP="00D80415">
      <w:pPr>
        <w:pStyle w:val="BodyText"/>
      </w:pPr>
    </w:p>
    <w:p w14:paraId="629A56BA" w14:textId="77777777" w:rsidR="00D80415" w:rsidRDefault="00D80415" w:rsidP="001B61C6">
      <w:pPr>
        <w:pStyle w:val="Heading1"/>
      </w:pPr>
      <w:bookmarkStart w:id="128" w:name="_Toc468441118"/>
      <w:bookmarkStart w:id="129" w:name="_Toc477244270"/>
      <w:r>
        <w:t>Simulated Groundwater Responses During Drought</w:t>
      </w:r>
      <w:bookmarkEnd w:id="128"/>
      <w:bookmarkEnd w:id="129"/>
    </w:p>
    <w:p w14:paraId="55FE087E" w14:textId="77777777" w:rsidR="00147CD1" w:rsidRDefault="00223FD5" w:rsidP="00282C69">
      <w:pPr>
        <w:pStyle w:val="BodyText"/>
      </w:pPr>
      <w:r>
        <w:t>The</w:t>
      </w:r>
      <w:r w:rsidR="00282C69">
        <w:t xml:space="preserve"> increased freshwater demands for the</w:t>
      </w:r>
      <w:r>
        <w:t xml:space="preserve"> production of energy resources from the Williston basin </w:t>
      </w:r>
      <w:r w:rsidR="00282C69">
        <w:t>was offset by p</w:t>
      </w:r>
      <w:r w:rsidR="00BA6186">
        <w:t>recipitation rates</w:t>
      </w:r>
      <w:r w:rsidR="00282C69">
        <w:t xml:space="preserve"> that were</w:t>
      </w:r>
      <w:r w:rsidR="00715D29">
        <w:t xml:space="preserve"> higher than average</w:t>
      </w:r>
      <w:r w:rsidR="00BA6186">
        <w:t xml:space="preserve"> during</w:t>
      </w:r>
      <w:r>
        <w:t xml:space="preserve"> </w:t>
      </w:r>
      <w:r w:rsidR="00715D29">
        <w:t xml:space="preserve">the </w:t>
      </w:r>
      <w:r>
        <w:t>2006‒</w:t>
      </w:r>
      <w:r w:rsidR="00BA6186">
        <w:lastRenderedPageBreak/>
        <w:t>2015</w:t>
      </w:r>
      <w:r w:rsidR="00715D29">
        <w:t xml:space="preserve"> period</w:t>
      </w:r>
      <w:r w:rsidR="00BA6186">
        <w:t xml:space="preserve"> (</w:t>
      </w:r>
      <w:r w:rsidR="00BA6186">
        <w:fldChar w:fldCharType="begin"/>
      </w:r>
      <w:r w:rsidR="00BA6186">
        <w:instrText xml:space="preserve"> REF _Ref467591513 \r \h </w:instrText>
      </w:r>
      <w:r w:rsidR="00BA6186">
        <w:fldChar w:fldCharType="separate"/>
      </w:r>
      <w:r w:rsidR="005E39BC">
        <w:t>Figure 6</w:t>
      </w:r>
      <w:r w:rsidR="00BA6186">
        <w:fldChar w:fldCharType="end"/>
      </w:r>
      <w:r w:rsidR="00BA6186" w:rsidRPr="00BA6186">
        <w:rPr>
          <w:i/>
        </w:rPr>
        <w:t>A</w:t>
      </w:r>
      <w:r w:rsidR="00282C69">
        <w:t>). The resulting increases in streamflow and groundwater recharge allowed for</w:t>
      </w:r>
      <w:r w:rsidR="00E54263">
        <w:t xml:space="preserve"> the availability of</w:t>
      </w:r>
      <w:r w:rsidR="00282C69">
        <w:t xml:space="preserve"> </w:t>
      </w:r>
      <w:r w:rsidR="00BA6186">
        <w:t>temporary surface-water</w:t>
      </w:r>
      <w:r w:rsidR="00282C69">
        <w:t xml:space="preserve"> and groundwater</w:t>
      </w:r>
      <w:r w:rsidR="00BA6186">
        <w:t xml:space="preserve"> permits</w:t>
      </w:r>
      <w:r w:rsidR="00282C69">
        <w:t xml:space="preserve"> in North Dakota </w:t>
      </w:r>
      <w:r w:rsidR="0067410E">
        <w:t>(North Dakota State Water Commission, 2017</w:t>
      </w:r>
      <w:r w:rsidR="00282C69">
        <w:t>)</w:t>
      </w:r>
      <w:r w:rsidR="00DD0684">
        <w:t>.</w:t>
      </w:r>
      <w:r w:rsidR="00BA6186">
        <w:t xml:space="preserve"> If, however, a drought</w:t>
      </w:r>
      <w:r w:rsidR="00E54263">
        <w:t xml:space="preserve"> had</w:t>
      </w:r>
      <w:r w:rsidR="00BA6186">
        <w:t xml:space="preserve"> occurred during this period of increased ground</w:t>
      </w:r>
      <w:r w:rsidR="00E54263">
        <w:t>water withdrawal, how would</w:t>
      </w:r>
      <w:r w:rsidR="00BA6186">
        <w:t xml:space="preserve"> </w:t>
      </w:r>
      <w:r w:rsidR="00E54263">
        <w:t xml:space="preserve">this affect </w:t>
      </w:r>
      <w:r w:rsidR="00BA6186">
        <w:t>groundwater availability? To help answer this question, a</w:t>
      </w:r>
      <w:r w:rsidR="00D80415">
        <w:t xml:space="preserve"> hypothetical 10-year droug</w:t>
      </w:r>
      <w:r>
        <w:t>ht was simulated for the period</w:t>
      </w:r>
      <w:r w:rsidR="00D80415">
        <w:t xml:space="preserve"> 2006‒2015. </w:t>
      </w:r>
    </w:p>
    <w:p w14:paraId="0D98AB55" w14:textId="77777777" w:rsidR="00147CD1" w:rsidRDefault="00147CD1" w:rsidP="00147CD1">
      <w:pPr>
        <w:pStyle w:val="Heading2"/>
      </w:pPr>
      <w:bookmarkStart w:id="130" w:name="_Toc468441119"/>
      <w:bookmarkStart w:id="131" w:name="_Toc477244271"/>
      <w:r>
        <w:t>Drought</w:t>
      </w:r>
      <w:r w:rsidR="002D7464">
        <w:t xml:space="preserve"> Scenario 1: </w:t>
      </w:r>
      <w:r>
        <w:t>Steady Groundwater Withdrawals</w:t>
      </w:r>
      <w:bookmarkEnd w:id="130"/>
      <w:bookmarkEnd w:id="131"/>
    </w:p>
    <w:p w14:paraId="34F1A263" w14:textId="77777777" w:rsidR="0010039B" w:rsidRDefault="00966E4D" w:rsidP="00966E4D">
      <w:pPr>
        <w:pStyle w:val="BodyText"/>
      </w:pPr>
      <w:r>
        <w:t>Estimated groundwater recharge for t</w:t>
      </w:r>
      <w:r w:rsidRPr="007A1D52">
        <w:t>he period 1988‒1992</w:t>
      </w:r>
      <w:r>
        <w:t xml:space="preserve"> was the lowest since 1960, as indicated by the decline of the annual cumulative departure from the mean (</w:t>
      </w:r>
      <w:r>
        <w:fldChar w:fldCharType="begin"/>
      </w:r>
      <w:r>
        <w:instrText xml:space="preserve"> REF _Ref476149677 \r \h </w:instrText>
      </w:r>
      <w:r>
        <w:fldChar w:fldCharType="separate"/>
      </w:r>
      <w:r>
        <w:t>Figure 6</w:t>
      </w:r>
      <w:r>
        <w:fldChar w:fldCharType="end"/>
      </w:r>
      <w:r w:rsidRPr="00966E4D">
        <w:rPr>
          <w:i/>
        </w:rPr>
        <w:t>A</w:t>
      </w:r>
      <w:r>
        <w:t xml:space="preserve">). </w:t>
      </w:r>
      <w:r w:rsidR="00147CD1" w:rsidRPr="007A1D52">
        <w:t>To simulate a drought</w:t>
      </w:r>
      <w:r w:rsidR="00CF0E2B" w:rsidRPr="007A1D52">
        <w:t>, precipitation</w:t>
      </w:r>
      <w:r w:rsidR="00D80415" w:rsidRPr="007A1D52">
        <w:t xml:space="preserve"> recharge</w:t>
      </w:r>
      <w:r w:rsidR="00147CD1" w:rsidRPr="007A1D52">
        <w:t xml:space="preserve"> and </w:t>
      </w:r>
      <w:r>
        <w:t xml:space="preserve">flow </w:t>
      </w:r>
      <w:r w:rsidR="00147CD1" w:rsidRPr="007A1D52">
        <w:t>conditions for the Streamflow-Routing Package that were</w:t>
      </w:r>
      <w:r w:rsidR="000E4208" w:rsidRPr="007A1D52">
        <w:t xml:space="preserve"> applied to the </w:t>
      </w:r>
      <w:r w:rsidR="00D80415" w:rsidRPr="007A1D52">
        <w:t>transient model (</w:t>
      </w:r>
      <w:r w:rsidR="00AB7647">
        <w:t>Davis and Long, 2017a</w:t>
      </w:r>
      <w:r w:rsidR="000E4208" w:rsidRPr="007A1D52">
        <w:t>) for the period</w:t>
      </w:r>
      <w:r w:rsidR="00147CD1" w:rsidRPr="007A1D52">
        <w:t xml:space="preserve"> 1988‒1992 were</w:t>
      </w:r>
      <w:r w:rsidR="00D80415" w:rsidRPr="007A1D52">
        <w:t xml:space="preserve"> applied twice c</w:t>
      </w:r>
      <w:r w:rsidR="00147CD1" w:rsidRPr="007A1D52">
        <w:t xml:space="preserve">onsecutively </w:t>
      </w:r>
      <w:r w:rsidR="00D80415" w:rsidRPr="007A1D52">
        <w:t>to s</w:t>
      </w:r>
      <w:r w:rsidR="000E4208" w:rsidRPr="007A1D52">
        <w:t>im</w:t>
      </w:r>
      <w:r w:rsidR="005067E6">
        <w:t>ulate a 10-year drought</w:t>
      </w:r>
      <w:r w:rsidR="00D80415" w:rsidRPr="007A1D52">
        <w:t xml:space="preserve"> for</w:t>
      </w:r>
      <w:r>
        <w:t xml:space="preserve"> the</w:t>
      </w:r>
      <w:r w:rsidR="00D80415" w:rsidRPr="007A1D52">
        <w:t xml:space="preserve"> 2006‒2015</w:t>
      </w:r>
      <w:r>
        <w:t xml:space="preserve"> period</w:t>
      </w:r>
      <w:r w:rsidR="00D80415" w:rsidRPr="007A1D52">
        <w:t>.</w:t>
      </w:r>
      <w:r w:rsidR="00147CD1" w:rsidRPr="007A1D52">
        <w:t xml:space="preserve"> </w:t>
      </w:r>
      <w:r w:rsidR="00CF0E2B" w:rsidRPr="007A1D52">
        <w:t xml:space="preserve">All other conditions were identical to </w:t>
      </w:r>
      <w:r w:rsidR="00CE1F4C">
        <w:t>the flowing-wells scenario</w:t>
      </w:r>
      <w:r w:rsidR="00A40C34" w:rsidRPr="007A1D52">
        <w:t>,</w:t>
      </w:r>
      <w:r w:rsidR="00147CD1" w:rsidRPr="007A1D52">
        <w:t xml:space="preserve"> except that the simulated period was</w:t>
      </w:r>
      <w:r w:rsidR="00CE1F4C">
        <w:t xml:space="preserve"> </w:t>
      </w:r>
      <w:r w:rsidR="005067E6" w:rsidRPr="00E42C19">
        <w:t>1961‒20</w:t>
      </w:r>
      <w:r w:rsidR="005067E6">
        <w:t>15</w:t>
      </w:r>
      <w:r w:rsidR="005E781B">
        <w:t>.</w:t>
      </w:r>
      <w:r w:rsidR="00EE521A">
        <w:t xml:space="preserve"> The groundwater pumping rates of</w:t>
      </w:r>
      <w:r w:rsidR="00A40C34" w:rsidRPr="007A1D52">
        <w:t xml:space="preserve"> </w:t>
      </w:r>
      <w:r w:rsidR="00CE1F4C">
        <w:t>the flowing-wells scenario</w:t>
      </w:r>
      <w:r w:rsidR="00EE521A">
        <w:t xml:space="preserve"> represent the pumping rates prior to large increases in water use for energy-resource production</w:t>
      </w:r>
      <w:r w:rsidR="00464C9E">
        <w:t xml:space="preserve"> (ERP)</w:t>
      </w:r>
      <w:r w:rsidR="00EE521A">
        <w:t xml:space="preserve">. </w:t>
      </w:r>
      <w:r w:rsidR="00CE1F4C">
        <w:t>The flowing-wells scenario</w:t>
      </w:r>
      <w:r w:rsidR="0010039B" w:rsidRPr="007A1D52">
        <w:t xml:space="preserve"> provides a </w:t>
      </w:r>
      <w:r w:rsidR="00B848CD">
        <w:t>baseline for comparison to drought scenarios 1 and 2</w:t>
      </w:r>
      <w:r w:rsidR="00E76FF0">
        <w:t xml:space="preserve"> (</w:t>
      </w:r>
      <w:r w:rsidR="00E76FF0">
        <w:fldChar w:fldCharType="begin"/>
      </w:r>
      <w:r w:rsidR="00E76FF0">
        <w:instrText xml:space="preserve"> REF _Ref477434118 \r \h </w:instrText>
      </w:r>
      <w:r w:rsidR="00E76FF0">
        <w:fldChar w:fldCharType="separate"/>
      </w:r>
      <w:r w:rsidR="00E76FF0">
        <w:t>Figure 19</w:t>
      </w:r>
      <w:r w:rsidR="00E76FF0">
        <w:fldChar w:fldCharType="end"/>
      </w:r>
      <w:r w:rsidR="00E76FF0">
        <w:t>).</w:t>
      </w:r>
    </w:p>
    <w:p w14:paraId="34EF86E2" w14:textId="77777777" w:rsidR="00C72B9A" w:rsidRDefault="00D80415" w:rsidP="00D56B8D">
      <w:pPr>
        <w:pStyle w:val="Heading2"/>
      </w:pPr>
      <w:bookmarkStart w:id="132" w:name="_Toc468441120"/>
      <w:bookmarkStart w:id="133" w:name="_Toc477244272"/>
      <w:r>
        <w:t>Drought</w:t>
      </w:r>
      <w:r w:rsidR="002D7464">
        <w:t xml:space="preserve"> Scenario 2:</w:t>
      </w:r>
      <w:r>
        <w:t xml:space="preserve"> Increased Groundwater Withdrawals</w:t>
      </w:r>
      <w:bookmarkEnd w:id="132"/>
      <w:bookmarkEnd w:id="133"/>
    </w:p>
    <w:p w14:paraId="64165A8D" w14:textId="77777777" w:rsidR="00452568" w:rsidRDefault="00321CB2" w:rsidP="00452568">
      <w:pPr>
        <w:pStyle w:val="BodyText"/>
      </w:pPr>
      <w:r w:rsidRPr="004E17F7">
        <w:t xml:space="preserve">This scenario was identical to that of </w:t>
      </w:r>
      <w:r w:rsidR="00CE1F4C">
        <w:t>drought scenario 1</w:t>
      </w:r>
      <w:r w:rsidRPr="004E17F7">
        <w:t>, except</w:t>
      </w:r>
      <w:r w:rsidR="0022261B">
        <w:t xml:space="preserve"> that</w:t>
      </w:r>
      <w:r w:rsidRPr="004E17F7">
        <w:t xml:space="preserve"> increased groundwater withdrawals to supply</w:t>
      </w:r>
      <w:r>
        <w:t xml:space="preserve"> the nee</w:t>
      </w:r>
      <w:r w:rsidR="00E54263">
        <w:t>ds of ERP</w:t>
      </w:r>
      <w:r>
        <w:t xml:space="preserve"> for 2006</w:t>
      </w:r>
      <w:r w:rsidRPr="007A1D52">
        <w:t>‒2015</w:t>
      </w:r>
      <w:r w:rsidR="0022261B">
        <w:t xml:space="preserve"> also were applied</w:t>
      </w:r>
      <w:r>
        <w:t>.</w:t>
      </w:r>
      <w:r w:rsidR="0022261B">
        <w:t xml:space="preserve"> </w:t>
      </w:r>
      <w:r w:rsidR="008F7088">
        <w:t>The freshwater used</w:t>
      </w:r>
      <w:r w:rsidR="00464C9E">
        <w:t xml:space="preserve"> for </w:t>
      </w:r>
      <w:r w:rsidR="008F7088">
        <w:t>ERP was</w:t>
      </w:r>
      <w:r w:rsidR="00E54263">
        <w:t xml:space="preserve"> estimated by two separate methods</w:t>
      </w:r>
      <w:r w:rsidR="008F7088">
        <w:t>. The first method</w:t>
      </w:r>
      <w:r w:rsidR="00F816DC">
        <w:t>, the consumption estimate,</w:t>
      </w:r>
      <w:r w:rsidR="008F7088">
        <w:t xml:space="preserve"> focused strictly on the estimated freshwater needs for ERP in the </w:t>
      </w:r>
      <w:r w:rsidR="008F7088">
        <w:lastRenderedPageBreak/>
        <w:t>Williston Basin within the United States. The second method</w:t>
      </w:r>
      <w:r w:rsidR="00F816DC">
        <w:t>, the supply estimate,</w:t>
      </w:r>
      <w:r w:rsidR="008F7088">
        <w:t xml:space="preserve"> focused on water-withdrawal data obtained from</w:t>
      </w:r>
      <w:r w:rsidR="00E54263">
        <w:t xml:space="preserve"> water-use permit</w:t>
      </w:r>
      <w:r w:rsidR="008F7088">
        <w:t>s.</w:t>
      </w:r>
      <w:r w:rsidR="00B26F2A">
        <w:t xml:space="preserve"> The supply estimate provided</w:t>
      </w:r>
      <w:r w:rsidR="000E631D">
        <w:t xml:space="preserve"> </w:t>
      </w:r>
      <w:r w:rsidR="00B26F2A">
        <w:t>pumping rates</w:t>
      </w:r>
      <w:r w:rsidR="000E631D">
        <w:t>,</w:t>
      </w:r>
      <w:r w:rsidR="00B26F2A">
        <w:t xml:space="preserve"> locations,</w:t>
      </w:r>
      <w:r w:rsidR="00452568">
        <w:t xml:space="preserve"> </w:t>
      </w:r>
      <w:r w:rsidR="00B26F2A">
        <w:t>and specific aquifers for</w:t>
      </w:r>
      <w:r w:rsidR="000E631D">
        <w:t xml:space="preserve"> individual wells that were used in the model simulation; the consumption estimate provided an independent check on the total from the supply estimate. </w:t>
      </w:r>
    </w:p>
    <w:p w14:paraId="489CB3E1" w14:textId="04B8ACAF" w:rsidR="00CE2D87" w:rsidRDefault="006C670C" w:rsidP="00F816DC">
      <w:pPr>
        <w:pStyle w:val="BodyText"/>
      </w:pPr>
      <w:r>
        <w:t>For the consumption estimate, t</w:t>
      </w:r>
      <w:r w:rsidR="007E1085">
        <w:t xml:space="preserve">otal </w:t>
      </w:r>
      <w:r>
        <w:t>fresh</w:t>
      </w:r>
      <w:r w:rsidR="007E1085">
        <w:t>water us</w:t>
      </w:r>
      <w:r>
        <w:t>e for ERP</w:t>
      </w:r>
      <w:r w:rsidR="007E1085">
        <w:t xml:space="preserve"> in</w:t>
      </w:r>
      <w:r w:rsidR="0022261B">
        <w:t xml:space="preserve"> the Williston basin in the United States</w:t>
      </w:r>
      <w:r w:rsidR="008F1812">
        <w:t xml:space="preserve"> was estimated by tabulating reported hydraulic fracturing treatment volumes for the study area using data from </w:t>
      </w:r>
      <w:commentRangeStart w:id="134"/>
      <w:r w:rsidR="008F1812">
        <w:t>IHS</w:t>
      </w:r>
      <w:commentRangeEnd w:id="134"/>
      <w:r w:rsidR="008F1812">
        <w:rPr>
          <w:rStyle w:val="CommentReference"/>
        </w:rPr>
        <w:commentReference w:id="134"/>
      </w:r>
      <w:r w:rsidR="008F1812">
        <w:t xml:space="preserve"> </w:t>
      </w:r>
      <w:proofErr w:type="spellStart"/>
      <w:r w:rsidR="008F1812">
        <w:t>Markit</w:t>
      </w:r>
      <w:r w:rsidR="008F1812" w:rsidRPr="008F1812">
        <w:rPr>
          <w:vertAlign w:val="superscript"/>
        </w:rPr>
        <w:t>TM</w:t>
      </w:r>
      <w:proofErr w:type="spellEnd"/>
      <w:r w:rsidR="008F1812">
        <w:t xml:space="preserve"> (2016).  Hydraulic fracturing treatment data from IHS </w:t>
      </w:r>
      <w:proofErr w:type="spellStart"/>
      <w:r w:rsidR="008F1812">
        <w:t>Markit</w:t>
      </w:r>
      <w:proofErr w:type="spellEnd"/>
      <w:r w:rsidR="008F1812">
        <w:t xml:space="preserve"> (2016) may include volumes in a variety of measurement units, and they may include </w:t>
      </w:r>
      <w:r w:rsidR="00AE5850">
        <w:t xml:space="preserve">multiple treatments per well.  All listed treatments within the study area were converted to gallons and summed on a per-well basis, discounting any treatments for which the specified measurement units were </w:t>
      </w:r>
      <w:r w:rsidR="00121E90">
        <w:t>unclear</w:t>
      </w:r>
      <w:r w:rsidR="00AE5850">
        <w:t xml:space="preserve"> (for example, “sacks”, or “feet”).  Of 3,734,380 treatments listed within the study area during the timeframe of interest, 0.7% (26,373 records) </w:t>
      </w:r>
      <w:proofErr w:type="gramStart"/>
      <w:r w:rsidR="00AE5850">
        <w:t>were</w:t>
      </w:r>
      <w:proofErr w:type="gramEnd"/>
      <w:r w:rsidR="00AE5850">
        <w:t xml:space="preserve"> not included.  For each well, the date listed as the well completion date (typ</w:t>
      </w:r>
      <w:r w:rsidR="00B77B75">
        <w:t>ically the date of final preparation of the well for petroleum producti</w:t>
      </w:r>
      <w:bookmarkStart w:id="135" w:name="_GoBack"/>
      <w:bookmarkEnd w:id="135"/>
      <w:r w:rsidR="00B77B75">
        <w:t>on</w:t>
      </w:r>
      <w:r w:rsidR="00AE5850">
        <w:t>) was considered to be the</w:t>
      </w:r>
      <w:r w:rsidR="00B77B75">
        <w:t xml:space="preserve"> date of the water consumption.  Listings</w:t>
      </w:r>
      <w:r w:rsidR="00AE5850">
        <w:t xml:space="preserve"> for the actual treatment date </w:t>
      </w:r>
      <w:r w:rsidR="00B77B75">
        <w:t>are</w:t>
      </w:r>
      <w:r w:rsidR="00AE5850">
        <w:t xml:space="preserve"> incomplete in the IHS </w:t>
      </w:r>
      <w:proofErr w:type="spellStart"/>
      <w:r w:rsidR="00AE5850">
        <w:t>Markit</w:t>
      </w:r>
      <w:proofErr w:type="spellEnd"/>
      <w:r w:rsidR="00AE5850">
        <w:t xml:space="preserve"> (2016) database, but generally the completion date is within a few </w:t>
      </w:r>
      <w:r w:rsidR="00B77B75">
        <w:t xml:space="preserve">days, or at most </w:t>
      </w:r>
      <w:r w:rsidR="00AE5850">
        <w:t>months</w:t>
      </w:r>
      <w:r w:rsidR="00B77B75">
        <w:t>, of the actual treatment date.  The</w:t>
      </w:r>
      <w:r w:rsidR="00AE5850">
        <w:t xml:space="preserve"> per-well treatment volumes were then mapped to a 1-mile grid using ArcGIS functions, and the treatment volume per grid cell per year was used to determine the consumption estimates.</w:t>
      </w:r>
    </w:p>
    <w:p w14:paraId="3EADA4B7" w14:textId="77777777" w:rsidR="00CE2D87" w:rsidRDefault="00CE2D87" w:rsidP="00F816DC">
      <w:pPr>
        <w:pStyle w:val="BodyText"/>
      </w:pPr>
    </w:p>
    <w:p w14:paraId="2694E27D" w14:textId="77777777" w:rsidR="00452568" w:rsidRDefault="00464C9E" w:rsidP="00F816DC">
      <w:pPr>
        <w:pStyle w:val="BodyText"/>
      </w:pPr>
      <w:r>
        <w:t>This analysis</w:t>
      </w:r>
      <w:r w:rsidR="006C670C">
        <w:t xml:space="preserve"> did not</w:t>
      </w:r>
      <w:r>
        <w:t xml:space="preserve"> </w:t>
      </w:r>
      <w:r w:rsidR="006C670C">
        <w:t>determine</w:t>
      </w:r>
      <w:r>
        <w:t xml:space="preserve"> specific sou</w:t>
      </w:r>
      <w:r w:rsidR="006C670C">
        <w:t>rces of water or</w:t>
      </w:r>
      <w:r>
        <w:t xml:space="preserve"> differentiate groundwater sources from surface-water sources. </w:t>
      </w:r>
      <w:r w:rsidR="00F816DC">
        <w:t xml:space="preserve">The total consumption estimate </w:t>
      </w:r>
      <w:r w:rsidR="00FA7956">
        <w:t xml:space="preserve">was </w:t>
      </w:r>
      <w:commentRangeStart w:id="136"/>
      <w:r w:rsidR="00FA7956">
        <w:t>94,000</w:t>
      </w:r>
      <w:r w:rsidR="00F816DC">
        <w:t xml:space="preserve"> acre-feet for the United States and </w:t>
      </w:r>
      <w:r w:rsidR="00FA7956">
        <w:t>90,000</w:t>
      </w:r>
      <w:r w:rsidR="004D6DF8">
        <w:t xml:space="preserve"> acre-feet for North Dakota the 2006</w:t>
      </w:r>
      <w:r w:rsidR="004D6DF8" w:rsidRPr="007A1D52">
        <w:t>‒2015</w:t>
      </w:r>
      <w:r w:rsidR="004D6DF8">
        <w:t xml:space="preserve"> period</w:t>
      </w:r>
      <w:commentRangeEnd w:id="136"/>
      <w:r w:rsidR="00CE2D87">
        <w:rPr>
          <w:rStyle w:val="CommentReference"/>
        </w:rPr>
        <w:commentReference w:id="136"/>
      </w:r>
      <w:r w:rsidR="004D6DF8">
        <w:t>.</w:t>
      </w:r>
    </w:p>
    <w:p w14:paraId="38C19F5D" w14:textId="77777777" w:rsidR="00A11B11" w:rsidRDefault="00452568" w:rsidP="00170221">
      <w:pPr>
        <w:pStyle w:val="BodyText"/>
      </w:pPr>
      <w:r>
        <w:lastRenderedPageBreak/>
        <w:t>The consumption estimate for</w:t>
      </w:r>
      <w:r w:rsidR="00321CB2">
        <w:t xml:space="preserve"> North Dakota accounted for 96 percent of the total</w:t>
      </w:r>
      <w:r>
        <w:t xml:space="preserve"> consumption</w:t>
      </w:r>
      <w:r w:rsidR="00F816DC">
        <w:t xml:space="preserve"> estimate for</w:t>
      </w:r>
      <w:r w:rsidR="0022261B">
        <w:t xml:space="preserve"> the</w:t>
      </w:r>
      <w:r w:rsidR="00F816DC">
        <w:t xml:space="preserve"> Williston basin in the</w:t>
      </w:r>
      <w:r w:rsidR="0022261B">
        <w:t xml:space="preserve"> United States. Because of this and because th</w:t>
      </w:r>
      <w:r w:rsidR="00966E4D">
        <w:t>e state of North Dakota provided</w:t>
      </w:r>
      <w:r w:rsidR="0022261B">
        <w:t xml:space="preserve"> detailed water-permitting data to the public, </w:t>
      </w:r>
      <w:r w:rsidR="0085502B">
        <w:t>t</w:t>
      </w:r>
      <w:r w:rsidR="0022261B">
        <w:t>his scenario was</w:t>
      </w:r>
      <w:r w:rsidR="00CA7371">
        <w:t xml:space="preserve"> confined to the area within</w:t>
      </w:r>
      <w:r w:rsidR="0085502B">
        <w:t xml:space="preserve"> North Dakota</w:t>
      </w:r>
      <w:r w:rsidR="0022261B">
        <w:t xml:space="preserve">. </w:t>
      </w:r>
      <w:r w:rsidR="00A61D76">
        <w:t>Data for p</w:t>
      </w:r>
      <w:r w:rsidR="00E76FF0">
        <w:t>er</w:t>
      </w:r>
      <w:r w:rsidR="00E127BB">
        <w:t xml:space="preserve">mits to use </w:t>
      </w:r>
      <w:r w:rsidR="00E76FF0">
        <w:t>groundwater</w:t>
      </w:r>
      <w:r w:rsidR="00E127BB">
        <w:t xml:space="preserve"> and surface water</w:t>
      </w:r>
      <w:r w:rsidR="00E76FF0">
        <w:t xml:space="preserve"> in North Dakota</w:t>
      </w:r>
      <w:r w:rsidR="00D906E4">
        <w:t xml:space="preserve"> for</w:t>
      </w:r>
      <w:r>
        <w:t xml:space="preserve"> ERP</w:t>
      </w:r>
      <w:r w:rsidR="00B061B5">
        <w:t xml:space="preserve"> </w:t>
      </w:r>
      <w:r w:rsidR="00885267">
        <w:t>were</w:t>
      </w:r>
      <w:r w:rsidR="00E76FF0">
        <w:t xml:space="preserve"> obtained from the North Dakota State Water Commission </w:t>
      </w:r>
      <w:r>
        <w:t>(2017</w:t>
      </w:r>
      <w:r w:rsidR="00E76FF0">
        <w:t>).</w:t>
      </w:r>
      <w:r w:rsidR="00E127BB">
        <w:t xml:space="preserve"> </w:t>
      </w:r>
      <w:r w:rsidR="003E5EFC">
        <w:t>In addition to the steady groundwater pumping rates applied in drought scenario 1, d</w:t>
      </w:r>
      <w:r w:rsidR="00A61D76">
        <w:t>ata</w:t>
      </w:r>
      <w:r w:rsidR="00000D73">
        <w:t xml:space="preserve"> from</w:t>
      </w:r>
      <w:r w:rsidR="00E127BB">
        <w:t xml:space="preserve"> </w:t>
      </w:r>
      <w:r w:rsidR="00000D73">
        <w:t xml:space="preserve">these </w:t>
      </w:r>
      <w:r w:rsidR="00E127BB">
        <w:t>groundwater permits</w:t>
      </w:r>
      <w:r w:rsidR="003E5EFC">
        <w:t xml:space="preserve"> also</w:t>
      </w:r>
      <w:r w:rsidR="00A61D76">
        <w:t xml:space="preserve"> were </w:t>
      </w:r>
      <w:r w:rsidR="0054027B">
        <w:t xml:space="preserve">applied </w:t>
      </w:r>
      <w:r w:rsidR="00A61D76">
        <w:t>in</w:t>
      </w:r>
      <w:r w:rsidR="0054027B">
        <w:t xml:space="preserve"> </w:t>
      </w:r>
      <w:r w:rsidR="00CE1F4C">
        <w:t xml:space="preserve">drought </w:t>
      </w:r>
      <w:r w:rsidR="0054027B">
        <w:t>scenario 2</w:t>
      </w:r>
      <w:r w:rsidR="00000D73">
        <w:t xml:space="preserve"> to account for the needs of ERP</w:t>
      </w:r>
      <w:r w:rsidR="0054027B">
        <w:t>.</w:t>
      </w:r>
      <w:r w:rsidR="00A61D76">
        <w:t xml:space="preserve"> </w:t>
      </w:r>
      <w:r w:rsidR="00D906E4">
        <w:t>Standard permits and temporary permits are two classes of permits that were</w:t>
      </w:r>
      <w:r w:rsidR="009A2B7F">
        <w:t xml:space="preserve"> obtained. </w:t>
      </w:r>
      <w:r w:rsidR="00D36AFD">
        <w:t>Stan</w:t>
      </w:r>
      <w:r w:rsidR="00B061B5">
        <w:t>dard permits generally apply for multi-year periods</w:t>
      </w:r>
      <w:r w:rsidR="007454AD">
        <w:t>, whereas</w:t>
      </w:r>
      <w:r w:rsidR="00D36AFD">
        <w:t xml:space="preserve"> temporary permits are issued for 1 year or less.</w:t>
      </w:r>
      <w:r w:rsidR="0054027B">
        <w:t xml:space="preserve"> For standard permits, o</w:t>
      </w:r>
      <w:r w:rsidR="00885267">
        <w:t>nly</w:t>
      </w:r>
      <w:r w:rsidR="0054027B">
        <w:t xml:space="preserve"> those</w:t>
      </w:r>
      <w:r w:rsidR="007454AD">
        <w:t xml:space="preserve"> </w:t>
      </w:r>
      <w:r w:rsidR="00885267">
        <w:t>issued for u</w:t>
      </w:r>
      <w:r w:rsidR="00CE2969">
        <w:t>se in ERP</w:t>
      </w:r>
      <w:r w:rsidR="00885267">
        <w:t xml:space="preserve"> were used in this scenario. </w:t>
      </w:r>
      <w:r w:rsidR="0054027B">
        <w:t>All temporary permits for 2006</w:t>
      </w:r>
      <w:r w:rsidR="0054027B" w:rsidRPr="007A1D52">
        <w:t>‒2015</w:t>
      </w:r>
      <w:r w:rsidR="00CF1172">
        <w:t xml:space="preserve"> </w:t>
      </w:r>
      <w:r w:rsidR="001D70F8">
        <w:t xml:space="preserve">granted </w:t>
      </w:r>
      <w:r w:rsidR="00CF1172">
        <w:t>for industrial purposes</w:t>
      </w:r>
      <w:r w:rsidR="0054027B">
        <w:t xml:space="preserve"> </w:t>
      </w:r>
      <w:proofErr w:type="gramStart"/>
      <w:r w:rsidR="0054027B">
        <w:t>were assumed to be use</w:t>
      </w:r>
      <w:r w:rsidR="00CE2969">
        <w:t>d</w:t>
      </w:r>
      <w:proofErr w:type="gramEnd"/>
      <w:r w:rsidR="00CE2969">
        <w:t xml:space="preserve"> for ERP</w:t>
      </w:r>
      <w:r w:rsidR="0054027B">
        <w:t xml:space="preserve">. </w:t>
      </w:r>
      <w:r w:rsidR="00E463EF">
        <w:t xml:space="preserve">Water-use rates reported by each permittee were available for the standard permits and </w:t>
      </w:r>
      <w:r w:rsidR="00C851BE">
        <w:t xml:space="preserve">were </w:t>
      </w:r>
      <w:r w:rsidR="00E463EF">
        <w:t>used in this scenario; for temporary permits, the permitted rates were used because the re</w:t>
      </w:r>
      <w:r w:rsidR="00C851BE">
        <w:t>ported rates were not provided.</w:t>
      </w:r>
      <w:r w:rsidR="00CA7371">
        <w:t xml:space="preserve"> A small number of permits were either </w:t>
      </w:r>
      <w:r w:rsidR="00C851BE">
        <w:t>outside of the model domain or open to formations below the Fox Hills aquifer</w:t>
      </w:r>
      <w:r w:rsidR="00CA7371">
        <w:t xml:space="preserve"> and</w:t>
      </w:r>
      <w:r w:rsidR="001D70F8">
        <w:t>, therefore,</w:t>
      </w:r>
      <w:r w:rsidR="00C851BE">
        <w:t xml:space="preserve"> were not included in this scenario. </w:t>
      </w:r>
      <w:r w:rsidR="007920E3">
        <w:tab/>
      </w:r>
    </w:p>
    <w:p w14:paraId="770B9756" w14:textId="77777777" w:rsidR="00C851BE" w:rsidRDefault="005A0261" w:rsidP="00076276">
      <w:pPr>
        <w:pStyle w:val="BodyText"/>
      </w:pPr>
      <w:r>
        <w:t>Although the consumption estimate did not provide a separate estimate for groundwater use</w:t>
      </w:r>
      <w:r w:rsidR="00000D73">
        <w:t xml:space="preserve"> separate from surface-water use</w:t>
      </w:r>
      <w:r>
        <w:t>, a</w:t>
      </w:r>
      <w:r w:rsidR="00C81F4A">
        <w:t xml:space="preserve"> water-budget ana</w:t>
      </w:r>
      <w:r>
        <w:t>lysis of the two estimation methods for</w:t>
      </w:r>
      <w:r w:rsidR="00C81F4A">
        <w:t xml:space="preserve"> North Dakota</w:t>
      </w:r>
      <w:r w:rsidR="00000D73">
        <w:t xml:space="preserve"> indicates that the supply</w:t>
      </w:r>
      <w:r w:rsidR="00C81F4A">
        <w:t xml:space="preserve"> estimate is consistent with the</w:t>
      </w:r>
      <w:r w:rsidR="00000D73">
        <w:t xml:space="preserve"> consumption</w:t>
      </w:r>
      <w:r w:rsidR="00C81F4A">
        <w:t xml:space="preserve"> estimate. </w:t>
      </w:r>
      <w:r w:rsidR="00C851BE">
        <w:t>The tot</w:t>
      </w:r>
      <w:r w:rsidR="000E631D">
        <w:t xml:space="preserve">al supply estimate </w:t>
      </w:r>
      <w:r w:rsidR="004B0EE1">
        <w:t>for North Dakota</w:t>
      </w:r>
      <w:r w:rsidR="000E631D">
        <w:t xml:space="preserve"> groundwater </w:t>
      </w:r>
      <w:r w:rsidR="00FA7956">
        <w:t xml:space="preserve">was 51,000 acre-feet </w:t>
      </w:r>
      <w:r w:rsidR="000E631D">
        <w:t>for the 2006</w:t>
      </w:r>
      <w:r w:rsidR="000E631D" w:rsidRPr="007A1D52">
        <w:t>‒2015</w:t>
      </w:r>
      <w:r w:rsidR="00C81F4A">
        <w:t xml:space="preserve"> </w:t>
      </w:r>
      <w:r w:rsidR="000E631D">
        <w:t>period</w:t>
      </w:r>
      <w:r w:rsidR="00FA7956">
        <w:t>, which</w:t>
      </w:r>
      <w:r w:rsidR="00BB4172">
        <w:t xml:space="preserve"> is</w:t>
      </w:r>
      <w:r w:rsidR="00C851BE">
        <w:t xml:space="preserve"> </w:t>
      </w:r>
      <w:r w:rsidR="00FE53E7">
        <w:t>56</w:t>
      </w:r>
      <w:r w:rsidR="00727250">
        <w:t>.3</w:t>
      </w:r>
      <w:r w:rsidR="00452568">
        <w:t xml:space="preserve"> percent of the </w:t>
      </w:r>
      <w:r w:rsidR="00FA7956">
        <w:t xml:space="preserve">total </w:t>
      </w:r>
      <w:r w:rsidR="00452568">
        <w:t>consumption estimate for North Dakota</w:t>
      </w:r>
      <w:r w:rsidR="00A11B11">
        <w:t>.</w:t>
      </w:r>
      <w:r w:rsidR="00FE53E7">
        <w:t xml:space="preserve"> </w:t>
      </w:r>
      <w:r w:rsidR="00727250">
        <w:t>Because the remaining 43.7 percent would have been supplied by surface water, t</w:t>
      </w:r>
      <w:r w:rsidR="00BB4172">
        <w:t xml:space="preserve">his results in a ratio of </w:t>
      </w:r>
      <w:r w:rsidR="00076276">
        <w:t>groundwater to surface-water usage</w:t>
      </w:r>
      <w:r w:rsidR="00BB4172">
        <w:t xml:space="preserve"> of about </w:t>
      </w:r>
      <w:r w:rsidR="00727250">
        <w:t>1.3</w:t>
      </w:r>
      <w:r w:rsidR="004D6DF8">
        <w:t>. A</w:t>
      </w:r>
      <w:r w:rsidR="00727250">
        <w:t>s a</w:t>
      </w:r>
      <w:r w:rsidR="004D6DF8">
        <w:t xml:space="preserve"> comparison</w:t>
      </w:r>
      <w:r w:rsidR="00727250">
        <w:t>,</w:t>
      </w:r>
      <w:r w:rsidR="00076276">
        <w:t xml:space="preserve"> the ratio of groundwater to </w:t>
      </w:r>
      <w:r w:rsidR="00076276">
        <w:lastRenderedPageBreak/>
        <w:t>surface-water us</w:t>
      </w:r>
      <w:r w:rsidR="00727250">
        <w:t>age from the North Dakota permit data</w:t>
      </w:r>
      <w:r w:rsidR="00076276">
        <w:t xml:space="preserve"> for ERP was about 1.4 for the 2006</w:t>
      </w:r>
      <w:r w:rsidR="00076276" w:rsidRPr="007A1D52">
        <w:t>‒2015</w:t>
      </w:r>
      <w:r w:rsidR="00076276">
        <w:t xml:space="preserve"> period.</w:t>
      </w:r>
      <w:r w:rsidR="00000D73">
        <w:t xml:space="preserve"> Any transport of water across state lines was not considered in this analysis, which</w:t>
      </w:r>
      <w:r w:rsidR="0032575F">
        <w:t xml:space="preserve"> introduces error.</w:t>
      </w:r>
      <w:r w:rsidR="00076276">
        <w:t xml:space="preserve"> </w:t>
      </w:r>
      <w:r w:rsidR="00464C9E">
        <w:t>Although there is error in</w:t>
      </w:r>
      <w:r w:rsidR="00CE2969">
        <w:t xml:space="preserve"> both estimation methods, this</w:t>
      </w:r>
      <w:r w:rsidR="00E127BB">
        <w:t xml:space="preserve"> analysis </w:t>
      </w:r>
      <w:r w:rsidR="00CE2969">
        <w:t xml:space="preserve">provides confidence in the pumping rates used in the model simulation. </w:t>
      </w:r>
    </w:p>
    <w:p w14:paraId="12B9B54E" w14:textId="77777777" w:rsidR="00D604DF" w:rsidRDefault="00BC346A" w:rsidP="00A61D76">
      <w:pPr>
        <w:pStyle w:val="BodyText"/>
      </w:pPr>
      <w:r>
        <w:t xml:space="preserve">In many cases a specific aquifer was not specified in the groundwater-permit data. For example, in some cases the Fort Union Formation was listed as the source, and </w:t>
      </w:r>
      <w:proofErr w:type="gramStart"/>
      <w:r>
        <w:t>this</w:t>
      </w:r>
      <w:r w:rsidR="005831AC">
        <w:t xml:space="preserve"> formation</w:t>
      </w:r>
      <w:r>
        <w:t xml:space="preserve"> wa</w:t>
      </w:r>
      <w:r w:rsidR="005831AC">
        <w:t>s represented by model layers 3, 4, and 5</w:t>
      </w:r>
      <w:proofErr w:type="gramEnd"/>
      <w:r>
        <w:t>. In these cases, the simulated wel</w:t>
      </w:r>
      <w:r w:rsidR="005831AC">
        <w:t xml:space="preserve">l was assigned to </w:t>
      </w:r>
      <w:r>
        <w:t xml:space="preserve">model layer </w:t>
      </w:r>
      <w:r w:rsidR="005831AC">
        <w:t xml:space="preserve">3, 4, or 5, depending on which had </w:t>
      </w:r>
      <w:r>
        <w:t>the highest hydraulic conductivity to best accommodate the withdrawal</w:t>
      </w:r>
      <w:r w:rsidR="005831AC">
        <w:t xml:space="preserve"> rate</w:t>
      </w:r>
      <w:r>
        <w:t>. In some cases, the source was simply listed as groundwater, in which case the simulated well was assigned to</w:t>
      </w:r>
      <w:r w:rsidR="005831AC">
        <w:t xml:space="preserve"> the</w:t>
      </w:r>
      <w:r>
        <w:t xml:space="preserve"> model layer with the highest hydraulic conductivity</w:t>
      </w:r>
      <w:r w:rsidR="005831AC">
        <w:t xml:space="preserve"> for standard permits; for temporary permits, however, the model layer was chosen from layers 1-5 because new permits generally are applied to aquifers represented by these model layers.</w:t>
      </w:r>
      <w:r w:rsidR="00B76B43">
        <w:t xml:space="preserve"> </w:t>
      </w:r>
    </w:p>
    <w:p w14:paraId="796D3CEF" w14:textId="77777777" w:rsidR="008D51F8" w:rsidRDefault="00D604DF" w:rsidP="00432387">
      <w:pPr>
        <w:pStyle w:val="BodyText"/>
      </w:pPr>
      <w:r>
        <w:t xml:space="preserve">The </w:t>
      </w:r>
      <w:proofErr w:type="gramStart"/>
      <w:r>
        <w:t>steady-state</w:t>
      </w:r>
      <w:proofErr w:type="gramEnd"/>
      <w:r>
        <w:t xml:space="preserve"> and transient models simulated many areas where the glacial aquifer system was unsaturated in upland areas between stream valleys. </w:t>
      </w:r>
      <w:r w:rsidR="006E3814">
        <w:t>P</w:t>
      </w:r>
      <w:r>
        <w:t>ermitted wells</w:t>
      </w:r>
      <w:r w:rsidR="006E3814">
        <w:t xml:space="preserve"> with a glacial-aquifer source </w:t>
      </w:r>
      <w:r>
        <w:t xml:space="preserve">generally were clustered in areas </w:t>
      </w:r>
      <w:r w:rsidR="006E3814">
        <w:t xml:space="preserve">where the models simulated saturated conditions. This indicates that the models were </w:t>
      </w:r>
      <w:proofErr w:type="gramStart"/>
      <w:r w:rsidR="006E3814">
        <w:t>consist</w:t>
      </w:r>
      <w:proofErr w:type="gramEnd"/>
      <w:r w:rsidR="006E3814">
        <w:t xml:space="preserve"> with the permit locations because water production wells would be located in areas where groundwater is available. </w:t>
      </w:r>
      <w:r w:rsidR="00432387">
        <w:t xml:space="preserve">However, a regional model cannot include a high level of spatial detail and accuracy, and therefore, </w:t>
      </w:r>
      <w:r w:rsidR="008D51F8">
        <w:t xml:space="preserve">adjustments </w:t>
      </w:r>
      <w:r w:rsidR="00B76B43">
        <w:t>to</w:t>
      </w:r>
      <w:r w:rsidR="00432387">
        <w:t xml:space="preserve"> some</w:t>
      </w:r>
      <w:r w:rsidR="00B76B43">
        <w:t xml:space="preserve"> well loc</w:t>
      </w:r>
      <w:r w:rsidR="00432387">
        <w:t>ations were made if a</w:t>
      </w:r>
      <w:r w:rsidR="00B76B43">
        <w:t xml:space="preserve"> well was at a location that had </w:t>
      </w:r>
      <w:r w:rsidR="00432387">
        <w:t>unsaturated</w:t>
      </w:r>
      <w:r w:rsidR="00B76B43">
        <w:t xml:space="preserve"> model </w:t>
      </w:r>
      <w:r>
        <w:t>cells</w:t>
      </w:r>
      <w:r w:rsidR="00B76B43">
        <w:t>.</w:t>
      </w:r>
      <w:r>
        <w:t xml:space="preserve"> The location was moved as much as 7 miles</w:t>
      </w:r>
      <w:r w:rsidR="00B76B43">
        <w:t xml:space="preserve"> </w:t>
      </w:r>
      <w:r>
        <w:t xml:space="preserve">to a new location that could better accommodate simulated pumping. </w:t>
      </w:r>
    </w:p>
    <w:p w14:paraId="6EC7A797" w14:textId="77777777" w:rsidR="001D70F8" w:rsidRDefault="001D70F8" w:rsidP="00DF7328">
      <w:pPr>
        <w:pStyle w:val="BodyText"/>
      </w:pPr>
    </w:p>
    <w:p w14:paraId="7C7534FA" w14:textId="77777777" w:rsidR="00DF7328" w:rsidRDefault="001D70F8" w:rsidP="001D70F8">
      <w:pPr>
        <w:pStyle w:val="BodyText"/>
      </w:pPr>
      <w:r>
        <w:lastRenderedPageBreak/>
        <w:t>Notes: We’ll run the simulation with the GW supplying the estimated 51,000 acre-feet and then mu</w:t>
      </w:r>
      <w:r w:rsidR="003D28FB">
        <w:t>ltiply all pumping rates by 1.71</w:t>
      </w:r>
      <w:r>
        <w:t xml:space="preserve"> to see what happens if GW had to supply all of the 90,000 </w:t>
      </w:r>
      <w:proofErr w:type="spellStart"/>
      <w:r>
        <w:t>arce</w:t>
      </w:r>
      <w:proofErr w:type="spellEnd"/>
      <w:r>
        <w:t xml:space="preserve">-feet for ND. Need to explain how model layers were assigned when permit data were not specific to a single aquifer. </w:t>
      </w:r>
      <w:r w:rsidR="00DF7328">
        <w:t>ND permitted wells in layers 1 and 2 were moved from 1 to 7 miles from the original location, if necessary, to locate at least one mile from areas of dry cells.</w:t>
      </w:r>
    </w:p>
    <w:p w14:paraId="377E5507" w14:textId="77777777" w:rsidR="00D80415" w:rsidRDefault="00D80415" w:rsidP="001B61C6">
      <w:pPr>
        <w:pStyle w:val="BodyText"/>
      </w:pPr>
    </w:p>
    <w:p w14:paraId="0490D147" w14:textId="77777777" w:rsidR="00680E34" w:rsidRDefault="005A5D46" w:rsidP="001B61C6">
      <w:pPr>
        <w:pStyle w:val="Heading2"/>
      </w:pPr>
      <w:bookmarkStart w:id="137" w:name="_Toc477244273"/>
      <w:r>
        <w:t xml:space="preserve">Comparison of </w:t>
      </w:r>
      <w:r w:rsidR="0010039B">
        <w:t>Drought Versus</w:t>
      </w:r>
      <w:r w:rsidR="00342AF7">
        <w:t xml:space="preserve"> Non-Drought Scenarios</w:t>
      </w:r>
      <w:bookmarkEnd w:id="137"/>
    </w:p>
    <w:p w14:paraId="42B93B34" w14:textId="77777777" w:rsidR="007B6E60" w:rsidRDefault="007B6E60" w:rsidP="007B6E60">
      <w:pPr>
        <w:pStyle w:val="BodyText"/>
      </w:pPr>
      <w:r>
        <w:t>A comparison of th</w:t>
      </w:r>
      <w:r w:rsidR="006D6CC6">
        <w:t>e simulated results of the three</w:t>
      </w:r>
      <w:r>
        <w:t xml:space="preserve"> scenarios </w:t>
      </w:r>
      <w:r w:rsidR="006D6CC6">
        <w:t xml:space="preserve">provides an estimate of the </w:t>
      </w:r>
      <w:r>
        <w:t>effects</w:t>
      </w:r>
      <w:r w:rsidR="006D6CC6">
        <w:t xml:space="preserve"> drought and of the more severe effects of in</w:t>
      </w:r>
      <w:r>
        <w:t xml:space="preserve">creased groundwater extraction during drought. </w:t>
      </w:r>
      <w:r w:rsidR="006D6CC6" w:rsidRPr="006D6CC6">
        <w:rPr>
          <w:highlight w:val="yellow"/>
        </w:rPr>
        <w:t xml:space="preserve">[** Describe results by discussing </w:t>
      </w:r>
      <w:r w:rsidR="006D6CC6" w:rsidRPr="006D6CC6">
        <w:rPr>
          <w:highlight w:val="yellow"/>
        </w:rPr>
        <w:fldChar w:fldCharType="begin"/>
      </w:r>
      <w:r w:rsidR="006D6CC6" w:rsidRPr="006D6CC6">
        <w:rPr>
          <w:highlight w:val="yellow"/>
        </w:rPr>
        <w:instrText xml:space="preserve"> REF _Ref477434118 \r \h </w:instrText>
      </w:r>
      <w:r w:rsidR="006D6CC6">
        <w:rPr>
          <w:highlight w:val="yellow"/>
        </w:rPr>
        <w:instrText xml:space="preserve"> \* MERGEFORMAT </w:instrText>
      </w:r>
      <w:r w:rsidR="006D6CC6" w:rsidRPr="006D6CC6">
        <w:rPr>
          <w:highlight w:val="yellow"/>
        </w:rPr>
      </w:r>
      <w:r w:rsidR="006D6CC6" w:rsidRPr="006D6CC6">
        <w:rPr>
          <w:highlight w:val="yellow"/>
        </w:rPr>
        <w:fldChar w:fldCharType="separate"/>
      </w:r>
      <w:r w:rsidR="006D6CC6" w:rsidRPr="006D6CC6">
        <w:rPr>
          <w:highlight w:val="yellow"/>
        </w:rPr>
        <w:t>Figure 19</w:t>
      </w:r>
      <w:r w:rsidR="006D6CC6" w:rsidRPr="006D6CC6">
        <w:rPr>
          <w:highlight w:val="yellow"/>
        </w:rPr>
        <w:fldChar w:fldCharType="end"/>
      </w:r>
      <w:r w:rsidR="006D6CC6" w:rsidRPr="006D6CC6">
        <w:rPr>
          <w:highlight w:val="yellow"/>
        </w:rPr>
        <w:t xml:space="preserve">, </w:t>
      </w:r>
      <w:r w:rsidR="006D6CC6" w:rsidRPr="006D6CC6">
        <w:rPr>
          <w:highlight w:val="yellow"/>
        </w:rPr>
        <w:fldChar w:fldCharType="begin"/>
      </w:r>
      <w:r w:rsidR="006D6CC6" w:rsidRPr="006D6CC6">
        <w:rPr>
          <w:highlight w:val="yellow"/>
        </w:rPr>
        <w:instrText xml:space="preserve"> REF _Ref477434120 \r \h </w:instrText>
      </w:r>
      <w:r w:rsidR="006D6CC6">
        <w:rPr>
          <w:highlight w:val="yellow"/>
        </w:rPr>
        <w:instrText xml:space="preserve"> \* MERGEFORMAT </w:instrText>
      </w:r>
      <w:r w:rsidR="006D6CC6" w:rsidRPr="006D6CC6">
        <w:rPr>
          <w:highlight w:val="yellow"/>
        </w:rPr>
      </w:r>
      <w:r w:rsidR="006D6CC6" w:rsidRPr="006D6CC6">
        <w:rPr>
          <w:highlight w:val="yellow"/>
        </w:rPr>
        <w:fldChar w:fldCharType="separate"/>
      </w:r>
      <w:r w:rsidR="006D6CC6" w:rsidRPr="006D6CC6">
        <w:rPr>
          <w:highlight w:val="yellow"/>
        </w:rPr>
        <w:t>Figure 20</w:t>
      </w:r>
      <w:r w:rsidR="006D6CC6" w:rsidRPr="006D6CC6">
        <w:rPr>
          <w:highlight w:val="yellow"/>
        </w:rPr>
        <w:fldChar w:fldCharType="end"/>
      </w:r>
      <w:r w:rsidR="006D6CC6" w:rsidRPr="006D6CC6">
        <w:rPr>
          <w:highlight w:val="yellow"/>
        </w:rPr>
        <w:t xml:space="preserve">, </w:t>
      </w:r>
      <w:r w:rsidR="006D6CC6" w:rsidRPr="006D6CC6">
        <w:rPr>
          <w:highlight w:val="yellow"/>
        </w:rPr>
        <w:fldChar w:fldCharType="begin"/>
      </w:r>
      <w:r w:rsidR="006D6CC6" w:rsidRPr="006D6CC6">
        <w:rPr>
          <w:highlight w:val="yellow"/>
        </w:rPr>
        <w:instrText xml:space="preserve"> REF _Ref477434122 \r \h </w:instrText>
      </w:r>
      <w:r w:rsidR="006D6CC6">
        <w:rPr>
          <w:highlight w:val="yellow"/>
        </w:rPr>
        <w:instrText xml:space="preserve"> \* MERGEFORMAT </w:instrText>
      </w:r>
      <w:r w:rsidR="006D6CC6" w:rsidRPr="006D6CC6">
        <w:rPr>
          <w:highlight w:val="yellow"/>
        </w:rPr>
      </w:r>
      <w:r w:rsidR="006D6CC6" w:rsidRPr="006D6CC6">
        <w:rPr>
          <w:highlight w:val="yellow"/>
        </w:rPr>
        <w:fldChar w:fldCharType="separate"/>
      </w:r>
      <w:r w:rsidR="006D6CC6" w:rsidRPr="006D6CC6">
        <w:rPr>
          <w:highlight w:val="yellow"/>
        </w:rPr>
        <w:t>Figure 21</w:t>
      </w:r>
      <w:r w:rsidR="006D6CC6" w:rsidRPr="006D6CC6">
        <w:rPr>
          <w:highlight w:val="yellow"/>
        </w:rPr>
        <w:fldChar w:fldCharType="end"/>
      </w:r>
      <w:r w:rsidR="006D6CC6" w:rsidRPr="006D6CC6">
        <w:rPr>
          <w:highlight w:val="yellow"/>
        </w:rPr>
        <w:t xml:space="preserve">, </w:t>
      </w:r>
      <w:r w:rsidR="006D6CC6" w:rsidRPr="006D6CC6">
        <w:rPr>
          <w:highlight w:val="yellow"/>
        </w:rPr>
        <w:fldChar w:fldCharType="begin"/>
      </w:r>
      <w:r w:rsidR="006D6CC6" w:rsidRPr="006D6CC6">
        <w:rPr>
          <w:highlight w:val="yellow"/>
        </w:rPr>
        <w:instrText xml:space="preserve"> REF _Ref477434124 \r \h </w:instrText>
      </w:r>
      <w:r w:rsidR="006D6CC6">
        <w:rPr>
          <w:highlight w:val="yellow"/>
        </w:rPr>
        <w:instrText xml:space="preserve"> \* MERGEFORMAT </w:instrText>
      </w:r>
      <w:r w:rsidR="006D6CC6" w:rsidRPr="006D6CC6">
        <w:rPr>
          <w:highlight w:val="yellow"/>
        </w:rPr>
      </w:r>
      <w:r w:rsidR="006D6CC6" w:rsidRPr="006D6CC6">
        <w:rPr>
          <w:highlight w:val="yellow"/>
        </w:rPr>
        <w:fldChar w:fldCharType="separate"/>
      </w:r>
      <w:r w:rsidR="006D6CC6" w:rsidRPr="006D6CC6">
        <w:rPr>
          <w:highlight w:val="yellow"/>
        </w:rPr>
        <w:t>Figure 22</w:t>
      </w:r>
      <w:r w:rsidR="006D6CC6" w:rsidRPr="006D6CC6">
        <w:rPr>
          <w:highlight w:val="yellow"/>
        </w:rPr>
        <w:fldChar w:fldCharType="end"/>
      </w:r>
      <w:r w:rsidR="006D6CC6" w:rsidRPr="006D6CC6">
        <w:rPr>
          <w:highlight w:val="yellow"/>
        </w:rPr>
        <w:t>.]</w:t>
      </w:r>
    </w:p>
    <w:p w14:paraId="57210C63" w14:textId="77777777" w:rsidR="00DF4F84" w:rsidRDefault="00DF4F84" w:rsidP="00DF4F84">
      <w:pPr>
        <w:pStyle w:val="BodyText"/>
      </w:pPr>
    </w:p>
    <w:p w14:paraId="29E50B48" w14:textId="77777777" w:rsidR="00DF4F84" w:rsidRPr="00DF4F84" w:rsidRDefault="00DF4F84" w:rsidP="00DF4F84">
      <w:pPr>
        <w:pStyle w:val="BodyText"/>
      </w:pPr>
    </w:p>
    <w:p w14:paraId="52EE906A" w14:textId="77777777" w:rsidR="00680E34" w:rsidRPr="00680E34" w:rsidRDefault="00190832" w:rsidP="00DF4F84">
      <w:pPr>
        <w:pStyle w:val="FigureCaption"/>
      </w:pPr>
      <w:bookmarkStart w:id="138" w:name="_Ref477434118"/>
      <w:bookmarkStart w:id="139" w:name="_Toc486492013"/>
      <w:r>
        <w:t xml:space="preserve">Comparison of </w:t>
      </w:r>
      <w:r w:rsidR="00CE1F4C">
        <w:t xml:space="preserve">the three </w:t>
      </w:r>
      <w:r>
        <w:t>scenarios</w:t>
      </w:r>
      <w:r w:rsidR="005E39BC">
        <w:t xml:space="preserve">, showing </w:t>
      </w:r>
      <w:r w:rsidR="00DF4F84">
        <w:t>water-level h</w:t>
      </w:r>
      <w:r w:rsidR="00DF4F84" w:rsidRPr="00D80415">
        <w:t>ydrographs</w:t>
      </w:r>
      <w:r>
        <w:t xml:space="preserve"> for selected sites.</w:t>
      </w:r>
      <w:bookmarkEnd w:id="138"/>
      <w:bookmarkEnd w:id="139"/>
      <w:r w:rsidR="002106D5" w:rsidRPr="00680E34">
        <w:t xml:space="preserve"> </w:t>
      </w:r>
    </w:p>
    <w:p w14:paraId="25270262" w14:textId="77777777" w:rsidR="00265537" w:rsidRDefault="002106D5" w:rsidP="00D80415">
      <w:pPr>
        <w:pStyle w:val="FigureCaption"/>
      </w:pPr>
      <w:bookmarkStart w:id="140" w:name="_Ref477434120"/>
      <w:bookmarkStart w:id="141" w:name="_Toc486492014"/>
      <w:r>
        <w:t>Simulated w</w:t>
      </w:r>
      <w:r w:rsidR="00D80415">
        <w:t>a</w:t>
      </w:r>
      <w:r>
        <w:t>ter-level change maps</w:t>
      </w:r>
      <w:r w:rsidR="00522C15">
        <w:t xml:space="preserve"> </w:t>
      </w:r>
      <w:r>
        <w:t xml:space="preserve">from </w:t>
      </w:r>
      <w:r w:rsidR="007A1D52">
        <w:t>2005</w:t>
      </w:r>
      <w:r>
        <w:t xml:space="preserve"> to 2015</w:t>
      </w:r>
      <w:r w:rsidR="00522C15">
        <w:t xml:space="preserve"> for </w:t>
      </w:r>
      <w:r w:rsidR="00CE1F4C">
        <w:t>drought scenarios 1 and 2</w:t>
      </w:r>
      <w:r>
        <w:t xml:space="preserve"> </w:t>
      </w:r>
      <w:r w:rsidR="001854B1">
        <w:t>for</w:t>
      </w:r>
      <w:r w:rsidR="00522C15">
        <w:t xml:space="preserve">, </w:t>
      </w:r>
      <w:r w:rsidR="00522C15" w:rsidRPr="00522C15">
        <w:rPr>
          <w:i/>
        </w:rPr>
        <w:t>A</w:t>
      </w:r>
      <w:r w:rsidR="00522C15">
        <w:t>,</w:t>
      </w:r>
      <w:r>
        <w:t xml:space="preserve"> the</w:t>
      </w:r>
      <w:r w:rsidR="001854B1">
        <w:t xml:space="preserve"> glacial aquifer system</w:t>
      </w:r>
      <w:r w:rsidR="00D80415">
        <w:t xml:space="preserve"> </w:t>
      </w:r>
      <w:r w:rsidR="00522C15">
        <w:t xml:space="preserve">and, </w:t>
      </w:r>
      <w:r w:rsidR="00522C15" w:rsidRPr="00522C15">
        <w:rPr>
          <w:i/>
        </w:rPr>
        <w:t>B</w:t>
      </w:r>
      <w:r w:rsidR="00522C15">
        <w:t>,</w:t>
      </w:r>
      <w:r w:rsidR="00D80415">
        <w:t xml:space="preserve"> </w:t>
      </w:r>
      <w:r w:rsidR="00522C15">
        <w:t xml:space="preserve">the </w:t>
      </w:r>
      <w:r w:rsidR="00D80415">
        <w:t>upper Fort Union aquifer</w:t>
      </w:r>
      <w:r w:rsidR="001854B1">
        <w:t>.</w:t>
      </w:r>
      <w:r>
        <w:t xml:space="preserve"> </w:t>
      </w:r>
      <w:r w:rsidRPr="002106D5">
        <w:rPr>
          <w:highlight w:val="yellow"/>
        </w:rPr>
        <w:t>[**</w:t>
      </w:r>
      <w:proofErr w:type="gramStart"/>
      <w:r w:rsidRPr="002106D5">
        <w:rPr>
          <w:highlight w:val="yellow"/>
        </w:rPr>
        <w:t>four</w:t>
      </w:r>
      <w:proofErr w:type="gramEnd"/>
      <w:r w:rsidRPr="002106D5">
        <w:rPr>
          <w:highlight w:val="yellow"/>
        </w:rPr>
        <w:t xml:space="preserve"> maps on one page]</w:t>
      </w:r>
      <w:bookmarkEnd w:id="140"/>
      <w:bookmarkEnd w:id="141"/>
    </w:p>
    <w:p w14:paraId="64933534" w14:textId="77777777" w:rsidR="00D80415" w:rsidRDefault="000572C1" w:rsidP="00D80415">
      <w:pPr>
        <w:pStyle w:val="FigureCaption"/>
      </w:pPr>
      <w:bookmarkStart w:id="142" w:name="_Ref477434122"/>
      <w:bookmarkStart w:id="143" w:name="_Toc486492015"/>
      <w:r>
        <w:t>Simulated c</w:t>
      </w:r>
      <w:r w:rsidR="00D80415" w:rsidRPr="00D80415">
        <w:t>hange in gr</w:t>
      </w:r>
      <w:r w:rsidR="002106D5">
        <w:t xml:space="preserve">oundwater-flow </w:t>
      </w:r>
      <w:commentRangeStart w:id="144"/>
      <w:r w:rsidR="002106D5">
        <w:t>budget</w:t>
      </w:r>
      <w:commentRangeEnd w:id="144"/>
      <w:r w:rsidR="00D40D55">
        <w:rPr>
          <w:rStyle w:val="CommentReference"/>
          <w:rFonts w:ascii="Times New Roman" w:hAnsi="Times New Roman"/>
        </w:rPr>
        <w:commentReference w:id="144"/>
      </w:r>
      <w:r w:rsidR="002106D5">
        <w:t xml:space="preserve"> from </w:t>
      </w:r>
      <w:r w:rsidR="007A1D52">
        <w:t>2005</w:t>
      </w:r>
      <w:r w:rsidR="00D80415" w:rsidRPr="00D80415">
        <w:t xml:space="preserve"> to 2015 for</w:t>
      </w:r>
      <w:r>
        <w:t xml:space="preserve"> the</w:t>
      </w:r>
      <w:r w:rsidR="00D80415" w:rsidRPr="00D80415">
        <w:t xml:space="preserve"> glacial</w:t>
      </w:r>
      <w:r>
        <w:t xml:space="preserve"> aquifer system</w:t>
      </w:r>
      <w:r w:rsidR="00D80415" w:rsidRPr="00D80415">
        <w:t>, upper Fort Union</w:t>
      </w:r>
      <w:r>
        <w:t xml:space="preserve"> aquifer, and Fox Hills aquifer</w:t>
      </w:r>
      <w:r w:rsidR="007A1D52">
        <w:t xml:space="preserve"> [</w:t>
      </w:r>
      <w:r w:rsidR="007A1D52" w:rsidRPr="007A1D52">
        <w:rPr>
          <w:highlight w:val="yellow"/>
        </w:rPr>
        <w:t>**</w:t>
      </w:r>
      <w:r w:rsidR="00D80415" w:rsidRPr="007A1D52">
        <w:rPr>
          <w:highlight w:val="yellow"/>
        </w:rPr>
        <w:t>this would likely show that most groundwater being removed from shallower aquifers and lesser stress on the deeper aquifers</w:t>
      </w:r>
      <w:r w:rsidR="007A1D52">
        <w:rPr>
          <w:highlight w:val="yellow"/>
        </w:rPr>
        <w:t>. We could six pie charts: glacia</w:t>
      </w:r>
      <w:r w:rsidR="001A22D6">
        <w:rPr>
          <w:highlight w:val="yellow"/>
        </w:rPr>
        <w:t>l, UFU, and FH for 2005 and 2015</w:t>
      </w:r>
      <w:r w:rsidR="007A1D52">
        <w:rPr>
          <w:highlight w:val="yellow"/>
        </w:rPr>
        <w:t>.]</w:t>
      </w:r>
      <w:bookmarkEnd w:id="142"/>
      <w:bookmarkEnd w:id="143"/>
    </w:p>
    <w:p w14:paraId="7E6CF04B" w14:textId="77777777" w:rsidR="00D80415" w:rsidRPr="00D80415" w:rsidRDefault="00D80415" w:rsidP="00D80415">
      <w:pPr>
        <w:pStyle w:val="FigureCaption"/>
      </w:pPr>
      <w:bookmarkStart w:id="145" w:name="_Ref477434124"/>
      <w:bookmarkStart w:id="146" w:name="_Toc486492016"/>
      <w:r w:rsidRPr="00D80415">
        <w:t>Cumulative change in groundwater</w:t>
      </w:r>
      <w:r w:rsidR="007A1D52">
        <w:t xml:space="preserve"> storage by aquifer system, 2005</w:t>
      </w:r>
      <w:r w:rsidRPr="00D80415">
        <w:t>-</w:t>
      </w:r>
      <w:commentRangeStart w:id="147"/>
      <w:r w:rsidRPr="00D80415">
        <w:t>2015</w:t>
      </w:r>
      <w:commentRangeEnd w:id="147"/>
      <w:r w:rsidR="00AB590C">
        <w:rPr>
          <w:rStyle w:val="CommentReference"/>
          <w:rFonts w:ascii="Times New Roman" w:hAnsi="Times New Roman"/>
        </w:rPr>
        <w:commentReference w:id="147"/>
      </w:r>
      <w:r>
        <w:t>.</w:t>
      </w:r>
      <w:bookmarkEnd w:id="145"/>
      <w:bookmarkEnd w:id="146"/>
    </w:p>
    <w:p w14:paraId="344B565F" w14:textId="77777777" w:rsidR="0044039E" w:rsidRDefault="0044039E" w:rsidP="001B61C6">
      <w:pPr>
        <w:pStyle w:val="Heading1"/>
      </w:pPr>
      <w:bookmarkStart w:id="148" w:name="_Toc468441121"/>
      <w:bookmarkStart w:id="149" w:name="_Toc477244274"/>
      <w:r>
        <w:lastRenderedPageBreak/>
        <w:t>Improving Hydrologic Monitoring Networks</w:t>
      </w:r>
      <w:bookmarkEnd w:id="148"/>
      <w:bookmarkEnd w:id="149"/>
    </w:p>
    <w:p w14:paraId="493D4E5B" w14:textId="77777777" w:rsidR="0044039E" w:rsidRDefault="0044039E" w:rsidP="0044039E">
      <w:pPr>
        <w:pStyle w:val="BodyText"/>
      </w:pPr>
      <w:r>
        <w:t xml:space="preserve">Because of the costs and resources needed to install </w:t>
      </w:r>
      <w:r w:rsidR="005E781B">
        <w:t>hydrologic</w:t>
      </w:r>
      <w:r>
        <w:t xml:space="preserve"> monitoring networks, their design should be well planned and have specific objectives. If a numerical groundwater-flow model is used to inform water-management decisions, an objective might be to design a monitoring network that would provide data that best improves the model’s usefulness and defensibility. </w:t>
      </w:r>
    </w:p>
    <w:p w14:paraId="4FF3DCB6" w14:textId="77777777" w:rsidR="0044039E" w:rsidRDefault="0044039E" w:rsidP="0044039E">
      <w:pPr>
        <w:pStyle w:val="BodyText"/>
      </w:pPr>
      <w:proofErr w:type="gramStart"/>
      <w:r>
        <w:t>Uncertainty of simulated hydrologic forecasts, also known as predictive uncertainty, can be reduced by providing additional data to better inform model calibration</w:t>
      </w:r>
      <w:proofErr w:type="gramEnd"/>
      <w:r>
        <w:t>.</w:t>
      </w:r>
      <w:r w:rsidRPr="00700409">
        <w:t xml:space="preserve"> </w:t>
      </w:r>
      <w:r>
        <w:t xml:space="preserve">If the new data were to come from a new observation well, for example, the degree of uncertainty reduction depends on the specific location of this well. One way to determine the best locations for a new observation well is to apply a method described by </w:t>
      </w:r>
      <w:proofErr w:type="spellStart"/>
      <w:r>
        <w:t>Fienen</w:t>
      </w:r>
      <w:proofErr w:type="spellEnd"/>
      <w:r>
        <w:t xml:space="preserve"> and others (2010) and White and others (2016), which hereafter </w:t>
      </w:r>
      <w:proofErr w:type="gramStart"/>
      <w:r>
        <w:t>is</w:t>
      </w:r>
      <w:proofErr w:type="gramEnd"/>
      <w:r>
        <w:t xml:space="preserve"> referred to as a “data-worth analysis.”</w:t>
      </w:r>
      <w:r w:rsidRPr="00B868E5">
        <w:t xml:space="preserve"> </w:t>
      </w:r>
      <w:r>
        <w:t xml:space="preserve">For example, the model might be used to forecast the effects of a new pumping well on streamflow. If water-level data from a new observation well were used to update the model calibration, this could reduce model uncertainty associated with this forecast of interest, depending on the location of that well. The data-worth value is equal to the forecast uncertainty when a new observation well is included in model calibration divided by the forecast uncertainty without the new well. A data-worth map would show the relative value of additional groundwater-level data at different locations. </w:t>
      </w:r>
    </w:p>
    <w:p w14:paraId="59672249" w14:textId="77777777" w:rsidR="0044039E" w:rsidRDefault="0044039E" w:rsidP="0044039E">
      <w:pPr>
        <w:pStyle w:val="BodyText"/>
      </w:pPr>
      <w:r>
        <w:t xml:space="preserve">As an example, the data-worth analysis was applied to hydrologic forecasts of interest for the Williston basin simulated by the steady-state model (1981‒2005) described by </w:t>
      </w:r>
      <w:r w:rsidR="00F010EF">
        <w:t>Davis and Long (2017a</w:t>
      </w:r>
      <w:proofErr w:type="gramStart"/>
      <w:r w:rsidR="00F010EF">
        <w:t xml:space="preserve">) </w:t>
      </w:r>
      <w:r>
        <w:t>.</w:t>
      </w:r>
      <w:proofErr w:type="gramEnd"/>
      <w:r>
        <w:t xml:space="preserve"> Therefore, the analysis applies to equilibrium conditions, but a similar analysis could be applied to scenarios simulating a finite time period. The analysis area includes the Clear Lake and Little Muddy aquifers (</w:t>
      </w:r>
      <w:r>
        <w:fldChar w:fldCharType="begin"/>
      </w:r>
      <w:r>
        <w:instrText xml:space="preserve"> REF _Ref445973870 \r \h </w:instrText>
      </w:r>
      <w:r>
        <w:fldChar w:fldCharType="separate"/>
      </w:r>
      <w:r w:rsidR="009C3469">
        <w:t>Figure 23</w:t>
      </w:r>
      <w:r>
        <w:fldChar w:fldCharType="end"/>
      </w:r>
      <w:r>
        <w:t>). A simulated pumping well was added t</w:t>
      </w:r>
      <w:r w:rsidR="004809F7">
        <w:t>o</w:t>
      </w:r>
      <w:r w:rsidR="00721589">
        <w:t xml:space="preserve"> the area </w:t>
      </w:r>
      <w:r w:rsidR="00721589">
        <w:lastRenderedPageBreak/>
        <w:t>representing the Clear Lake aquifer in</w:t>
      </w:r>
      <w:r w:rsidR="004809F7">
        <w:t xml:space="preserve"> model layer 2 at a ra</w:t>
      </w:r>
      <w:r w:rsidR="00721589">
        <w:t xml:space="preserve">te of </w:t>
      </w:r>
      <w:r w:rsidR="002A13BD">
        <w:t>2.8</w:t>
      </w:r>
      <w:r w:rsidR="00721589">
        <w:t xml:space="preserve"> ft</w:t>
      </w:r>
      <w:r w:rsidR="00721589" w:rsidRPr="00721589">
        <w:rPr>
          <w:vertAlign w:val="superscript"/>
        </w:rPr>
        <w:t>3</w:t>
      </w:r>
      <w:r w:rsidR="00721589">
        <w:t>/s</w:t>
      </w:r>
      <w:r>
        <w:t xml:space="preserve">, and seven locations along the Big Muddy Creek and its tributaries </w:t>
      </w:r>
      <w:r w:rsidR="009C3469">
        <w:t>(</w:t>
      </w:r>
      <w:r w:rsidR="009C3469">
        <w:fldChar w:fldCharType="begin"/>
      </w:r>
      <w:r w:rsidR="009C3469">
        <w:instrText xml:space="preserve"> REF _Ref445973870 \r \h </w:instrText>
      </w:r>
      <w:r w:rsidR="009C3469">
        <w:fldChar w:fldCharType="separate"/>
      </w:r>
      <w:r w:rsidR="009C3469">
        <w:t>Figure 23</w:t>
      </w:r>
      <w:r w:rsidR="009C3469">
        <w:fldChar w:fldCharType="end"/>
      </w:r>
      <w:r w:rsidR="009C3469">
        <w:t xml:space="preserve">, sites F1-F7) </w:t>
      </w:r>
      <w:r>
        <w:t>were selected as sites to forecast the effects of the pumping well on streamflow</w:t>
      </w:r>
      <w:r w:rsidR="009C3469">
        <w:t xml:space="preserve">. </w:t>
      </w:r>
      <w:r w:rsidR="009C3469">
        <w:fldChar w:fldCharType="begin"/>
      </w:r>
      <w:r w:rsidR="009C3469">
        <w:instrText xml:space="preserve"> REF _Ref445973870 \r \h </w:instrText>
      </w:r>
      <w:r w:rsidR="009C3469">
        <w:fldChar w:fldCharType="separate"/>
      </w:r>
      <w:r w:rsidR="009C3469">
        <w:t>Figure 23</w:t>
      </w:r>
      <w:r w:rsidR="009C3469">
        <w:fldChar w:fldCharType="end"/>
      </w:r>
      <w:r>
        <w:t xml:space="preserve"> shows the results of the data-worth analysis applied to site F3. The simulated glacial aquifer system, represented by model layers 1 and 2, was unsaturated in upland areas, and therefore, results of the data-worth analysis primarily are restricted to lowland areas, where observation wells could be installed (</w:t>
      </w:r>
      <w:r>
        <w:fldChar w:fldCharType="begin"/>
      </w:r>
      <w:r>
        <w:instrText xml:space="preserve"> REF _Ref445973870 \r \h </w:instrText>
      </w:r>
      <w:r>
        <w:fldChar w:fldCharType="separate"/>
      </w:r>
      <w:r w:rsidR="009C3469">
        <w:t>Figure 23</w:t>
      </w:r>
      <w:r>
        <w:fldChar w:fldCharType="end"/>
      </w:r>
      <w:r>
        <w:t xml:space="preserve">). Simulated groundwater flow generally is in the direction of surface-water flow, toward the Missouri River, except for the northeast corner of </w:t>
      </w:r>
      <w:r>
        <w:fldChar w:fldCharType="begin"/>
      </w:r>
      <w:r>
        <w:instrText xml:space="preserve"> REF _Ref445973870 \r \h </w:instrText>
      </w:r>
      <w:r>
        <w:fldChar w:fldCharType="separate"/>
      </w:r>
      <w:r w:rsidR="009C3469">
        <w:t>Figure 23</w:t>
      </w:r>
      <w:r>
        <w:fldChar w:fldCharType="end"/>
      </w:r>
      <w:r>
        <w:t>, which is north of a groundwater divide that generally corresponds to a surface-water divide.</w:t>
      </w:r>
    </w:p>
    <w:p w14:paraId="649B2122" w14:textId="77777777" w:rsidR="0044039E" w:rsidRDefault="0044039E" w:rsidP="0044039E">
      <w:pPr>
        <w:pStyle w:val="BodyText"/>
      </w:pPr>
      <w:r>
        <w:t xml:space="preserve">The streamflow forecast locations and pumping well </w:t>
      </w:r>
      <w:proofErr w:type="gramStart"/>
      <w:r>
        <w:t>are</w:t>
      </w:r>
      <w:proofErr w:type="gramEnd"/>
      <w:r>
        <w:t xml:space="preserve"> on the south side of the groundwater divide (</w:t>
      </w:r>
      <w:r>
        <w:fldChar w:fldCharType="begin"/>
      </w:r>
      <w:r>
        <w:instrText xml:space="preserve"> REF _Ref445973870 \r \h </w:instrText>
      </w:r>
      <w:r>
        <w:fldChar w:fldCharType="separate"/>
      </w:r>
      <w:r w:rsidR="009C3469">
        <w:t>Figure 23</w:t>
      </w:r>
      <w:r>
        <w:fldChar w:fldCharType="end"/>
      </w:r>
      <w:r>
        <w:t>); counterintuitively, however, most of the good locations for a new observation well are on the northeast side of this divide. The first reason for this outcome is that numerous observation wells are located south of the divide (</w:t>
      </w:r>
      <w:r>
        <w:fldChar w:fldCharType="begin"/>
      </w:r>
      <w:r>
        <w:instrText xml:space="preserve"> REF _Ref445973870 \r \h </w:instrText>
      </w:r>
      <w:r>
        <w:fldChar w:fldCharType="separate"/>
      </w:r>
      <w:r w:rsidR="009C3469">
        <w:t>Figure 23</w:t>
      </w:r>
      <w:r>
        <w:fldChar w:fldCharType="end"/>
      </w:r>
      <w:r>
        <w:t xml:space="preserve">), and therefore, little would be gained by adding more observation wells in those locations. The second reason is that water levels near the upgradient divide help inform the groundwater balance between pumped water derived from streams and groundwater from the surrounding aquifer. Site F3 is on the main stem of the Big Muddy Creek, where base flow is affected by all upstream tributaries; therefore, results of the data-worth analysis indicate that an observation well northeast of the Big Muddy Creek watershed best represents overall groundwater levels within the watershed, with respect to informing the interaction of surface water and groundwater. </w:t>
      </w:r>
    </w:p>
    <w:p w14:paraId="2E5314A8" w14:textId="77777777" w:rsidR="0044039E" w:rsidRDefault="0044039E" w:rsidP="00B72615">
      <w:pPr>
        <w:pStyle w:val="BodyText"/>
      </w:pPr>
      <w:r>
        <w:t xml:space="preserve">The data-worth analysis also was applied to the other six stream sites </w:t>
      </w:r>
      <w:r w:rsidR="009C3469">
        <w:t xml:space="preserve">shown on </w:t>
      </w:r>
      <w:r>
        <w:fldChar w:fldCharType="begin"/>
      </w:r>
      <w:r>
        <w:instrText xml:space="preserve"> REF _Ref445973870 \r \h </w:instrText>
      </w:r>
      <w:r>
        <w:fldChar w:fldCharType="separate"/>
      </w:r>
      <w:r w:rsidR="009C3469">
        <w:t>Figure 23</w:t>
      </w:r>
      <w:r>
        <w:fldChar w:fldCharType="end"/>
      </w:r>
      <w:r>
        <w:t xml:space="preserve">. Results for sites F2 and F6 were similar to those of site F3. Site F6 is on the main stem and, therefore, responds similarly to site F3, which also is on the main stem. Site F2 is on a small </w:t>
      </w:r>
      <w:r>
        <w:lastRenderedPageBreak/>
        <w:t xml:space="preserve">tributary north of the main stem, and the data-worth analysis indicates that this site would benefit from an observation well that also would benefit sites on the main stem. </w:t>
      </w:r>
      <w:r w:rsidR="00B72615">
        <w:fldChar w:fldCharType="begin"/>
      </w:r>
      <w:r w:rsidR="00B72615">
        <w:instrText xml:space="preserve"> REF _Ref477434944 \r \h </w:instrText>
      </w:r>
      <w:r w:rsidR="00B72615">
        <w:fldChar w:fldCharType="separate"/>
      </w:r>
      <w:r w:rsidR="00B72615">
        <w:t>Figure 24</w:t>
      </w:r>
      <w:r w:rsidR="00B72615">
        <w:fldChar w:fldCharType="end"/>
      </w:r>
      <w:r w:rsidR="00B72615">
        <w:t xml:space="preserve"> shows results of the data-worth analysis for site F7. </w:t>
      </w:r>
      <w:r>
        <w:t>Although site F7 also is on the main stem, the analysis for this site differs from results for site F3: the highest data worth for site F7 is shifted to the southwest in comparison to site F3 (</w:t>
      </w:r>
      <w:r>
        <w:fldChar w:fldCharType="begin"/>
      </w:r>
      <w:r>
        <w:instrText xml:space="preserve"> REF _Ref445973870 \r \h </w:instrText>
      </w:r>
      <w:r>
        <w:fldChar w:fldCharType="separate"/>
      </w:r>
      <w:r w:rsidR="009C3469">
        <w:t>Figure 23</w:t>
      </w:r>
      <w:r>
        <w:fldChar w:fldCharType="end"/>
      </w:r>
      <w:r w:rsidR="00B72615">
        <w:t xml:space="preserve"> and </w:t>
      </w:r>
      <w:r w:rsidR="00B72615">
        <w:fldChar w:fldCharType="begin"/>
      </w:r>
      <w:r w:rsidR="00B72615">
        <w:instrText xml:space="preserve"> REF _Ref477435011 \r \h </w:instrText>
      </w:r>
      <w:r w:rsidR="00B72615">
        <w:fldChar w:fldCharType="separate"/>
      </w:r>
      <w:r w:rsidR="00B72615">
        <w:t>Figure 24</w:t>
      </w:r>
      <w:r w:rsidR="00B72615">
        <w:fldChar w:fldCharType="end"/>
      </w:r>
      <w:r>
        <w:t>). Because site F7 is upstream of large tributaries on the north side of the main stem, the most beneficial observation well would be in areas closer to site F7 than those for site F3 (</w:t>
      </w:r>
      <w:r w:rsidR="00B72615">
        <w:fldChar w:fldCharType="begin"/>
      </w:r>
      <w:r w:rsidR="00B72615">
        <w:instrText xml:space="preserve"> REF _Ref445973870 \r \h </w:instrText>
      </w:r>
      <w:r w:rsidR="00B72615">
        <w:fldChar w:fldCharType="separate"/>
      </w:r>
      <w:r w:rsidR="00B72615">
        <w:t>Figure 23</w:t>
      </w:r>
      <w:r w:rsidR="00B72615">
        <w:fldChar w:fldCharType="end"/>
      </w:r>
      <w:r w:rsidR="00B72615">
        <w:t xml:space="preserve"> and </w:t>
      </w:r>
      <w:r w:rsidR="00B72615">
        <w:fldChar w:fldCharType="begin"/>
      </w:r>
      <w:r w:rsidR="00B72615">
        <w:instrText xml:space="preserve"> REF _Ref477435011 \r \h </w:instrText>
      </w:r>
      <w:r w:rsidR="00B72615">
        <w:fldChar w:fldCharType="separate"/>
      </w:r>
      <w:r w:rsidR="00B72615">
        <w:t>Figure 24</w:t>
      </w:r>
      <w:r w:rsidR="00B72615">
        <w:fldChar w:fldCharType="end"/>
      </w:r>
      <w:r>
        <w:t xml:space="preserve">). Results of the analysis applied to sites F1, F4, and F5, which are on south or southwest tributaries, are dissimilar to results previously described and indicate low data worth in general, including the northeast corner of the analysis area. </w:t>
      </w:r>
    </w:p>
    <w:p w14:paraId="444C3BCF" w14:textId="77777777" w:rsidR="0044039E" w:rsidRDefault="0044039E" w:rsidP="0044039E">
      <w:pPr>
        <w:pStyle w:val="BodyText"/>
      </w:pPr>
      <w:r>
        <w:t>The general pattern for the data-worth analysis is that stream sites on the main stem and northern tributaries have the highest data-worth values and that stream sites on south and southwest tributaries have the lowest data-worth values. The area with the highest data worth for most sites is the northeast corner of the analysis area</w:t>
      </w:r>
      <w:r w:rsidR="00705CD7">
        <w:t xml:space="preserve">, similar to that shown on </w:t>
      </w:r>
      <w:r>
        <w:fldChar w:fldCharType="begin"/>
      </w:r>
      <w:r>
        <w:instrText xml:space="preserve"> REF _Ref445973870 \r \h </w:instrText>
      </w:r>
      <w:r>
        <w:fldChar w:fldCharType="separate"/>
      </w:r>
      <w:r w:rsidR="009C3469">
        <w:t>Figure 23</w:t>
      </w:r>
      <w:r>
        <w:fldChar w:fldCharType="end"/>
      </w:r>
      <w:r>
        <w:t xml:space="preserve">. </w:t>
      </w:r>
    </w:p>
    <w:p w14:paraId="3B9F58AE" w14:textId="77777777" w:rsidR="0044039E" w:rsidRDefault="0044039E" w:rsidP="0044039E">
      <w:pPr>
        <w:pStyle w:val="BodyText"/>
      </w:pPr>
      <w:r>
        <w:t xml:space="preserve">Data-worth analyses also were conducted for forecasts of groundwater level; these analyses were for six locations where groundwater-level forecasts influenced by a pumping well were desired. </w:t>
      </w:r>
      <w:r w:rsidR="00415387">
        <w:fldChar w:fldCharType="begin"/>
      </w:r>
      <w:r w:rsidR="00415387">
        <w:instrText xml:space="preserve"> REF _Ref477435258 \r \h </w:instrText>
      </w:r>
      <w:r w:rsidR="00415387">
        <w:fldChar w:fldCharType="separate"/>
      </w:r>
      <w:r w:rsidR="00415387">
        <w:t>Figure 25</w:t>
      </w:r>
      <w:r w:rsidR="00415387">
        <w:fldChar w:fldCharType="end"/>
      </w:r>
      <w:r w:rsidR="00415387">
        <w:t xml:space="preserve"> </w:t>
      </w:r>
      <w:r>
        <w:t>shows an example of the results for site H4; results for all sites, except for site H5, were similar to those of site H4. The greatest data worth for site H5 was in the same area as that of site F7 (</w:t>
      </w:r>
      <w:r w:rsidR="00415387">
        <w:fldChar w:fldCharType="begin"/>
      </w:r>
      <w:r w:rsidR="00415387">
        <w:instrText xml:space="preserve"> REF _Ref477435353 \r \h </w:instrText>
      </w:r>
      <w:r w:rsidR="00415387">
        <w:fldChar w:fldCharType="separate"/>
      </w:r>
      <w:r w:rsidR="00415387">
        <w:t>Figure 24</w:t>
      </w:r>
      <w:r w:rsidR="00415387">
        <w:fldChar w:fldCharType="end"/>
      </w:r>
      <w:r w:rsidR="00415387">
        <w:t xml:space="preserve">, </w:t>
      </w:r>
      <w:r w:rsidR="00415387">
        <w:fldChar w:fldCharType="begin"/>
      </w:r>
      <w:r w:rsidR="00415387">
        <w:instrText xml:space="preserve"> REF _Ref467592986 \r \h </w:instrText>
      </w:r>
      <w:r w:rsidR="00415387">
        <w:fldChar w:fldCharType="separate"/>
      </w:r>
      <w:r w:rsidR="00415387">
        <w:t>Figure 26</w:t>
      </w:r>
      <w:r w:rsidR="00415387">
        <w:fldChar w:fldCharType="end"/>
      </w:r>
      <w:r>
        <w:t>). Data worth for the groundwater-level forecasts ca</w:t>
      </w:r>
      <w:r w:rsidR="00415387">
        <w:t>n, in general, be explained by</w:t>
      </w:r>
      <w:r>
        <w:t xml:space="preserve"> reasons similar to those for the streamflow forecasts. If forecasts were desired for all 13 sites in this analysis, the best overall location for a new observation well would be in northeast corner of the analysis area.</w:t>
      </w:r>
    </w:p>
    <w:p w14:paraId="6B19D4F0" w14:textId="77777777" w:rsidR="0044039E" w:rsidRDefault="0044039E" w:rsidP="0044039E">
      <w:pPr>
        <w:pStyle w:val="FigureCaption"/>
      </w:pPr>
      <w:bookmarkStart w:id="150" w:name="_Ref445973870"/>
      <w:bookmarkStart w:id="151" w:name="_Toc468707891"/>
      <w:bookmarkStart w:id="152" w:name="_Toc486492017"/>
      <w:r>
        <w:lastRenderedPageBreak/>
        <w:t>Data-worth map for streamflow forecast site F3. The map shows the relative data-worth values associated with a potential new observation well that, if installed, could reduce simulated uncertainty of a streamflow forecast.</w:t>
      </w:r>
      <w:bookmarkEnd w:id="150"/>
      <w:bookmarkEnd w:id="151"/>
      <w:bookmarkEnd w:id="152"/>
      <w:r>
        <w:t xml:space="preserve"> </w:t>
      </w:r>
    </w:p>
    <w:p w14:paraId="590AF133" w14:textId="77777777" w:rsidR="00265537" w:rsidRDefault="0044039E" w:rsidP="0044039E">
      <w:pPr>
        <w:pStyle w:val="FigureCaption"/>
      </w:pPr>
      <w:bookmarkStart w:id="153" w:name="_Ref477434944"/>
      <w:bookmarkStart w:id="154" w:name="_Ref477435011"/>
      <w:bookmarkStart w:id="155" w:name="_Ref477435353"/>
      <w:bookmarkStart w:id="156" w:name="_Toc486492018"/>
      <w:r>
        <w:t>Data-worth map for streamflow forecast site F7. The map shows the relative data-worth values associated with a potential new observation well that, if installed, could reduce simulated uncertainty of a streamflow forecast.</w:t>
      </w:r>
      <w:bookmarkEnd w:id="153"/>
      <w:bookmarkEnd w:id="154"/>
      <w:bookmarkEnd w:id="155"/>
      <w:bookmarkEnd w:id="156"/>
    </w:p>
    <w:p w14:paraId="13D40EAB" w14:textId="77777777" w:rsidR="0044039E" w:rsidRDefault="0044039E" w:rsidP="0044039E">
      <w:pPr>
        <w:pStyle w:val="FigureCaption"/>
      </w:pPr>
      <w:bookmarkStart w:id="157" w:name="_Ref477435258"/>
      <w:bookmarkStart w:id="158" w:name="_Toc486492019"/>
      <w:r>
        <w:t>Data-worth map for groundwater-level forecast site H4. The map shows the relative data-worth values associated with a potential new observation well that, if installed, could reduce simulated uncertainty of a streamflow forecast.</w:t>
      </w:r>
      <w:bookmarkEnd w:id="157"/>
      <w:bookmarkEnd w:id="158"/>
    </w:p>
    <w:p w14:paraId="49436121" w14:textId="77777777" w:rsidR="0044039E" w:rsidRPr="005C6553" w:rsidRDefault="0044039E" w:rsidP="0044039E">
      <w:pPr>
        <w:pStyle w:val="FigureCaption"/>
      </w:pPr>
      <w:bookmarkStart w:id="159" w:name="_Ref467592986"/>
      <w:bookmarkStart w:id="160" w:name="_Toc468707894"/>
      <w:bookmarkStart w:id="161" w:name="_Toc486492020"/>
      <w:r>
        <w:t>Data-worth map for groundwater-level forecast site H5. The map shows the relative data-worth values associated with a potential new observation well that, if installed, could reduce simulated uncertainty of a streamflow forecast.</w:t>
      </w:r>
      <w:bookmarkEnd w:id="159"/>
      <w:bookmarkEnd w:id="160"/>
      <w:bookmarkEnd w:id="161"/>
    </w:p>
    <w:p w14:paraId="38F212DE" w14:textId="77777777" w:rsidR="0044039E" w:rsidRPr="0044039E" w:rsidRDefault="0044039E" w:rsidP="0044039E">
      <w:pPr>
        <w:pStyle w:val="BodyText"/>
      </w:pPr>
    </w:p>
    <w:p w14:paraId="39CAAD5C" w14:textId="77777777" w:rsidR="00991612" w:rsidRDefault="00991612" w:rsidP="003D4F1B">
      <w:pPr>
        <w:pStyle w:val="Heading1"/>
        <w:autoSpaceDE w:val="0"/>
      </w:pPr>
      <w:bookmarkStart w:id="162" w:name="_Toc477244275"/>
      <w:bookmarkStart w:id="163" w:name="_Toc59000064"/>
      <w:r>
        <w:t>Summary</w:t>
      </w:r>
      <w:bookmarkEnd w:id="162"/>
    </w:p>
    <w:p w14:paraId="2F696CAD" w14:textId="77777777" w:rsidR="00375D94" w:rsidRPr="00DC6924" w:rsidRDefault="00375D94" w:rsidP="003D4F1B">
      <w:pPr>
        <w:pStyle w:val="Heading1"/>
        <w:autoSpaceDE w:val="0"/>
      </w:pPr>
      <w:bookmarkStart w:id="164" w:name="_Toc477244276"/>
      <w:r>
        <w:t>References</w:t>
      </w:r>
      <w:r w:rsidRPr="00DC6924">
        <w:t xml:space="preserve"> Cited</w:t>
      </w:r>
      <w:bookmarkEnd w:id="163"/>
      <w:bookmarkEnd w:id="164"/>
    </w:p>
    <w:p w14:paraId="7A7B02E9" w14:textId="77777777" w:rsidR="001B7A90" w:rsidRDefault="001B7A90" w:rsidP="006E5D27">
      <w:pPr>
        <w:pStyle w:val="Reference"/>
      </w:pPr>
    </w:p>
    <w:p w14:paraId="5C2B8B38" w14:textId="77777777" w:rsidR="001B7A90" w:rsidRDefault="001B7A90" w:rsidP="006E5D27">
      <w:pPr>
        <w:pStyle w:val="Reference"/>
      </w:pPr>
      <w:r>
        <w:t>Examples:</w:t>
      </w:r>
    </w:p>
    <w:p w14:paraId="0D88D6D0" w14:textId="77777777" w:rsidR="006E5D27" w:rsidRDefault="006E5D27" w:rsidP="006E5D27">
      <w:pPr>
        <w:pStyle w:val="Reference"/>
      </w:pPr>
      <w:r w:rsidRPr="006E5D27">
        <w:t xml:space="preserve">Johnson, R.C., Mercier, T.J., and Brownfield, M.E., 2014, Spatial and stratigraphic distribution of water in oil shale of the Green River Formation using Fischer Assay, </w:t>
      </w:r>
      <w:proofErr w:type="spellStart"/>
      <w:r w:rsidRPr="006E5D27">
        <w:t>Piceance</w:t>
      </w:r>
      <w:proofErr w:type="spellEnd"/>
      <w:r w:rsidRPr="006E5D27">
        <w:t xml:space="preserve"> Basin, </w:t>
      </w:r>
      <w:r w:rsidRPr="006E5D27">
        <w:lastRenderedPageBreak/>
        <w:t xml:space="preserve">northwestern Colorado: U.S. Geological Survey Open-File Report 2014–1059, 57 p., </w:t>
      </w:r>
      <w:r>
        <w:t xml:space="preserve">accessed April 14, 2014, at </w:t>
      </w:r>
      <w:hyperlink r:id="rId25" w:history="1">
        <w:r w:rsidR="00D5633F" w:rsidRPr="00815C0A">
          <w:rPr>
            <w:rStyle w:val="Hyperlink"/>
          </w:rPr>
          <w:t>http://dx.doi.org/10.3133/ofr20141059</w:t>
        </w:r>
      </w:hyperlink>
      <w:r w:rsidRPr="006E5D27">
        <w:t>.</w:t>
      </w:r>
    </w:p>
    <w:p w14:paraId="55A59984" w14:textId="77777777" w:rsidR="00375D94" w:rsidRDefault="00375D94" w:rsidP="00375D94">
      <w:pPr>
        <w:pStyle w:val="Reference"/>
      </w:pPr>
      <w:r>
        <w:t>U.S. Environmental Protection Agency</w:t>
      </w:r>
      <w:r w:rsidRPr="00DC6924">
        <w:t xml:space="preserve">, 2000, National water quality inventory—1998 </w:t>
      </w:r>
      <w:r>
        <w:t>r</w:t>
      </w:r>
      <w:r w:rsidRPr="00DC6924">
        <w:t>eport</w:t>
      </w:r>
      <w:r>
        <w:t>:</w:t>
      </w:r>
      <w:r w:rsidRPr="00DC6924">
        <w:t xml:space="preserve"> U.S. Environmental Protection Agency Report EPA–841–F–00–006, </w:t>
      </w:r>
      <w:r>
        <w:t>45 p.</w:t>
      </w:r>
      <w:r w:rsidR="00D5633F">
        <w:t xml:space="preserve"> [Also available at</w:t>
      </w:r>
      <w:r w:rsidR="00D5633F" w:rsidRPr="00D5633F">
        <w:t xml:space="preserve"> </w:t>
      </w:r>
      <w:hyperlink r:id="rId26" w:history="1">
        <w:r w:rsidR="00D5633F" w:rsidRPr="00815C0A">
          <w:rPr>
            <w:rStyle w:val="Hyperlink"/>
          </w:rPr>
          <w:t>http://water.epa.gov/lawsregs/guidance/cwa/305b/98report_index.cfm</w:t>
        </w:r>
      </w:hyperlink>
      <w:r w:rsidR="00D5633F">
        <w:t>.]</w:t>
      </w:r>
    </w:p>
    <w:p w14:paraId="4CFF4062" w14:textId="77777777" w:rsidR="00375D94" w:rsidRDefault="00375D94" w:rsidP="00DA15BA">
      <w:pPr>
        <w:pStyle w:val="Reference"/>
      </w:pPr>
      <w:r>
        <w:t xml:space="preserve">U.S. Geological Survey, 2012, </w:t>
      </w:r>
      <w:proofErr w:type="gramStart"/>
      <w:r>
        <w:t>The</w:t>
      </w:r>
      <w:proofErr w:type="gramEnd"/>
      <w:r>
        <w:t xml:space="preserve"> national field manual for the collection of water-quality data (version 7): U.S. Geological Survey Techniques and Method, book 9, chaps. A1–A9, accessed April 5, 2013, at </w:t>
      </w:r>
      <w:hyperlink r:id="rId27" w:history="1">
        <w:r w:rsidR="006E5D27" w:rsidRPr="00C627A0">
          <w:rPr>
            <w:rStyle w:val="Hyperlink"/>
          </w:rPr>
          <w:t>http://water.usgs.gov/owq/FieldManual/</w:t>
        </w:r>
      </w:hyperlink>
      <w:r>
        <w:t>.</w:t>
      </w:r>
      <w:bookmarkStart w:id="165" w:name="_Toc59000065"/>
    </w:p>
    <w:p w14:paraId="7755CADC" w14:textId="77777777" w:rsidR="00DA15BA" w:rsidRDefault="00DA15BA" w:rsidP="00DA15BA">
      <w:pPr>
        <w:pStyle w:val="BodyText"/>
      </w:pPr>
    </w:p>
    <w:p w14:paraId="31546344" w14:textId="77777777" w:rsidR="00DA15BA" w:rsidRDefault="00DA15BA" w:rsidP="00DA15BA">
      <w:pPr>
        <w:pStyle w:val="BodyText"/>
        <w:sectPr w:rsidR="00DA15BA" w:rsidSect="0029519C">
          <w:footerReference w:type="default" r:id="rId28"/>
          <w:type w:val="oddPage"/>
          <w:pgSz w:w="12240" w:h="15840"/>
          <w:pgMar w:top="1440" w:right="1440" w:bottom="1440" w:left="1440" w:header="720" w:footer="720" w:gutter="0"/>
          <w:pgNumType w:start="1"/>
          <w:cols w:space="720"/>
          <w:titlePg/>
          <w:docGrid w:linePitch="360"/>
        </w:sectPr>
      </w:pPr>
      <w:r>
        <w:t>References from figs only: Love and Christiansen (1985); Peterson (1984);</w:t>
      </w:r>
    </w:p>
    <w:p w14:paraId="0D70FF99" w14:textId="77777777" w:rsidR="008973A5" w:rsidRDefault="00375D94" w:rsidP="00375D94">
      <w:pPr>
        <w:pStyle w:val="SectionHeading"/>
      </w:pPr>
      <w:bookmarkStart w:id="166" w:name="_Toc477244277"/>
      <w:r w:rsidRPr="00DC6924">
        <w:lastRenderedPageBreak/>
        <w:t>Glossary</w:t>
      </w:r>
      <w:bookmarkEnd w:id="165"/>
      <w:bookmarkEnd w:id="166"/>
    </w:p>
    <w:p w14:paraId="430A4688" w14:textId="77777777" w:rsidR="008B0CC8" w:rsidRDefault="008B0CC8" w:rsidP="008B0CC8">
      <w:pPr>
        <w:pStyle w:val="Reference"/>
        <w:rPr>
          <w:rStyle w:val="GlossaryTerm"/>
        </w:rPr>
      </w:pPr>
      <w:r w:rsidRPr="008B0CC8">
        <w:rPr>
          <w:rStyle w:val="GlossaryTerm"/>
        </w:rPr>
        <w:t>Calibration target</w:t>
      </w:r>
    </w:p>
    <w:p w14:paraId="7C40A0DA" w14:textId="77777777" w:rsidR="008C268B" w:rsidRPr="008C268B" w:rsidRDefault="008C268B" w:rsidP="00802914">
      <w:pPr>
        <w:pStyle w:val="GlossaryDefinition"/>
        <w:rPr>
          <w:rStyle w:val="GlossaryTerm"/>
          <w:rFonts w:ascii="Times New Roman" w:hAnsi="Times New Roman"/>
          <w:b w:val="0"/>
        </w:rPr>
      </w:pPr>
      <w:r>
        <w:rPr>
          <w:rStyle w:val="GlossaryTerm"/>
        </w:rPr>
        <w:t>Control volume</w:t>
      </w:r>
      <w:r>
        <w:rPr>
          <w:rStyle w:val="GlossaryTerm"/>
        </w:rPr>
        <w:tab/>
      </w:r>
      <w:r>
        <w:rPr>
          <w:rStyle w:val="GlossaryTerm"/>
        </w:rPr>
        <w:tab/>
      </w:r>
      <w:r w:rsidR="00802914">
        <w:t>A volume of the earth consisting of t</w:t>
      </w:r>
      <w:r>
        <w:t>he lower Tertiary and Upper Cretaceous aquifer systems and the glacial aquifer system directly overlying these bedrock aquifer systems in the Williston basin</w:t>
      </w:r>
      <w:r w:rsidR="00802914">
        <w:t>.</w:t>
      </w:r>
    </w:p>
    <w:p w14:paraId="5667B60B" w14:textId="77777777" w:rsidR="008B0CC8" w:rsidRPr="008B0CC8" w:rsidRDefault="008B0CC8" w:rsidP="008B0CC8">
      <w:pPr>
        <w:pStyle w:val="Reference"/>
        <w:rPr>
          <w:rStyle w:val="GlossaryTerm"/>
        </w:rPr>
      </w:pPr>
      <w:r w:rsidRPr="008B0CC8">
        <w:rPr>
          <w:rStyle w:val="GlossaryTerm"/>
        </w:rPr>
        <w:t>Lake flux</w:t>
      </w:r>
    </w:p>
    <w:p w14:paraId="63BF9EBB" w14:textId="77777777" w:rsidR="008B0CC8" w:rsidRPr="008B0CC8" w:rsidRDefault="008B0CC8" w:rsidP="008B0CC8">
      <w:pPr>
        <w:pStyle w:val="GlossaryDefinition"/>
        <w:rPr>
          <w:rStyle w:val="GlossaryTerm"/>
          <w:b w:val="0"/>
        </w:rPr>
      </w:pPr>
      <w:proofErr w:type="gramStart"/>
      <w:r>
        <w:rPr>
          <w:rStyle w:val="GlossaryTerm"/>
        </w:rPr>
        <w:t>Model domain</w:t>
      </w:r>
      <w:r>
        <w:rPr>
          <w:rStyle w:val="GlossaryTerm"/>
        </w:rPr>
        <w:tab/>
      </w:r>
      <w:r>
        <w:rPr>
          <w:rStyle w:val="GlossaryTerm"/>
        </w:rPr>
        <w:tab/>
      </w:r>
      <w:r>
        <w:rPr>
          <w:rStyle w:val="GlossaryTerm"/>
        </w:rPr>
        <w:tab/>
      </w:r>
      <w:r w:rsidRPr="008B0CC8">
        <w:t>Spatial extent of the active simulated model area</w:t>
      </w:r>
      <w:r>
        <w:t>.</w:t>
      </w:r>
      <w:proofErr w:type="gramEnd"/>
    </w:p>
    <w:p w14:paraId="49396ADD" w14:textId="77777777" w:rsidR="008B0CC8" w:rsidRPr="008B0CC8" w:rsidRDefault="008B0CC8" w:rsidP="008B0CC8">
      <w:pPr>
        <w:pStyle w:val="Reference"/>
        <w:rPr>
          <w:rStyle w:val="GlossaryTerm"/>
        </w:rPr>
      </w:pPr>
      <w:r w:rsidRPr="008B0CC8">
        <w:rPr>
          <w:rStyle w:val="GlossaryTerm"/>
        </w:rPr>
        <w:t>Objective function value</w:t>
      </w:r>
    </w:p>
    <w:p w14:paraId="3AC56E96" w14:textId="77777777" w:rsidR="008B0CC8" w:rsidRPr="008B0CC8" w:rsidRDefault="008B0CC8" w:rsidP="008B0CC8">
      <w:pPr>
        <w:pStyle w:val="GlossaryDefinition"/>
        <w:rPr>
          <w:rStyle w:val="GlossaryTerm"/>
        </w:rPr>
      </w:pPr>
      <w:r w:rsidRPr="008B0CC8">
        <w:rPr>
          <w:rStyle w:val="GlossaryTerm"/>
        </w:rPr>
        <w:t>Observation data</w:t>
      </w:r>
      <w:r>
        <w:rPr>
          <w:rStyle w:val="GlossaryTerm"/>
        </w:rPr>
        <w:t xml:space="preserve"> </w:t>
      </w:r>
      <w:r>
        <w:rPr>
          <w:rStyle w:val="GlossaryTerm"/>
        </w:rPr>
        <w:tab/>
      </w:r>
      <w:r>
        <w:rPr>
          <w:rStyle w:val="GlossaryTerm"/>
        </w:rPr>
        <w:tab/>
      </w:r>
      <w:r w:rsidRPr="008B0CC8">
        <w:t>Measured or estimated values used in model calibration</w:t>
      </w:r>
      <w:r>
        <w:t>.</w:t>
      </w:r>
    </w:p>
    <w:p w14:paraId="43304337" w14:textId="77777777" w:rsidR="008B0CC8" w:rsidRPr="008B0CC8" w:rsidRDefault="008B0CC8" w:rsidP="008B0CC8">
      <w:pPr>
        <w:pStyle w:val="Reference"/>
        <w:rPr>
          <w:rStyle w:val="GlossaryTerm"/>
        </w:rPr>
      </w:pPr>
      <w:r w:rsidRPr="008B0CC8">
        <w:rPr>
          <w:rStyle w:val="GlossaryTerm"/>
        </w:rPr>
        <w:t>Pilot points</w:t>
      </w:r>
    </w:p>
    <w:p w14:paraId="2D8F5CD7" w14:textId="77777777" w:rsidR="008B0CC8" w:rsidRPr="008B0CC8" w:rsidRDefault="008B0CC8" w:rsidP="008B0CC8">
      <w:pPr>
        <w:pStyle w:val="Reference"/>
        <w:rPr>
          <w:rStyle w:val="GlossaryTerm"/>
        </w:rPr>
      </w:pPr>
      <w:r w:rsidRPr="008B0CC8">
        <w:rPr>
          <w:rStyle w:val="GlossaryTerm"/>
        </w:rPr>
        <w:t>Stream flux</w:t>
      </w:r>
    </w:p>
    <w:p w14:paraId="6FE95EFF" w14:textId="77777777" w:rsidR="008B0CC8" w:rsidRPr="008B0CC8" w:rsidRDefault="008B0CC8" w:rsidP="008B0CC8">
      <w:pPr>
        <w:pStyle w:val="Reference"/>
        <w:rPr>
          <w:rStyle w:val="GlossaryTerm"/>
        </w:rPr>
      </w:pPr>
      <w:r w:rsidRPr="008B0CC8">
        <w:rPr>
          <w:rStyle w:val="GlossaryTerm"/>
        </w:rPr>
        <w:t>SWB-estimated recharge</w:t>
      </w:r>
    </w:p>
    <w:p w14:paraId="66EE53FF" w14:textId="77777777" w:rsidR="008B0CC8" w:rsidRDefault="008B0CC8" w:rsidP="008B0CC8">
      <w:pPr>
        <w:pStyle w:val="GlossaryDefinition"/>
      </w:pPr>
      <w:r>
        <w:rPr>
          <w:rStyle w:val="GlossaryTerm"/>
        </w:rPr>
        <w:t>Transient stress period</w:t>
      </w:r>
      <w:r w:rsidRPr="008B0CC8">
        <w:rPr>
          <w:rStyle w:val="GlossaryTerm"/>
        </w:rPr>
        <w:t xml:space="preserve"> </w:t>
      </w:r>
      <w:r>
        <w:rPr>
          <w:rStyle w:val="GlossaryTerm"/>
        </w:rPr>
        <w:tab/>
      </w:r>
      <w:r>
        <w:t>A</w:t>
      </w:r>
      <w:r w:rsidRPr="008B0CC8">
        <w:t xml:space="preserve"> time period simulated by the numerical model that represents the change from initial conditions at the beginning of the period to the end of the period. </w:t>
      </w:r>
    </w:p>
    <w:p w14:paraId="6019451C" w14:textId="77777777" w:rsidR="008B0CC8" w:rsidRPr="008B0CC8" w:rsidRDefault="008B0CC8" w:rsidP="008B0CC8">
      <w:pPr>
        <w:pStyle w:val="GlossaryDefinition"/>
        <w:rPr>
          <w:rStyle w:val="GlossaryTerm"/>
        </w:rPr>
      </w:pPr>
      <w:r>
        <w:rPr>
          <w:rStyle w:val="GlossaryTerm"/>
        </w:rPr>
        <w:t>Vertical head targets</w:t>
      </w:r>
    </w:p>
    <w:p w14:paraId="447D3D74" w14:textId="77777777" w:rsidR="00191F8C" w:rsidRDefault="00191F8C" w:rsidP="00375D94">
      <w:pPr>
        <w:pStyle w:val="SectionHeading"/>
        <w:sectPr w:rsidR="00191F8C" w:rsidSect="0029519C">
          <w:footerReference w:type="even" r:id="rId29"/>
          <w:footerReference w:type="default" r:id="rId30"/>
          <w:pgSz w:w="12240" w:h="15840"/>
          <w:pgMar w:top="1440" w:right="1440" w:bottom="1440" w:left="1440" w:header="720" w:footer="720" w:gutter="0"/>
          <w:cols w:space="720"/>
          <w:docGrid w:linePitch="360"/>
        </w:sectPr>
      </w:pPr>
    </w:p>
    <w:p w14:paraId="13AB75C4" w14:textId="77777777" w:rsidR="00375D94" w:rsidRDefault="00375D94" w:rsidP="00375D94">
      <w:pPr>
        <w:pStyle w:val="SectionHeading"/>
      </w:pPr>
      <w:bookmarkStart w:id="167" w:name="_Toc477244278"/>
      <w:r>
        <w:lastRenderedPageBreak/>
        <w:t>Appendix 1.</w:t>
      </w:r>
      <w:r>
        <w:t> </w:t>
      </w:r>
      <w:r>
        <w:t>Additional Character Style Examples</w:t>
      </w:r>
      <w:bookmarkEnd w:id="167"/>
    </w:p>
    <w:p w14:paraId="33D1A5E3" w14:textId="77777777" w:rsidR="00191F8C" w:rsidRDefault="00191F8C" w:rsidP="00191F8C">
      <w:pPr>
        <w:pStyle w:val="BodyText"/>
      </w:pPr>
      <w:r>
        <w:t xml:space="preserve">Text in the appendix uses the </w:t>
      </w:r>
      <w:proofErr w:type="spellStart"/>
      <w:r>
        <w:t>BodyText</w:t>
      </w:r>
      <w:proofErr w:type="spellEnd"/>
      <w:r>
        <w:t xml:space="preserve"> style as in the main body of the report. Use the following character styles in all parts of the report (main body, front matter, and back matter):</w:t>
      </w:r>
    </w:p>
    <w:p w14:paraId="0CD5CC76" w14:textId="77777777" w:rsidR="00375D94" w:rsidRDefault="00375D94" w:rsidP="00191F8C">
      <w:pPr>
        <w:pStyle w:val="ListBullet"/>
      </w:pPr>
      <w:r>
        <w:t xml:space="preserve">The </w:t>
      </w:r>
      <w:r w:rsidR="00BA6745">
        <w:t xml:space="preserve">character </w:t>
      </w:r>
      <w:r>
        <w:t xml:space="preserve">style for superscript is </w:t>
      </w:r>
      <w:r w:rsidRPr="00C81BD4">
        <w:rPr>
          <w:rStyle w:val="Superscript"/>
        </w:rPr>
        <w:t>Superscript</w:t>
      </w:r>
      <w:r>
        <w:t>.</w:t>
      </w:r>
    </w:p>
    <w:p w14:paraId="011179ED" w14:textId="77777777" w:rsidR="00375D94" w:rsidRDefault="00375D94" w:rsidP="00191F8C">
      <w:pPr>
        <w:pStyle w:val="ListBullet"/>
      </w:pPr>
      <w:r>
        <w:t xml:space="preserve">The </w:t>
      </w:r>
      <w:r w:rsidR="00BA6745">
        <w:t xml:space="preserve">character </w:t>
      </w:r>
      <w:r>
        <w:t xml:space="preserve">style for subscript is </w:t>
      </w:r>
      <w:r w:rsidRPr="00C81BD4">
        <w:rPr>
          <w:rStyle w:val="Subscript"/>
        </w:rPr>
        <w:t>Subscript</w:t>
      </w:r>
      <w:r>
        <w:t>.</w:t>
      </w:r>
    </w:p>
    <w:p w14:paraId="167F2F46" w14:textId="77777777" w:rsidR="00375D94" w:rsidRPr="007B708D" w:rsidRDefault="00375D94" w:rsidP="00191F8C">
      <w:pPr>
        <w:pStyle w:val="ListBullet"/>
      </w:pPr>
      <w:r w:rsidRPr="007B708D">
        <w:t xml:space="preserve">The </w:t>
      </w:r>
      <w:r w:rsidR="00BA6745">
        <w:t xml:space="preserve">character </w:t>
      </w:r>
      <w:r w:rsidRPr="007B708D">
        <w:t xml:space="preserve">style for italic superscript is </w:t>
      </w:r>
      <w:proofErr w:type="spellStart"/>
      <w:r w:rsidRPr="00AB6CA0">
        <w:rPr>
          <w:rStyle w:val="SuperEmphasis"/>
        </w:rPr>
        <w:t>SuperEmphasis</w:t>
      </w:r>
      <w:proofErr w:type="spellEnd"/>
    </w:p>
    <w:p w14:paraId="2845506C" w14:textId="77777777" w:rsidR="00375D94" w:rsidRPr="007B708D" w:rsidRDefault="00375D94" w:rsidP="00191F8C">
      <w:pPr>
        <w:pStyle w:val="ListBullet"/>
      </w:pPr>
      <w:r w:rsidRPr="007B708D">
        <w:t xml:space="preserve">The </w:t>
      </w:r>
      <w:r w:rsidR="00BA6745">
        <w:t xml:space="preserve">character </w:t>
      </w:r>
      <w:r w:rsidRPr="007B708D">
        <w:t xml:space="preserve">style for italic subscript is </w:t>
      </w:r>
      <w:proofErr w:type="spellStart"/>
      <w:r w:rsidRPr="00AB6CA0">
        <w:rPr>
          <w:rStyle w:val="SubEmphasis"/>
        </w:rPr>
        <w:t>SubEmphasis</w:t>
      </w:r>
      <w:proofErr w:type="spellEnd"/>
    </w:p>
    <w:p w14:paraId="062B02DC" w14:textId="77777777" w:rsidR="00B24551" w:rsidRDefault="00375D94" w:rsidP="00191F8C">
      <w:pPr>
        <w:pStyle w:val="ListBullet"/>
      </w:pPr>
      <w:r w:rsidRPr="005C2983">
        <w:t xml:space="preserve">The </w:t>
      </w:r>
      <w:r w:rsidR="00BA6745">
        <w:t xml:space="preserve">character </w:t>
      </w:r>
      <w:r w:rsidRPr="005C2983">
        <w:t xml:space="preserve">style for a URL is </w:t>
      </w:r>
      <w:r w:rsidR="00AB6CA0" w:rsidRPr="00AB6CA0">
        <w:rPr>
          <w:rStyle w:val="Hyperlink"/>
        </w:rPr>
        <w:t>Hyperlink</w:t>
      </w:r>
      <w:r w:rsidR="00AB6CA0">
        <w:t xml:space="preserve"> (</w:t>
      </w:r>
      <w:hyperlink r:id="rId31" w:history="1">
        <w:r w:rsidRPr="00C81BD4">
          <w:rPr>
            <w:rStyle w:val="Hyperlink"/>
          </w:rPr>
          <w:t>http://www.usgs.gov</w:t>
        </w:r>
      </w:hyperlink>
      <w:r>
        <w:rPr>
          <w:rStyle w:val="Hyperlink"/>
        </w:rPr>
        <w:t>/</w:t>
      </w:r>
      <w:r w:rsidRPr="005C2983">
        <w:t>)</w:t>
      </w:r>
    </w:p>
    <w:p w14:paraId="3B1975EC" w14:textId="77777777" w:rsidR="00191F8C" w:rsidRDefault="00191F8C" w:rsidP="00375D94">
      <w:pPr>
        <w:pStyle w:val="BodyNoIndent"/>
      </w:pPr>
      <w:r>
        <w:t xml:space="preserve">Use the paragraph style </w:t>
      </w:r>
      <w:proofErr w:type="spellStart"/>
      <w:r>
        <w:t>BodyNoIndent</w:t>
      </w:r>
      <w:proofErr w:type="spellEnd"/>
      <w:r>
        <w:t xml:space="preserve"> to continue a paragraph after a list of items or an equation. Then, use the paragraph style </w:t>
      </w:r>
      <w:proofErr w:type="spellStart"/>
      <w:r>
        <w:t>BodyText</w:t>
      </w:r>
      <w:proofErr w:type="spellEnd"/>
      <w:r>
        <w:t xml:space="preserve"> for the next paragraphs.</w:t>
      </w:r>
    </w:p>
    <w:p w14:paraId="5ACD9F35" w14:textId="77777777" w:rsidR="00191F8C" w:rsidRDefault="00191F8C" w:rsidP="00375D94">
      <w:pPr>
        <w:pStyle w:val="BodyNoIndent"/>
      </w:pPr>
    </w:p>
    <w:p w14:paraId="1D61ACE4" w14:textId="77777777" w:rsidR="003963A8" w:rsidRDefault="003963A8" w:rsidP="003963A8">
      <w:pPr>
        <w:pStyle w:val="Heading1"/>
      </w:pPr>
      <w:bookmarkStart w:id="168" w:name="_Toc477244279"/>
      <w:r>
        <w:t>Write-N-Cite</w:t>
      </w:r>
      <w:bookmarkEnd w:id="168"/>
    </w:p>
    <w:p w14:paraId="47326B3D" w14:textId="77777777" w:rsidR="003963A8" w:rsidRDefault="003963A8" w:rsidP="003963A8">
      <w:pPr>
        <w:pStyle w:val="BodyText"/>
      </w:pPr>
    </w:p>
    <w:p w14:paraId="7448D6C7" w14:textId="77777777" w:rsidR="003876AA" w:rsidRDefault="003876AA" w:rsidP="003876AA">
      <w:pPr>
        <w:pStyle w:val="BodyText"/>
      </w:pPr>
      <w:r>
        <w:fldChar w:fldCharType="begin"/>
      </w:r>
      <w:r>
        <w:instrText>ADDIN RW.CITE{{1070 Aurand,K. 2013}}</w:instrText>
      </w:r>
      <w:r>
        <w:fldChar w:fldCharType="separate"/>
      </w:r>
      <w:r w:rsidRPr="003876AA">
        <w:t>(Aurand, 2013, p. 107)</w:t>
      </w:r>
      <w:r>
        <w:fldChar w:fldCharType="end"/>
      </w:r>
    </w:p>
    <w:p w14:paraId="29648568" w14:textId="77777777" w:rsidR="003876AA" w:rsidRDefault="003876AA" w:rsidP="003876AA">
      <w:pPr>
        <w:pStyle w:val="BodyText"/>
      </w:pPr>
    </w:p>
    <w:p w14:paraId="105EBD07" w14:textId="77777777" w:rsidR="003876AA" w:rsidRDefault="003876AA" w:rsidP="003876AA">
      <w:pPr>
        <w:pStyle w:val="BodyText"/>
      </w:pPr>
      <w:r>
        <w:fldChar w:fldCharType="begin"/>
      </w:r>
      <w:r>
        <w:instrText>ADDIN RW.CITE{{137 Downey,J.S. 1986}}</w:instrText>
      </w:r>
      <w:r>
        <w:fldChar w:fldCharType="separate"/>
      </w:r>
      <w:r w:rsidRPr="003876AA">
        <w:t>(Downey, 1986, p. E1-E87)</w:t>
      </w:r>
      <w:r>
        <w:fldChar w:fldCharType="end"/>
      </w:r>
    </w:p>
    <w:p w14:paraId="1D866BA5" w14:textId="77777777" w:rsidR="003876AA" w:rsidRDefault="003876AA" w:rsidP="003876AA">
      <w:pPr>
        <w:pStyle w:val="BodyText"/>
      </w:pPr>
    </w:p>
    <w:p w14:paraId="48DC51F6" w14:textId="77777777" w:rsidR="003876AA" w:rsidRDefault="003876AA" w:rsidP="003876AA">
      <w:pPr>
        <w:pStyle w:val="BodyText"/>
      </w:pPr>
      <w:r>
        <w:fldChar w:fldCharType="begin"/>
      </w:r>
      <w:r>
        <w:instrText>ADDIN RW.CITE{{1094 Long,A.J. 2014}}</w:instrText>
      </w:r>
      <w:r>
        <w:fldChar w:fldCharType="separate"/>
      </w:r>
      <w:r w:rsidRPr="003876AA">
        <w:t>(Long and others, 2014)</w:t>
      </w:r>
      <w:r>
        <w:fldChar w:fldCharType="end"/>
      </w:r>
    </w:p>
    <w:p w14:paraId="47412CF9" w14:textId="77777777" w:rsidR="003876AA" w:rsidRDefault="003876AA" w:rsidP="003876AA">
      <w:pPr>
        <w:pStyle w:val="BodyText"/>
      </w:pPr>
    </w:p>
    <w:p w14:paraId="2A6727CC" w14:textId="77777777" w:rsidR="003876AA" w:rsidRDefault="003876AA" w:rsidP="003876AA">
      <w:pPr>
        <w:pStyle w:val="BodyText"/>
      </w:pPr>
      <w:r>
        <w:fldChar w:fldCharType="begin"/>
      </w:r>
      <w:r>
        <w:instrText>ADDIN RW.CITE{{1127 Thamke,J.N. 2014}}</w:instrText>
      </w:r>
      <w:r>
        <w:fldChar w:fldCharType="separate"/>
      </w:r>
      <w:r w:rsidRPr="003876AA">
        <w:t>(Thamke and others, 2014, p. 38)</w:t>
      </w:r>
      <w:r>
        <w:fldChar w:fldCharType="end"/>
      </w:r>
    </w:p>
    <w:p w14:paraId="526E80B2" w14:textId="77777777" w:rsidR="00EB2CBF" w:rsidRDefault="00EB2CBF" w:rsidP="003876AA">
      <w:pPr>
        <w:pStyle w:val="BodyText"/>
      </w:pPr>
    </w:p>
    <w:p w14:paraId="744C005B" w14:textId="77777777" w:rsidR="00EB2CBF" w:rsidRDefault="00EB2CBF" w:rsidP="003876AA">
      <w:pPr>
        <w:pStyle w:val="BodyText"/>
      </w:pPr>
      <w:r>
        <w:lastRenderedPageBreak/>
        <w:fldChar w:fldCharType="begin"/>
      </w:r>
      <w:r>
        <w:instrText>ADDIN RW.CITE{{809 Westenbroek,S.M. 2010 /s}}</w:instrText>
      </w:r>
      <w:r>
        <w:fldChar w:fldCharType="separate"/>
      </w:r>
      <w:r w:rsidRPr="00EB2CBF">
        <w:t>(Westenbroek and others, 2010)</w:t>
      </w:r>
      <w:r>
        <w:fldChar w:fldCharType="end"/>
      </w:r>
    </w:p>
    <w:p w14:paraId="22B69F24" w14:textId="77777777" w:rsidR="00EB2CBF" w:rsidRDefault="00EB2CBF" w:rsidP="003876AA">
      <w:pPr>
        <w:pStyle w:val="BodyText"/>
      </w:pPr>
    </w:p>
    <w:p w14:paraId="5303FA20" w14:textId="77777777" w:rsidR="00EB2CBF" w:rsidRDefault="00EB2CBF" w:rsidP="003876AA">
      <w:pPr>
        <w:pStyle w:val="BodyText"/>
      </w:pPr>
    </w:p>
    <w:p w14:paraId="5A9F737E" w14:textId="77777777" w:rsidR="003876AA" w:rsidRDefault="003876AA" w:rsidP="003963A8">
      <w:pPr>
        <w:pStyle w:val="BodyText"/>
      </w:pPr>
    </w:p>
    <w:p w14:paraId="321E88C2" w14:textId="77777777" w:rsidR="005C510C" w:rsidRDefault="005C510C" w:rsidP="003963A8">
      <w:pPr>
        <w:pStyle w:val="BodyText"/>
      </w:pPr>
    </w:p>
    <w:p w14:paraId="5871481A" w14:textId="77777777" w:rsidR="00187628" w:rsidRPr="00187628" w:rsidRDefault="005C510C" w:rsidP="00187628">
      <w:pPr>
        <w:pStyle w:val="NormalWeb"/>
        <w:jc w:val="center"/>
      </w:pPr>
      <w:r>
        <w:fldChar w:fldCharType="begin"/>
      </w:r>
      <w:r w:rsidR="00187628">
        <w:instrText>ADDIN RW.BIB</w:instrText>
      </w:r>
      <w:r>
        <w:fldChar w:fldCharType="separate"/>
      </w:r>
      <w:r w:rsidR="00187628" w:rsidRPr="00187628">
        <w:t>References Cited</w:t>
      </w:r>
    </w:p>
    <w:p w14:paraId="0CE7EE2E" w14:textId="77777777" w:rsidR="00187628" w:rsidRPr="00187628" w:rsidRDefault="00187628" w:rsidP="00187628">
      <w:pPr>
        <w:pStyle w:val="NormalWeb"/>
        <w:ind w:left="450" w:hanging="450"/>
      </w:pPr>
      <w:r w:rsidRPr="00187628">
        <w:t>Aurand, K., 2013, Groundwater recharge estimates for the lower Tertiary and upper Cretaceous aquifers in the Williston and Powder River structural basins: Rapid City, South Dakota, South Dakota School of Mines and Technology, Ph.D. dissertation, 107 p.</w:t>
      </w:r>
    </w:p>
    <w:p w14:paraId="38A9214B" w14:textId="77777777" w:rsidR="00187628" w:rsidRPr="00187628" w:rsidRDefault="00187628" w:rsidP="00187628">
      <w:pPr>
        <w:pStyle w:val="NormalWeb"/>
        <w:ind w:left="450" w:hanging="450"/>
      </w:pPr>
      <w:r w:rsidRPr="00187628">
        <w:t>Downey, J.S., 1986, Geohydrology of Bedrock Aquifers in the Northern Great Plains in Parts of Montana, North Dakota, South Dakota, and Wyoming: U. S. Geological Survey Professional Paper, v. P 1402-E, p. E1-E87.</w:t>
      </w:r>
    </w:p>
    <w:p w14:paraId="4B6F1822" w14:textId="77777777" w:rsidR="00187628" w:rsidRPr="00187628" w:rsidRDefault="00187628" w:rsidP="00187628">
      <w:pPr>
        <w:pStyle w:val="NormalWeb"/>
        <w:ind w:left="450" w:hanging="450"/>
      </w:pPr>
      <w:r w:rsidRPr="00187628">
        <w:t>Long, A.J., Aurand, K.R., Bednar, J.M., Davis, K.W., Mckaskey, J.D.R.G., and Thamke, J.N., 2014, Conceptual Model of the Uppermost Principal Aquifer Systems in the Williston and Powder River Structural Basins, United States and Canada: U.S. Geological Survey Scientific Investigations Report 2014-5055</w:t>
      </w:r>
    </w:p>
    <w:p w14:paraId="7FFD9AAD" w14:textId="77777777" w:rsidR="00187628" w:rsidRPr="00187628" w:rsidRDefault="00187628" w:rsidP="00187628">
      <w:pPr>
        <w:pStyle w:val="NormalWeb"/>
        <w:ind w:left="450" w:hanging="450"/>
      </w:pPr>
      <w:r w:rsidRPr="00187628">
        <w:t>Thamke, J.N., LeCain, G.D., Ryter, D.W., Sando, R., and and Long, A.J., 2014, Hydrogeologic framework of the uppermost principal aquifer systems in the Williston and Powder River structural basins, United States and Canada: U.S. Geological Survey Scientific Investigations Report 2014–5047</w:t>
      </w:r>
    </w:p>
    <w:p w14:paraId="3F23E63E" w14:textId="77777777" w:rsidR="00187628" w:rsidRPr="00187628" w:rsidRDefault="00187628" w:rsidP="00187628">
      <w:pPr>
        <w:pStyle w:val="NormalWeb"/>
        <w:ind w:left="450" w:hanging="450"/>
      </w:pPr>
      <w:r w:rsidRPr="00187628">
        <w:t>Westenbroek, S.M., Kelson, V.A., Dripps, W.R., Hunt, R.J., and Bradbury, K.R., 2010, SWB - A modified thornthwaite-mather soil-water-balance code for estimating groundwater recharge: U.S. Geological Survey Techniques and Methods 6-A31, 60 p.</w:t>
      </w:r>
    </w:p>
    <w:p w14:paraId="5F44BB0D" w14:textId="77777777" w:rsidR="005C510C" w:rsidRPr="003963A8" w:rsidRDefault="00187628" w:rsidP="00187628">
      <w:pPr>
        <w:sectPr w:rsidR="005C510C" w:rsidRPr="003963A8" w:rsidSect="0029519C">
          <w:pgSz w:w="12240" w:h="15840"/>
          <w:pgMar w:top="1440" w:right="1440" w:bottom="1440" w:left="1440" w:header="720" w:footer="720" w:gutter="0"/>
          <w:cols w:space="720"/>
          <w:docGrid w:linePitch="360"/>
        </w:sectPr>
      </w:pPr>
      <w:r w:rsidRPr="00187628">
        <w:rPr>
          <w:rFonts w:eastAsia="Times New Roman"/>
        </w:rPr>
        <w:t> </w:t>
      </w:r>
      <w:r w:rsidR="005C510C">
        <w:fldChar w:fldCharType="end"/>
      </w:r>
    </w:p>
    <w:p w14:paraId="6AC8DC74"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32"/>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Long, Andrew J." w:date="2017-03-01T15:20:00Z" w:initials="AJL">
    <w:p w14:paraId="15AABB9F" w14:textId="77777777" w:rsidR="00AE5850" w:rsidRDefault="00AE5850">
      <w:pPr>
        <w:pStyle w:val="CommentText"/>
      </w:pPr>
      <w:r>
        <w:rPr>
          <w:rStyle w:val="CommentReference"/>
        </w:rPr>
        <w:annotationRef/>
      </w:r>
      <w:r>
        <w:t xml:space="preserve">From </w:t>
      </w:r>
      <w:proofErr w:type="spellStart"/>
      <w:r>
        <w:t>Thamke</w:t>
      </w:r>
      <w:proofErr w:type="spellEnd"/>
      <w:r>
        <w:t xml:space="preserve"> </w:t>
      </w:r>
      <w:proofErr w:type="spellStart"/>
      <w:r>
        <w:t>hydrogeo</w:t>
      </w:r>
      <w:proofErr w:type="spellEnd"/>
      <w:r>
        <w:t xml:space="preserve"> framework? </w:t>
      </w:r>
    </w:p>
  </w:comment>
  <w:comment w:id="51" w:author="Long, Andrew J." w:date="2017-03-01T14:02:00Z" w:initials="AJL">
    <w:p w14:paraId="51EC7064" w14:textId="77777777" w:rsidR="00AE5850" w:rsidRDefault="00AE5850">
      <w:pPr>
        <w:pStyle w:val="CommentText"/>
      </w:pPr>
      <w:r>
        <w:rPr>
          <w:rStyle w:val="CommentReference"/>
        </w:rPr>
        <w:annotationRef/>
      </w:r>
      <w:r>
        <w:t xml:space="preserve">Reference? </w:t>
      </w:r>
      <w:proofErr w:type="spellStart"/>
      <w:r>
        <w:t>Thamke</w:t>
      </w:r>
      <w:proofErr w:type="spellEnd"/>
      <w:r>
        <w:t xml:space="preserve"> et al 2014 and Davis and Long 2017 did not provide this much detail. </w:t>
      </w:r>
    </w:p>
  </w:comment>
  <w:comment w:id="66" w:author="Long, Andrew J." w:date="2017-03-06T13:19:00Z" w:initials="AJL">
    <w:p w14:paraId="76A09DEB" w14:textId="77777777" w:rsidR="00AE5850" w:rsidRDefault="00AE5850" w:rsidP="009D5997">
      <w:pPr>
        <w:pStyle w:val="CommentText"/>
      </w:pPr>
      <w:r>
        <w:rPr>
          <w:rStyle w:val="CommentReference"/>
        </w:rPr>
        <w:annotationRef/>
      </w:r>
      <w:r>
        <w:t>Removed previous publications section and replaced with this.</w:t>
      </w:r>
    </w:p>
  </w:comment>
  <w:comment w:id="69" w:author="Long, Andrew J." w:date="2017-03-06T14:42:00Z" w:initials="AJL">
    <w:p w14:paraId="0AD7284D" w14:textId="77777777" w:rsidR="00AE5850" w:rsidRDefault="00AE5850" w:rsidP="00315492">
      <w:pPr>
        <w:pStyle w:val="CommentText"/>
      </w:pPr>
      <w:r>
        <w:rPr>
          <w:rStyle w:val="CommentReference"/>
        </w:rPr>
        <w:annotationRef/>
      </w:r>
      <w:r>
        <w:rPr>
          <w:rFonts w:ascii="Calibri" w:hAnsi="Calibri"/>
          <w:color w:val="000000"/>
          <w:sz w:val="23"/>
          <w:szCs w:val="23"/>
          <w:shd w:val="clear" w:color="auto" w:fill="FFFFFF"/>
        </w:rPr>
        <w:t xml:space="preserve">Maurer, E.P., A.W. Wood, J.C. Adam, D.P. </w:t>
      </w:r>
      <w:proofErr w:type="spellStart"/>
      <w:r>
        <w:rPr>
          <w:rFonts w:ascii="Calibri" w:hAnsi="Calibri"/>
          <w:color w:val="000000"/>
          <w:sz w:val="23"/>
          <w:szCs w:val="23"/>
          <w:shd w:val="clear" w:color="auto" w:fill="FFFFFF"/>
        </w:rPr>
        <w:t>Lettenmaier</w:t>
      </w:r>
      <w:proofErr w:type="spellEnd"/>
      <w:r>
        <w:rPr>
          <w:rFonts w:ascii="Calibri" w:hAnsi="Calibri"/>
          <w:color w:val="000000"/>
          <w:sz w:val="23"/>
          <w:szCs w:val="23"/>
          <w:shd w:val="clear" w:color="auto" w:fill="FFFFFF"/>
        </w:rPr>
        <w:t xml:space="preserve">, and B. </w:t>
      </w:r>
      <w:proofErr w:type="spellStart"/>
      <w:r>
        <w:rPr>
          <w:rFonts w:ascii="Calibri" w:hAnsi="Calibri"/>
          <w:color w:val="000000"/>
          <w:sz w:val="23"/>
          <w:szCs w:val="23"/>
          <w:shd w:val="clear" w:color="auto" w:fill="FFFFFF"/>
        </w:rPr>
        <w:t>Nijssen</w:t>
      </w:r>
      <w:proofErr w:type="spellEnd"/>
      <w:r>
        <w:rPr>
          <w:rFonts w:ascii="Calibri" w:hAnsi="Calibri"/>
          <w:color w:val="000000"/>
          <w:sz w:val="23"/>
          <w:szCs w:val="23"/>
          <w:shd w:val="clear" w:color="auto" w:fill="FFFFFF"/>
        </w:rPr>
        <w:t>, 2002, A Long-Term Hydrologically-Based Data Set of Land Surface Fluxes and States for the Conterminous United States, J. Climate 15(22), 3237-3251</w:t>
      </w:r>
    </w:p>
  </w:comment>
  <w:comment w:id="134" w:author="Seth Haines" w:date="2017-07-19T14:47:00Z" w:initials="SH">
    <w:p w14:paraId="7B31C30C" w14:textId="77777777" w:rsidR="00AE5850" w:rsidRDefault="00AE5850" w:rsidP="008F1812">
      <w:pPr>
        <w:pStyle w:val="Reference"/>
        <w:rPr>
          <w:color w:val="222222"/>
          <w:shd w:val="clear" w:color="auto" w:fill="FFFFFF"/>
        </w:rPr>
      </w:pPr>
      <w:r>
        <w:rPr>
          <w:rStyle w:val="CommentReference"/>
        </w:rPr>
        <w:annotationRef/>
      </w:r>
      <w:r>
        <w:rPr>
          <w:rStyle w:val="m-7209640230662549333gmail-il"/>
          <w:color w:val="222222"/>
          <w:shd w:val="clear" w:color="auto" w:fill="FFFFFF"/>
        </w:rPr>
        <w:t>IHS</w:t>
      </w:r>
      <w:r>
        <w:rPr>
          <w:color w:val="222222"/>
          <w:shd w:val="clear" w:color="auto" w:fill="FFFFFF"/>
        </w:rPr>
        <w:t> </w:t>
      </w:r>
      <w:proofErr w:type="spellStart"/>
      <w:r>
        <w:rPr>
          <w:color w:val="222222"/>
          <w:shd w:val="clear" w:color="auto" w:fill="FFFFFF"/>
        </w:rPr>
        <w:t>Markit</w:t>
      </w:r>
      <w:proofErr w:type="spellEnd"/>
      <w:r>
        <w:rPr>
          <w:color w:val="222222"/>
          <w:shd w:val="clear" w:color="auto" w:fill="FFFFFF"/>
        </w:rPr>
        <w:t>™, 2016, US Well History and Production Database: Englewood, Colo., </w:t>
      </w:r>
      <w:r>
        <w:rPr>
          <w:rStyle w:val="m-7209640230662549333gmail-il"/>
          <w:color w:val="222222"/>
          <w:shd w:val="clear" w:color="auto" w:fill="FFFFFF"/>
        </w:rPr>
        <w:t>IHS </w:t>
      </w:r>
      <w:proofErr w:type="spellStart"/>
      <w:r>
        <w:rPr>
          <w:color w:val="222222"/>
          <w:shd w:val="clear" w:color="auto" w:fill="FFFFFF"/>
        </w:rPr>
        <w:t>Markit</w:t>
      </w:r>
      <w:proofErr w:type="spellEnd"/>
      <w:r>
        <w:rPr>
          <w:color w:val="222222"/>
          <w:shd w:val="clear" w:color="auto" w:fill="FFFFFF"/>
        </w:rPr>
        <w:t>™, accessed August 2016 at </w:t>
      </w:r>
      <w:r>
        <w:fldChar w:fldCharType="begin"/>
      </w:r>
      <w:r>
        <w:instrText xml:space="preserve"> HYPERLINK "http://www.ihsenergy.com/" \t "_blank" </w:instrText>
      </w:r>
      <w:r>
        <w:fldChar w:fldCharType="separate"/>
      </w:r>
      <w:r>
        <w:rPr>
          <w:rStyle w:val="Hyperlink"/>
          <w:color w:val="1155CC"/>
          <w:shd w:val="clear" w:color="auto" w:fill="FFFFFF"/>
        </w:rPr>
        <w:t>http://www.ihsenergy.com</w:t>
      </w:r>
      <w:r>
        <w:rPr>
          <w:rStyle w:val="Hyperlink"/>
          <w:color w:val="1155CC"/>
          <w:shd w:val="clear" w:color="auto" w:fill="FFFFFF"/>
        </w:rPr>
        <w:fldChar w:fldCharType="end"/>
      </w:r>
      <w:r>
        <w:rPr>
          <w:color w:val="222222"/>
          <w:shd w:val="clear" w:color="auto" w:fill="FFFFFF"/>
        </w:rPr>
        <w:t>. [Available from </w:t>
      </w:r>
      <w:r>
        <w:rPr>
          <w:rStyle w:val="m-7209640230662549333gmail-il"/>
          <w:color w:val="222222"/>
          <w:shd w:val="clear" w:color="auto" w:fill="FFFFFF"/>
        </w:rPr>
        <w:t>IHS</w:t>
      </w:r>
      <w:r>
        <w:rPr>
          <w:color w:val="222222"/>
          <w:shd w:val="clear" w:color="auto" w:fill="FFFFFF"/>
        </w:rPr>
        <w:t> </w:t>
      </w:r>
      <w:proofErr w:type="spellStart"/>
      <w:r>
        <w:rPr>
          <w:color w:val="222222"/>
          <w:shd w:val="clear" w:color="auto" w:fill="FFFFFF"/>
        </w:rPr>
        <w:t>Markit</w:t>
      </w:r>
      <w:proofErr w:type="spellEnd"/>
      <w:r>
        <w:rPr>
          <w:color w:val="222222"/>
          <w:shd w:val="clear" w:color="auto" w:fill="FFFFFF"/>
        </w:rPr>
        <w:t>™, 15 Inverness Way East, Englewood, CO 80112.]</w:t>
      </w:r>
    </w:p>
    <w:p w14:paraId="3F14A297" w14:textId="77777777" w:rsidR="00AE5850" w:rsidRDefault="00AE5850">
      <w:pPr>
        <w:pStyle w:val="CommentText"/>
      </w:pPr>
    </w:p>
  </w:comment>
  <w:comment w:id="136" w:author="Seth Haines" w:date="2017-07-19T14:42:00Z" w:initials="SH">
    <w:p w14:paraId="15AE3ED1" w14:textId="77777777" w:rsidR="00AE5850" w:rsidRDefault="00AE5850">
      <w:pPr>
        <w:pStyle w:val="CommentText"/>
      </w:pPr>
      <w:r>
        <w:rPr>
          <w:rStyle w:val="CommentReference"/>
        </w:rPr>
        <w:annotationRef/>
      </w:r>
      <w:r>
        <w:t xml:space="preserve">I don’t understand the first part of this.  We only sent data for the Williston, I believe.  And the relative scale of these numbers suggests that one or the other has some sort of problem.  Or is this not the entire US, but just MT + ND, versus ND alone?  This might make sense, but still I’m surprised by the relative scale (only 4k </w:t>
      </w:r>
      <w:proofErr w:type="spellStart"/>
      <w:r>
        <w:t>af</w:t>
      </w:r>
      <w:proofErr w:type="spellEnd"/>
      <w:r>
        <w:t xml:space="preserve"> for Montana </w:t>
      </w:r>
      <w:proofErr w:type="spellStart"/>
      <w:r>
        <w:t>vs</w:t>
      </w:r>
      <w:proofErr w:type="spellEnd"/>
      <w:r>
        <w:t xml:space="preserve"> 90k for ND?). </w:t>
      </w:r>
    </w:p>
  </w:comment>
  <w:comment w:id="144" w:author="Long, Andrew J." w:date="2017-04-07T11:12:00Z" w:initials="AJL">
    <w:p w14:paraId="58ACA819" w14:textId="77777777" w:rsidR="00AE5850" w:rsidRDefault="00AE5850">
      <w:pPr>
        <w:pStyle w:val="CommentText"/>
      </w:pPr>
      <w:r>
        <w:rPr>
          <w:rStyle w:val="CommentReference"/>
        </w:rPr>
        <w:annotationRef/>
      </w:r>
      <w:r>
        <w:t>For control volume. Kyle will help to get the zone budget output. Is this just for scenario 3?</w:t>
      </w:r>
    </w:p>
  </w:comment>
  <w:comment w:id="147" w:author="Long, Andrew J." w:date="2017-04-04T14:01:00Z" w:initials="AJL">
    <w:p w14:paraId="72B9AE8E" w14:textId="77777777" w:rsidR="00AE5850" w:rsidRDefault="00AE5850">
      <w:pPr>
        <w:pStyle w:val="CommentText"/>
      </w:pPr>
      <w:r>
        <w:rPr>
          <w:rStyle w:val="CommentReference"/>
        </w:rPr>
        <w:annotationRef/>
      </w:r>
      <w:r>
        <w:t>Same output as for fig 21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01B67" w14:textId="77777777" w:rsidR="00AE5850" w:rsidRDefault="00AE5850">
      <w:pPr>
        <w:spacing w:line="240" w:lineRule="auto"/>
      </w:pPr>
      <w:r>
        <w:separator/>
      </w:r>
    </w:p>
  </w:endnote>
  <w:endnote w:type="continuationSeparator" w:id="0">
    <w:p w14:paraId="0CA7780E" w14:textId="77777777" w:rsidR="00AE5850" w:rsidRDefault="00AE5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Univers 57 Condensed">
    <w:altName w:val="Courier New"/>
    <w:panose1 w:val="00000000000000000000"/>
    <w:charset w:val="00"/>
    <w:family w:val="modern"/>
    <w:notTrueType/>
    <w:pitch w:val="variable"/>
    <w:sig w:usb0="00000001" w:usb1="4000004A" w:usb2="00000000" w:usb3="00000000" w:csb0="0000011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Univers-Condensed">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796C0" w14:textId="77777777" w:rsidR="00AE5850" w:rsidRDefault="00AE5850" w:rsidP="00384E49">
    <w:pPr>
      <w:pStyle w:val="DBID"/>
    </w:pPr>
    <w:r>
      <w:t>U.S. Department of the Interior</w:t>
    </w:r>
  </w:p>
  <w:p w14:paraId="32CF2934" w14:textId="77777777" w:rsidR="00AE5850" w:rsidRPr="00545B01" w:rsidRDefault="00AE5850" w:rsidP="00384E49">
    <w:pPr>
      <w:pStyle w:val="DBID"/>
    </w:pPr>
    <w:r>
      <w:t>U.S. Geological Survey</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40ECF" w14:textId="77777777" w:rsidR="00AE5850" w:rsidRDefault="00AE58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6607C" w14:textId="77777777" w:rsidR="00AE5850" w:rsidRDefault="00AE58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59E3F" w14:textId="77777777" w:rsidR="00AE5850" w:rsidRPr="004126AC" w:rsidRDefault="00AE5850" w:rsidP="00686EA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15DD4" w14:textId="77777777" w:rsidR="00AE5850" w:rsidRDefault="00AE5850">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2C26B" w14:textId="77777777" w:rsidR="00AE5850" w:rsidRPr="004126AC" w:rsidRDefault="00AE585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121E90">
      <w:rPr>
        <w:noProof/>
      </w:rPr>
      <w:t>x</w:t>
    </w:r>
    <w:r w:rsidRPr="004126AC">
      <w:rPr>
        <w:noProof/>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06708" w14:textId="77777777" w:rsidR="00AE5850" w:rsidRPr="004126AC" w:rsidRDefault="00AE585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121E90">
      <w:rPr>
        <w:noProof/>
      </w:rPr>
      <w:t>xiii</w:t>
    </w:r>
    <w:r w:rsidRPr="004126AC">
      <w:rPr>
        <w:noProof/>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09E71" w14:textId="77777777" w:rsidR="00AE5850" w:rsidRPr="004126AC" w:rsidRDefault="00AE585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121E90">
      <w:rPr>
        <w:noProof/>
      </w:rPr>
      <w:t>28</w:t>
    </w:r>
    <w:r w:rsidRPr="004126AC">
      <w:rPr>
        <w:noProof/>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7392A" w14:textId="77777777" w:rsidR="00AE5850" w:rsidRDefault="00AE5850"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11990496" w14:textId="77777777" w:rsidR="00AE5850" w:rsidRDefault="00AE5850">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D873F" w14:textId="77777777" w:rsidR="00AE5850" w:rsidRDefault="00AE5850" w:rsidP="00B24551">
    <w:pPr>
      <w:pStyle w:val="Footer"/>
      <w:tabs>
        <w:tab w:val="clear" w:pos="4320"/>
        <w:tab w:val="center" w:pos="4680"/>
      </w:tabs>
    </w:pPr>
    <w:r>
      <w:tab/>
    </w:r>
    <w:r>
      <w:fldChar w:fldCharType="begin"/>
    </w:r>
    <w:r>
      <w:instrText xml:space="preserve"> PAGE   \* MERGEFORMAT </w:instrText>
    </w:r>
    <w:r>
      <w:fldChar w:fldCharType="separate"/>
    </w:r>
    <w:r w:rsidR="00121E90">
      <w:rPr>
        <w:noProof/>
      </w:rPr>
      <w:t>39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56A46" w14:textId="77777777" w:rsidR="00AE5850" w:rsidRDefault="00AE5850">
      <w:pPr>
        <w:spacing w:line="240" w:lineRule="auto"/>
      </w:pPr>
      <w:r>
        <w:separator/>
      </w:r>
    </w:p>
  </w:footnote>
  <w:footnote w:type="continuationSeparator" w:id="0">
    <w:p w14:paraId="6378C086" w14:textId="77777777" w:rsidR="00AE5850" w:rsidRDefault="00AE585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C75BE2"/>
    <w:multiLevelType w:val="hybridMultilevel"/>
    <w:tmpl w:val="6940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F47301"/>
    <w:multiLevelType w:val="hybridMultilevel"/>
    <w:tmpl w:val="384C3534"/>
    <w:lvl w:ilvl="0" w:tplc="644E84A6">
      <w:start w:val="1"/>
      <w:numFmt w:val="decimal"/>
      <w:lvlText w:val="Figur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625CF"/>
    <w:multiLevelType w:val="hybridMultilevel"/>
    <w:tmpl w:val="49800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8D56C1"/>
    <w:multiLevelType w:val="hybridMultilevel"/>
    <w:tmpl w:val="5DD05690"/>
    <w:lvl w:ilvl="0" w:tplc="250EF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4">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6">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86C79"/>
    <w:multiLevelType w:val="hybridMultilevel"/>
    <w:tmpl w:val="00507DD0"/>
    <w:lvl w:ilvl="0" w:tplc="46940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75058"/>
    <w:multiLevelType w:val="hybridMultilevel"/>
    <w:tmpl w:val="0C488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5"/>
  </w:num>
  <w:num w:numId="6">
    <w:abstractNumId w:val="19"/>
  </w:num>
  <w:num w:numId="7">
    <w:abstractNumId w:val="12"/>
  </w:num>
  <w:num w:numId="8">
    <w:abstractNumId w:val="22"/>
  </w:num>
  <w:num w:numId="9">
    <w:abstractNumId w:val="16"/>
  </w:num>
  <w:num w:numId="10">
    <w:abstractNumId w:val="17"/>
  </w:num>
  <w:num w:numId="11">
    <w:abstractNumId w:val="23"/>
  </w:num>
  <w:num w:numId="12">
    <w:abstractNumId w:val="7"/>
  </w:num>
  <w:num w:numId="13">
    <w:abstractNumId w:val="21"/>
  </w:num>
  <w:num w:numId="14">
    <w:abstractNumId w:val="14"/>
  </w:num>
  <w:num w:numId="15">
    <w:abstractNumId w:val="3"/>
  </w:num>
  <w:num w:numId="16">
    <w:abstractNumId w:val="2"/>
  </w:num>
  <w:num w:numId="17">
    <w:abstractNumId w:val="1"/>
  </w:num>
  <w:num w:numId="18">
    <w:abstractNumId w:val="0"/>
  </w:num>
  <w:num w:numId="19">
    <w:abstractNumId w:val="19"/>
    <w:lvlOverride w:ilvl="0">
      <w:startOverride w:val="1"/>
    </w:lvlOverride>
  </w:num>
  <w:num w:numId="20">
    <w:abstractNumId w:val="9"/>
  </w:num>
  <w:num w:numId="21">
    <w:abstractNumId w:val="1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8"/>
  </w:num>
  <w:num w:numId="26">
    <w:abstractNumId w:val="20"/>
  </w:num>
  <w:num w:numId="2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A3"/>
    <w:rsid w:val="0000008B"/>
    <w:rsid w:val="00000D73"/>
    <w:rsid w:val="00010259"/>
    <w:rsid w:val="00011E01"/>
    <w:rsid w:val="0001752A"/>
    <w:rsid w:val="00020DBA"/>
    <w:rsid w:val="00030B12"/>
    <w:rsid w:val="000323A2"/>
    <w:rsid w:val="00036913"/>
    <w:rsid w:val="00036DCE"/>
    <w:rsid w:val="00037320"/>
    <w:rsid w:val="000419BF"/>
    <w:rsid w:val="00044523"/>
    <w:rsid w:val="00045CA8"/>
    <w:rsid w:val="00047108"/>
    <w:rsid w:val="00053A9E"/>
    <w:rsid w:val="000572C1"/>
    <w:rsid w:val="000574ED"/>
    <w:rsid w:val="00060FAC"/>
    <w:rsid w:val="0006436B"/>
    <w:rsid w:val="000746DA"/>
    <w:rsid w:val="000756E7"/>
    <w:rsid w:val="00076276"/>
    <w:rsid w:val="00081932"/>
    <w:rsid w:val="00087A89"/>
    <w:rsid w:val="00087B06"/>
    <w:rsid w:val="00090CFF"/>
    <w:rsid w:val="00094740"/>
    <w:rsid w:val="00096E18"/>
    <w:rsid w:val="000A1F71"/>
    <w:rsid w:val="000A4CE5"/>
    <w:rsid w:val="000A5F64"/>
    <w:rsid w:val="000B1087"/>
    <w:rsid w:val="000B1B67"/>
    <w:rsid w:val="000B1C5C"/>
    <w:rsid w:val="000B3495"/>
    <w:rsid w:val="000C0164"/>
    <w:rsid w:val="000C0DF8"/>
    <w:rsid w:val="000C5A33"/>
    <w:rsid w:val="000D17EF"/>
    <w:rsid w:val="000D2CB9"/>
    <w:rsid w:val="000E05CB"/>
    <w:rsid w:val="000E305C"/>
    <w:rsid w:val="000E3928"/>
    <w:rsid w:val="000E4208"/>
    <w:rsid w:val="000E4A13"/>
    <w:rsid w:val="000E631D"/>
    <w:rsid w:val="000F2DAC"/>
    <w:rsid w:val="000F56F9"/>
    <w:rsid w:val="0010039B"/>
    <w:rsid w:val="001019C4"/>
    <w:rsid w:val="00106EC0"/>
    <w:rsid w:val="001104CB"/>
    <w:rsid w:val="00112274"/>
    <w:rsid w:val="00112812"/>
    <w:rsid w:val="00112817"/>
    <w:rsid w:val="001129B1"/>
    <w:rsid w:val="00112B28"/>
    <w:rsid w:val="00112DAA"/>
    <w:rsid w:val="001133F3"/>
    <w:rsid w:val="00115AB9"/>
    <w:rsid w:val="00120471"/>
    <w:rsid w:val="00121E90"/>
    <w:rsid w:val="00131FDF"/>
    <w:rsid w:val="00132402"/>
    <w:rsid w:val="00133B90"/>
    <w:rsid w:val="00134788"/>
    <w:rsid w:val="001371BE"/>
    <w:rsid w:val="001478AE"/>
    <w:rsid w:val="00147CD1"/>
    <w:rsid w:val="00151C75"/>
    <w:rsid w:val="00153923"/>
    <w:rsid w:val="0015565F"/>
    <w:rsid w:val="00161C32"/>
    <w:rsid w:val="00163E4D"/>
    <w:rsid w:val="00165E1C"/>
    <w:rsid w:val="00170221"/>
    <w:rsid w:val="00172ED9"/>
    <w:rsid w:val="00174AA3"/>
    <w:rsid w:val="001754D0"/>
    <w:rsid w:val="00175FA1"/>
    <w:rsid w:val="0018058F"/>
    <w:rsid w:val="00180DD8"/>
    <w:rsid w:val="00183C04"/>
    <w:rsid w:val="001854B1"/>
    <w:rsid w:val="00187628"/>
    <w:rsid w:val="00190832"/>
    <w:rsid w:val="00191150"/>
    <w:rsid w:val="00191F8C"/>
    <w:rsid w:val="00192A35"/>
    <w:rsid w:val="00195B39"/>
    <w:rsid w:val="00195BE7"/>
    <w:rsid w:val="0019719F"/>
    <w:rsid w:val="001A1E6B"/>
    <w:rsid w:val="001A2225"/>
    <w:rsid w:val="001A22D6"/>
    <w:rsid w:val="001A45DB"/>
    <w:rsid w:val="001A4936"/>
    <w:rsid w:val="001A64FD"/>
    <w:rsid w:val="001B132E"/>
    <w:rsid w:val="001B380D"/>
    <w:rsid w:val="001B61C6"/>
    <w:rsid w:val="001B7A90"/>
    <w:rsid w:val="001C02A6"/>
    <w:rsid w:val="001C5C35"/>
    <w:rsid w:val="001C6A5A"/>
    <w:rsid w:val="001D095A"/>
    <w:rsid w:val="001D23D0"/>
    <w:rsid w:val="001D604C"/>
    <w:rsid w:val="001D70F8"/>
    <w:rsid w:val="001E063A"/>
    <w:rsid w:val="001E0EDF"/>
    <w:rsid w:val="001E4B89"/>
    <w:rsid w:val="001E57CF"/>
    <w:rsid w:val="001F1EB4"/>
    <w:rsid w:val="001F3353"/>
    <w:rsid w:val="001F4DFD"/>
    <w:rsid w:val="001F7B67"/>
    <w:rsid w:val="002106D5"/>
    <w:rsid w:val="002121AC"/>
    <w:rsid w:val="00213BED"/>
    <w:rsid w:val="00215E7F"/>
    <w:rsid w:val="00216AA8"/>
    <w:rsid w:val="0022114B"/>
    <w:rsid w:val="00221BA2"/>
    <w:rsid w:val="0022261B"/>
    <w:rsid w:val="00223BE3"/>
    <w:rsid w:val="00223FD5"/>
    <w:rsid w:val="00227E8E"/>
    <w:rsid w:val="00231E92"/>
    <w:rsid w:val="002354E8"/>
    <w:rsid w:val="002450F8"/>
    <w:rsid w:val="002454FC"/>
    <w:rsid w:val="002516A0"/>
    <w:rsid w:val="00262314"/>
    <w:rsid w:val="00262FB7"/>
    <w:rsid w:val="0026469E"/>
    <w:rsid w:val="00265537"/>
    <w:rsid w:val="00266441"/>
    <w:rsid w:val="00271408"/>
    <w:rsid w:val="002805BF"/>
    <w:rsid w:val="00280BA8"/>
    <w:rsid w:val="00281756"/>
    <w:rsid w:val="00281F75"/>
    <w:rsid w:val="00282C69"/>
    <w:rsid w:val="00283214"/>
    <w:rsid w:val="002834EA"/>
    <w:rsid w:val="002867AE"/>
    <w:rsid w:val="00286C7F"/>
    <w:rsid w:val="0029519C"/>
    <w:rsid w:val="002A0B95"/>
    <w:rsid w:val="002A13BD"/>
    <w:rsid w:val="002A526D"/>
    <w:rsid w:val="002A6991"/>
    <w:rsid w:val="002B0E6C"/>
    <w:rsid w:val="002B1CAB"/>
    <w:rsid w:val="002B20E0"/>
    <w:rsid w:val="002B42B6"/>
    <w:rsid w:val="002B7A30"/>
    <w:rsid w:val="002C09AF"/>
    <w:rsid w:val="002C0BCA"/>
    <w:rsid w:val="002C0FCB"/>
    <w:rsid w:val="002C40E4"/>
    <w:rsid w:val="002D4586"/>
    <w:rsid w:val="002D7464"/>
    <w:rsid w:val="002E21F6"/>
    <w:rsid w:val="002E6D53"/>
    <w:rsid w:val="002E781C"/>
    <w:rsid w:val="002F074A"/>
    <w:rsid w:val="002F3995"/>
    <w:rsid w:val="00303987"/>
    <w:rsid w:val="00305C99"/>
    <w:rsid w:val="00311507"/>
    <w:rsid w:val="0031327D"/>
    <w:rsid w:val="00315492"/>
    <w:rsid w:val="0032048B"/>
    <w:rsid w:val="00321CB2"/>
    <w:rsid w:val="0032575F"/>
    <w:rsid w:val="003273C4"/>
    <w:rsid w:val="00330EFD"/>
    <w:rsid w:val="00334136"/>
    <w:rsid w:val="003349DE"/>
    <w:rsid w:val="00335D03"/>
    <w:rsid w:val="003419E8"/>
    <w:rsid w:val="00342AF7"/>
    <w:rsid w:val="00344308"/>
    <w:rsid w:val="0035289A"/>
    <w:rsid w:val="003546FF"/>
    <w:rsid w:val="00354A52"/>
    <w:rsid w:val="00355364"/>
    <w:rsid w:val="00357C52"/>
    <w:rsid w:val="00357DCB"/>
    <w:rsid w:val="00360535"/>
    <w:rsid w:val="0036291C"/>
    <w:rsid w:val="00362AA9"/>
    <w:rsid w:val="00363C72"/>
    <w:rsid w:val="00367838"/>
    <w:rsid w:val="00367F99"/>
    <w:rsid w:val="00370C3D"/>
    <w:rsid w:val="003716A3"/>
    <w:rsid w:val="00375169"/>
    <w:rsid w:val="00375C2F"/>
    <w:rsid w:val="00375D94"/>
    <w:rsid w:val="00376734"/>
    <w:rsid w:val="0038152B"/>
    <w:rsid w:val="00382FC0"/>
    <w:rsid w:val="00384988"/>
    <w:rsid w:val="00384E49"/>
    <w:rsid w:val="00384E9B"/>
    <w:rsid w:val="003876AA"/>
    <w:rsid w:val="003909C5"/>
    <w:rsid w:val="00393481"/>
    <w:rsid w:val="003938CE"/>
    <w:rsid w:val="0039551A"/>
    <w:rsid w:val="00396319"/>
    <w:rsid w:val="003963A8"/>
    <w:rsid w:val="003977F8"/>
    <w:rsid w:val="003A109D"/>
    <w:rsid w:val="003A520F"/>
    <w:rsid w:val="003A608F"/>
    <w:rsid w:val="003B0C73"/>
    <w:rsid w:val="003B4681"/>
    <w:rsid w:val="003B47FE"/>
    <w:rsid w:val="003B7FE2"/>
    <w:rsid w:val="003C1521"/>
    <w:rsid w:val="003C21CB"/>
    <w:rsid w:val="003C3BC9"/>
    <w:rsid w:val="003C411C"/>
    <w:rsid w:val="003C490F"/>
    <w:rsid w:val="003C7F7D"/>
    <w:rsid w:val="003D28FB"/>
    <w:rsid w:val="003D3FC4"/>
    <w:rsid w:val="003D4F1B"/>
    <w:rsid w:val="003D7B48"/>
    <w:rsid w:val="003D7D95"/>
    <w:rsid w:val="003E2035"/>
    <w:rsid w:val="003E550A"/>
    <w:rsid w:val="003E5EFC"/>
    <w:rsid w:val="003F0926"/>
    <w:rsid w:val="003F2494"/>
    <w:rsid w:val="003F3BAE"/>
    <w:rsid w:val="003F424C"/>
    <w:rsid w:val="00402F5B"/>
    <w:rsid w:val="00403D34"/>
    <w:rsid w:val="0041064E"/>
    <w:rsid w:val="00410E9B"/>
    <w:rsid w:val="00415387"/>
    <w:rsid w:val="0042581B"/>
    <w:rsid w:val="0042611A"/>
    <w:rsid w:val="0042732A"/>
    <w:rsid w:val="00432387"/>
    <w:rsid w:val="00436ECA"/>
    <w:rsid w:val="0044039E"/>
    <w:rsid w:val="0044270B"/>
    <w:rsid w:val="00450824"/>
    <w:rsid w:val="00452568"/>
    <w:rsid w:val="004531C4"/>
    <w:rsid w:val="004551E0"/>
    <w:rsid w:val="004561A2"/>
    <w:rsid w:val="00464C9E"/>
    <w:rsid w:val="0046626C"/>
    <w:rsid w:val="00467FB2"/>
    <w:rsid w:val="0047496E"/>
    <w:rsid w:val="00474AE4"/>
    <w:rsid w:val="00475952"/>
    <w:rsid w:val="004801C0"/>
    <w:rsid w:val="004802D0"/>
    <w:rsid w:val="00480710"/>
    <w:rsid w:val="004809F7"/>
    <w:rsid w:val="00481B07"/>
    <w:rsid w:val="00485247"/>
    <w:rsid w:val="004860C7"/>
    <w:rsid w:val="00496514"/>
    <w:rsid w:val="0049775C"/>
    <w:rsid w:val="004A16C2"/>
    <w:rsid w:val="004A1FAB"/>
    <w:rsid w:val="004A1FCD"/>
    <w:rsid w:val="004A7158"/>
    <w:rsid w:val="004B0EE1"/>
    <w:rsid w:val="004B6FED"/>
    <w:rsid w:val="004C31D1"/>
    <w:rsid w:val="004C3B84"/>
    <w:rsid w:val="004C6D19"/>
    <w:rsid w:val="004D4131"/>
    <w:rsid w:val="004D477D"/>
    <w:rsid w:val="004D6DF8"/>
    <w:rsid w:val="004D7A65"/>
    <w:rsid w:val="004E17F7"/>
    <w:rsid w:val="004E228E"/>
    <w:rsid w:val="004E24E0"/>
    <w:rsid w:val="004E2915"/>
    <w:rsid w:val="004E3F5A"/>
    <w:rsid w:val="004E438D"/>
    <w:rsid w:val="004E4B63"/>
    <w:rsid w:val="004E7E43"/>
    <w:rsid w:val="004F1A4A"/>
    <w:rsid w:val="005030EE"/>
    <w:rsid w:val="005050D0"/>
    <w:rsid w:val="005067E6"/>
    <w:rsid w:val="0051415A"/>
    <w:rsid w:val="00521255"/>
    <w:rsid w:val="00522592"/>
    <w:rsid w:val="00522C15"/>
    <w:rsid w:val="00524E45"/>
    <w:rsid w:val="00525EA6"/>
    <w:rsid w:val="00526723"/>
    <w:rsid w:val="00527E70"/>
    <w:rsid w:val="00530CE1"/>
    <w:rsid w:val="00535E04"/>
    <w:rsid w:val="0054027B"/>
    <w:rsid w:val="00540893"/>
    <w:rsid w:val="00541F68"/>
    <w:rsid w:val="00545B01"/>
    <w:rsid w:val="005506C9"/>
    <w:rsid w:val="005507D5"/>
    <w:rsid w:val="00551751"/>
    <w:rsid w:val="0056288F"/>
    <w:rsid w:val="0056546D"/>
    <w:rsid w:val="00565A4D"/>
    <w:rsid w:val="00571413"/>
    <w:rsid w:val="00572D61"/>
    <w:rsid w:val="00572F92"/>
    <w:rsid w:val="00573CF5"/>
    <w:rsid w:val="005831AC"/>
    <w:rsid w:val="00586812"/>
    <w:rsid w:val="00587A8C"/>
    <w:rsid w:val="0059001C"/>
    <w:rsid w:val="00597C83"/>
    <w:rsid w:val="005A0261"/>
    <w:rsid w:val="005A10D3"/>
    <w:rsid w:val="005A1A48"/>
    <w:rsid w:val="005A316E"/>
    <w:rsid w:val="005A5D46"/>
    <w:rsid w:val="005A5E9B"/>
    <w:rsid w:val="005A7B6C"/>
    <w:rsid w:val="005B1A6E"/>
    <w:rsid w:val="005B51F4"/>
    <w:rsid w:val="005B5E24"/>
    <w:rsid w:val="005B62C2"/>
    <w:rsid w:val="005B6FA9"/>
    <w:rsid w:val="005B761C"/>
    <w:rsid w:val="005C0793"/>
    <w:rsid w:val="005C2DE4"/>
    <w:rsid w:val="005C3DFE"/>
    <w:rsid w:val="005C510C"/>
    <w:rsid w:val="005C62B4"/>
    <w:rsid w:val="005C76F1"/>
    <w:rsid w:val="005C7CBF"/>
    <w:rsid w:val="005C7F31"/>
    <w:rsid w:val="005D70F7"/>
    <w:rsid w:val="005E0A0B"/>
    <w:rsid w:val="005E0EF4"/>
    <w:rsid w:val="005E1E58"/>
    <w:rsid w:val="005E2F44"/>
    <w:rsid w:val="005E39BC"/>
    <w:rsid w:val="005E781B"/>
    <w:rsid w:val="005F0A9C"/>
    <w:rsid w:val="005F36A6"/>
    <w:rsid w:val="005F3FCA"/>
    <w:rsid w:val="005F411F"/>
    <w:rsid w:val="005F428C"/>
    <w:rsid w:val="00600D0D"/>
    <w:rsid w:val="00602AC7"/>
    <w:rsid w:val="0060311A"/>
    <w:rsid w:val="006059E9"/>
    <w:rsid w:val="006100BA"/>
    <w:rsid w:val="0061267D"/>
    <w:rsid w:val="00612789"/>
    <w:rsid w:val="006141E8"/>
    <w:rsid w:val="006213F8"/>
    <w:rsid w:val="0062229A"/>
    <w:rsid w:val="00623959"/>
    <w:rsid w:val="006258BA"/>
    <w:rsid w:val="00634FF3"/>
    <w:rsid w:val="00635C13"/>
    <w:rsid w:val="00637F23"/>
    <w:rsid w:val="006426B6"/>
    <w:rsid w:val="0064351F"/>
    <w:rsid w:val="006459BA"/>
    <w:rsid w:val="00650005"/>
    <w:rsid w:val="00651236"/>
    <w:rsid w:val="006512F4"/>
    <w:rsid w:val="006568D7"/>
    <w:rsid w:val="006607D9"/>
    <w:rsid w:val="0066354F"/>
    <w:rsid w:val="0066757E"/>
    <w:rsid w:val="00667E73"/>
    <w:rsid w:val="0067410E"/>
    <w:rsid w:val="00676274"/>
    <w:rsid w:val="00680E34"/>
    <w:rsid w:val="006837C5"/>
    <w:rsid w:val="00686CC9"/>
    <w:rsid w:val="00686EA3"/>
    <w:rsid w:val="00690A0E"/>
    <w:rsid w:val="0069187A"/>
    <w:rsid w:val="00691B7C"/>
    <w:rsid w:val="0069355A"/>
    <w:rsid w:val="0069721F"/>
    <w:rsid w:val="006A02E6"/>
    <w:rsid w:val="006A45FE"/>
    <w:rsid w:val="006A4789"/>
    <w:rsid w:val="006A5078"/>
    <w:rsid w:val="006B0EFD"/>
    <w:rsid w:val="006B1B0F"/>
    <w:rsid w:val="006B25D3"/>
    <w:rsid w:val="006B67BF"/>
    <w:rsid w:val="006C0881"/>
    <w:rsid w:val="006C1F0E"/>
    <w:rsid w:val="006C670C"/>
    <w:rsid w:val="006C6C53"/>
    <w:rsid w:val="006D19FE"/>
    <w:rsid w:val="006D6179"/>
    <w:rsid w:val="006D6CC6"/>
    <w:rsid w:val="006E0C0A"/>
    <w:rsid w:val="006E3814"/>
    <w:rsid w:val="006E5D27"/>
    <w:rsid w:val="006F30A4"/>
    <w:rsid w:val="006F606B"/>
    <w:rsid w:val="006F7BFA"/>
    <w:rsid w:val="00703733"/>
    <w:rsid w:val="00705CD7"/>
    <w:rsid w:val="00712440"/>
    <w:rsid w:val="00714240"/>
    <w:rsid w:val="007154EB"/>
    <w:rsid w:val="00715D29"/>
    <w:rsid w:val="00720E82"/>
    <w:rsid w:val="00721589"/>
    <w:rsid w:val="00723E32"/>
    <w:rsid w:val="007260AA"/>
    <w:rsid w:val="00726E14"/>
    <w:rsid w:val="00727250"/>
    <w:rsid w:val="00727DC6"/>
    <w:rsid w:val="00730B70"/>
    <w:rsid w:val="00735FA9"/>
    <w:rsid w:val="007360D9"/>
    <w:rsid w:val="007440E1"/>
    <w:rsid w:val="007445AC"/>
    <w:rsid w:val="007454AD"/>
    <w:rsid w:val="0074797D"/>
    <w:rsid w:val="00750A92"/>
    <w:rsid w:val="007511FB"/>
    <w:rsid w:val="0075410E"/>
    <w:rsid w:val="00754DB5"/>
    <w:rsid w:val="00755DDF"/>
    <w:rsid w:val="007567C5"/>
    <w:rsid w:val="007655BF"/>
    <w:rsid w:val="0076787F"/>
    <w:rsid w:val="00774615"/>
    <w:rsid w:val="00775711"/>
    <w:rsid w:val="007770D2"/>
    <w:rsid w:val="00784F88"/>
    <w:rsid w:val="007878E6"/>
    <w:rsid w:val="007920E3"/>
    <w:rsid w:val="007A1D52"/>
    <w:rsid w:val="007A50E5"/>
    <w:rsid w:val="007A6D53"/>
    <w:rsid w:val="007B1619"/>
    <w:rsid w:val="007B1A9D"/>
    <w:rsid w:val="007B1CA7"/>
    <w:rsid w:val="007B44E2"/>
    <w:rsid w:val="007B468B"/>
    <w:rsid w:val="007B6E60"/>
    <w:rsid w:val="007C4C79"/>
    <w:rsid w:val="007D6483"/>
    <w:rsid w:val="007E1085"/>
    <w:rsid w:val="007E1CFF"/>
    <w:rsid w:val="007E43F2"/>
    <w:rsid w:val="007E4442"/>
    <w:rsid w:val="007E500D"/>
    <w:rsid w:val="007E628F"/>
    <w:rsid w:val="007E7971"/>
    <w:rsid w:val="007F0733"/>
    <w:rsid w:val="007F509D"/>
    <w:rsid w:val="007F5260"/>
    <w:rsid w:val="007F6D16"/>
    <w:rsid w:val="008027E5"/>
    <w:rsid w:val="00802914"/>
    <w:rsid w:val="0080735D"/>
    <w:rsid w:val="008114CF"/>
    <w:rsid w:val="00811A40"/>
    <w:rsid w:val="0081552B"/>
    <w:rsid w:val="0082107B"/>
    <w:rsid w:val="008246A3"/>
    <w:rsid w:val="00825C67"/>
    <w:rsid w:val="008264D0"/>
    <w:rsid w:val="008271AC"/>
    <w:rsid w:val="008310B8"/>
    <w:rsid w:val="008352B0"/>
    <w:rsid w:val="008413BF"/>
    <w:rsid w:val="0084174B"/>
    <w:rsid w:val="00842F3C"/>
    <w:rsid w:val="008435B3"/>
    <w:rsid w:val="00844D33"/>
    <w:rsid w:val="00845286"/>
    <w:rsid w:val="00846025"/>
    <w:rsid w:val="0084704E"/>
    <w:rsid w:val="0085502B"/>
    <w:rsid w:val="008551E8"/>
    <w:rsid w:val="00862DEE"/>
    <w:rsid w:val="00865991"/>
    <w:rsid w:val="00866047"/>
    <w:rsid w:val="00872DD3"/>
    <w:rsid w:val="00872F0F"/>
    <w:rsid w:val="0088065D"/>
    <w:rsid w:val="00885267"/>
    <w:rsid w:val="008856C6"/>
    <w:rsid w:val="0089437E"/>
    <w:rsid w:val="00895C9A"/>
    <w:rsid w:val="00896710"/>
    <w:rsid w:val="0089734F"/>
    <w:rsid w:val="008973A5"/>
    <w:rsid w:val="008A095D"/>
    <w:rsid w:val="008A1DC8"/>
    <w:rsid w:val="008A37B0"/>
    <w:rsid w:val="008A536B"/>
    <w:rsid w:val="008A5F21"/>
    <w:rsid w:val="008A68C5"/>
    <w:rsid w:val="008A77D0"/>
    <w:rsid w:val="008B0CC8"/>
    <w:rsid w:val="008B7999"/>
    <w:rsid w:val="008C2430"/>
    <w:rsid w:val="008C268B"/>
    <w:rsid w:val="008C543C"/>
    <w:rsid w:val="008D2840"/>
    <w:rsid w:val="008D51F8"/>
    <w:rsid w:val="008D5F7F"/>
    <w:rsid w:val="008E0605"/>
    <w:rsid w:val="008E0F21"/>
    <w:rsid w:val="008E261D"/>
    <w:rsid w:val="008E2EB6"/>
    <w:rsid w:val="008E653F"/>
    <w:rsid w:val="008E7155"/>
    <w:rsid w:val="008E7275"/>
    <w:rsid w:val="008F0D6C"/>
    <w:rsid w:val="008F1812"/>
    <w:rsid w:val="008F3C53"/>
    <w:rsid w:val="008F614A"/>
    <w:rsid w:val="008F7088"/>
    <w:rsid w:val="008F714C"/>
    <w:rsid w:val="008F739F"/>
    <w:rsid w:val="0090522A"/>
    <w:rsid w:val="00911BF3"/>
    <w:rsid w:val="0091393E"/>
    <w:rsid w:val="009150D9"/>
    <w:rsid w:val="00920E25"/>
    <w:rsid w:val="00923746"/>
    <w:rsid w:val="009246EF"/>
    <w:rsid w:val="0092549B"/>
    <w:rsid w:val="009260A0"/>
    <w:rsid w:val="0092735D"/>
    <w:rsid w:val="0093528A"/>
    <w:rsid w:val="0093733A"/>
    <w:rsid w:val="0094429C"/>
    <w:rsid w:val="00946379"/>
    <w:rsid w:val="00946770"/>
    <w:rsid w:val="00947708"/>
    <w:rsid w:val="009527FE"/>
    <w:rsid w:val="00954C1C"/>
    <w:rsid w:val="00955BB2"/>
    <w:rsid w:val="0095618F"/>
    <w:rsid w:val="00957D26"/>
    <w:rsid w:val="00964352"/>
    <w:rsid w:val="009667DB"/>
    <w:rsid w:val="00966E4D"/>
    <w:rsid w:val="00973F11"/>
    <w:rsid w:val="00976075"/>
    <w:rsid w:val="00977264"/>
    <w:rsid w:val="00977BAE"/>
    <w:rsid w:val="00977DAB"/>
    <w:rsid w:val="00982B68"/>
    <w:rsid w:val="00983864"/>
    <w:rsid w:val="009862D7"/>
    <w:rsid w:val="009865E1"/>
    <w:rsid w:val="00986689"/>
    <w:rsid w:val="0099083A"/>
    <w:rsid w:val="00991612"/>
    <w:rsid w:val="00991DE3"/>
    <w:rsid w:val="009923ED"/>
    <w:rsid w:val="00992F13"/>
    <w:rsid w:val="009A164A"/>
    <w:rsid w:val="009A1854"/>
    <w:rsid w:val="009A2B7F"/>
    <w:rsid w:val="009A7F3B"/>
    <w:rsid w:val="009B0B9B"/>
    <w:rsid w:val="009B0FA4"/>
    <w:rsid w:val="009B22DF"/>
    <w:rsid w:val="009B5DFB"/>
    <w:rsid w:val="009C3469"/>
    <w:rsid w:val="009C3681"/>
    <w:rsid w:val="009C5F9A"/>
    <w:rsid w:val="009C75E8"/>
    <w:rsid w:val="009C7E42"/>
    <w:rsid w:val="009D09CE"/>
    <w:rsid w:val="009D502C"/>
    <w:rsid w:val="009D57EF"/>
    <w:rsid w:val="009D5997"/>
    <w:rsid w:val="009D6E8D"/>
    <w:rsid w:val="009E2263"/>
    <w:rsid w:val="009E22CB"/>
    <w:rsid w:val="009E32FA"/>
    <w:rsid w:val="009E78B2"/>
    <w:rsid w:val="009F4ACD"/>
    <w:rsid w:val="009F66A4"/>
    <w:rsid w:val="00A1144D"/>
    <w:rsid w:val="00A11B11"/>
    <w:rsid w:val="00A11E14"/>
    <w:rsid w:val="00A11EDA"/>
    <w:rsid w:val="00A12149"/>
    <w:rsid w:val="00A13F9A"/>
    <w:rsid w:val="00A16AD2"/>
    <w:rsid w:val="00A200E4"/>
    <w:rsid w:val="00A32DA2"/>
    <w:rsid w:val="00A346F2"/>
    <w:rsid w:val="00A37184"/>
    <w:rsid w:val="00A40A25"/>
    <w:rsid w:val="00A40C34"/>
    <w:rsid w:val="00A40EFC"/>
    <w:rsid w:val="00A44D11"/>
    <w:rsid w:val="00A46B2C"/>
    <w:rsid w:val="00A5156B"/>
    <w:rsid w:val="00A526D6"/>
    <w:rsid w:val="00A545E7"/>
    <w:rsid w:val="00A55B71"/>
    <w:rsid w:val="00A56CA3"/>
    <w:rsid w:val="00A602FE"/>
    <w:rsid w:val="00A61D76"/>
    <w:rsid w:val="00A61EA1"/>
    <w:rsid w:val="00A62200"/>
    <w:rsid w:val="00A62575"/>
    <w:rsid w:val="00A64F0F"/>
    <w:rsid w:val="00A708E7"/>
    <w:rsid w:val="00A72D0A"/>
    <w:rsid w:val="00A75173"/>
    <w:rsid w:val="00A772B9"/>
    <w:rsid w:val="00A82751"/>
    <w:rsid w:val="00A86FBC"/>
    <w:rsid w:val="00A87C27"/>
    <w:rsid w:val="00A91026"/>
    <w:rsid w:val="00A962C7"/>
    <w:rsid w:val="00A974A5"/>
    <w:rsid w:val="00AA07ED"/>
    <w:rsid w:val="00AA3B82"/>
    <w:rsid w:val="00AA40E4"/>
    <w:rsid w:val="00AA4F28"/>
    <w:rsid w:val="00AB590C"/>
    <w:rsid w:val="00AB6CA0"/>
    <w:rsid w:val="00AB7647"/>
    <w:rsid w:val="00AC0120"/>
    <w:rsid w:val="00AC0257"/>
    <w:rsid w:val="00AC3B63"/>
    <w:rsid w:val="00AC79D0"/>
    <w:rsid w:val="00AD2CD3"/>
    <w:rsid w:val="00AD601E"/>
    <w:rsid w:val="00AD76E3"/>
    <w:rsid w:val="00AE2DA8"/>
    <w:rsid w:val="00AE3CC7"/>
    <w:rsid w:val="00AE53EC"/>
    <w:rsid w:val="00AE5850"/>
    <w:rsid w:val="00AE58EE"/>
    <w:rsid w:val="00AE7BB7"/>
    <w:rsid w:val="00AF24AF"/>
    <w:rsid w:val="00AF321D"/>
    <w:rsid w:val="00AF500D"/>
    <w:rsid w:val="00AF6816"/>
    <w:rsid w:val="00AF6C54"/>
    <w:rsid w:val="00AF768F"/>
    <w:rsid w:val="00B022A3"/>
    <w:rsid w:val="00B03598"/>
    <w:rsid w:val="00B061B5"/>
    <w:rsid w:val="00B12855"/>
    <w:rsid w:val="00B13FD1"/>
    <w:rsid w:val="00B16CD7"/>
    <w:rsid w:val="00B17834"/>
    <w:rsid w:val="00B2226B"/>
    <w:rsid w:val="00B22AF2"/>
    <w:rsid w:val="00B238A7"/>
    <w:rsid w:val="00B24551"/>
    <w:rsid w:val="00B26564"/>
    <w:rsid w:val="00B26F2A"/>
    <w:rsid w:val="00B32433"/>
    <w:rsid w:val="00B36C37"/>
    <w:rsid w:val="00B40F8C"/>
    <w:rsid w:val="00B439A0"/>
    <w:rsid w:val="00B444E2"/>
    <w:rsid w:val="00B510BA"/>
    <w:rsid w:val="00B517F0"/>
    <w:rsid w:val="00B549B3"/>
    <w:rsid w:val="00B61320"/>
    <w:rsid w:val="00B63408"/>
    <w:rsid w:val="00B64C55"/>
    <w:rsid w:val="00B72038"/>
    <w:rsid w:val="00B72615"/>
    <w:rsid w:val="00B738C5"/>
    <w:rsid w:val="00B74048"/>
    <w:rsid w:val="00B76B43"/>
    <w:rsid w:val="00B77B75"/>
    <w:rsid w:val="00B848CD"/>
    <w:rsid w:val="00B84BD3"/>
    <w:rsid w:val="00B86B00"/>
    <w:rsid w:val="00B86E30"/>
    <w:rsid w:val="00B91D79"/>
    <w:rsid w:val="00B960D3"/>
    <w:rsid w:val="00BA2E52"/>
    <w:rsid w:val="00BA3AC6"/>
    <w:rsid w:val="00BA6186"/>
    <w:rsid w:val="00BA6745"/>
    <w:rsid w:val="00BA7DD7"/>
    <w:rsid w:val="00BB1B86"/>
    <w:rsid w:val="00BB4172"/>
    <w:rsid w:val="00BB49FC"/>
    <w:rsid w:val="00BB55C5"/>
    <w:rsid w:val="00BC09DF"/>
    <w:rsid w:val="00BC346A"/>
    <w:rsid w:val="00BC5220"/>
    <w:rsid w:val="00BD2E32"/>
    <w:rsid w:val="00BD3D5A"/>
    <w:rsid w:val="00BD7E99"/>
    <w:rsid w:val="00BD7F9B"/>
    <w:rsid w:val="00BE3B13"/>
    <w:rsid w:val="00BE63EE"/>
    <w:rsid w:val="00BF0C32"/>
    <w:rsid w:val="00BF3E04"/>
    <w:rsid w:val="00BF53B2"/>
    <w:rsid w:val="00BF554E"/>
    <w:rsid w:val="00BF6D72"/>
    <w:rsid w:val="00BF7D1C"/>
    <w:rsid w:val="00C0356C"/>
    <w:rsid w:val="00C1061B"/>
    <w:rsid w:val="00C17262"/>
    <w:rsid w:val="00C201C6"/>
    <w:rsid w:val="00C20491"/>
    <w:rsid w:val="00C21159"/>
    <w:rsid w:val="00C21C9A"/>
    <w:rsid w:val="00C242F6"/>
    <w:rsid w:val="00C2453F"/>
    <w:rsid w:val="00C32B15"/>
    <w:rsid w:val="00C36C02"/>
    <w:rsid w:val="00C515A3"/>
    <w:rsid w:val="00C533FF"/>
    <w:rsid w:val="00C54884"/>
    <w:rsid w:val="00C6170C"/>
    <w:rsid w:val="00C6276A"/>
    <w:rsid w:val="00C652FB"/>
    <w:rsid w:val="00C66840"/>
    <w:rsid w:val="00C67DD2"/>
    <w:rsid w:val="00C7087B"/>
    <w:rsid w:val="00C72B9A"/>
    <w:rsid w:val="00C804A4"/>
    <w:rsid w:val="00C8101B"/>
    <w:rsid w:val="00C81F4A"/>
    <w:rsid w:val="00C82222"/>
    <w:rsid w:val="00C84082"/>
    <w:rsid w:val="00C851BE"/>
    <w:rsid w:val="00C87BAE"/>
    <w:rsid w:val="00C919B4"/>
    <w:rsid w:val="00C94C07"/>
    <w:rsid w:val="00C95C85"/>
    <w:rsid w:val="00CA23EC"/>
    <w:rsid w:val="00CA4267"/>
    <w:rsid w:val="00CA46A6"/>
    <w:rsid w:val="00CA68D7"/>
    <w:rsid w:val="00CA7371"/>
    <w:rsid w:val="00CB242B"/>
    <w:rsid w:val="00CB4047"/>
    <w:rsid w:val="00CB432E"/>
    <w:rsid w:val="00CB6AE5"/>
    <w:rsid w:val="00CC58B3"/>
    <w:rsid w:val="00CD4230"/>
    <w:rsid w:val="00CD5A99"/>
    <w:rsid w:val="00CD6B5D"/>
    <w:rsid w:val="00CE1F4C"/>
    <w:rsid w:val="00CE2969"/>
    <w:rsid w:val="00CE2D87"/>
    <w:rsid w:val="00CE57C4"/>
    <w:rsid w:val="00CF0E2B"/>
    <w:rsid w:val="00CF1172"/>
    <w:rsid w:val="00CF396C"/>
    <w:rsid w:val="00CF7570"/>
    <w:rsid w:val="00D024B9"/>
    <w:rsid w:val="00D0272A"/>
    <w:rsid w:val="00D0307E"/>
    <w:rsid w:val="00D07FAD"/>
    <w:rsid w:val="00D10DDA"/>
    <w:rsid w:val="00D12A45"/>
    <w:rsid w:val="00D15708"/>
    <w:rsid w:val="00D1583F"/>
    <w:rsid w:val="00D162D0"/>
    <w:rsid w:val="00D166BD"/>
    <w:rsid w:val="00D17A14"/>
    <w:rsid w:val="00D21FE6"/>
    <w:rsid w:val="00D26F28"/>
    <w:rsid w:val="00D27B82"/>
    <w:rsid w:val="00D32500"/>
    <w:rsid w:val="00D3419C"/>
    <w:rsid w:val="00D36AFD"/>
    <w:rsid w:val="00D400B0"/>
    <w:rsid w:val="00D40D55"/>
    <w:rsid w:val="00D42002"/>
    <w:rsid w:val="00D427BE"/>
    <w:rsid w:val="00D43220"/>
    <w:rsid w:val="00D43B05"/>
    <w:rsid w:val="00D4530F"/>
    <w:rsid w:val="00D53F39"/>
    <w:rsid w:val="00D5419B"/>
    <w:rsid w:val="00D54FDD"/>
    <w:rsid w:val="00D55668"/>
    <w:rsid w:val="00D558B3"/>
    <w:rsid w:val="00D5633F"/>
    <w:rsid w:val="00D56B8D"/>
    <w:rsid w:val="00D57A61"/>
    <w:rsid w:val="00D604DF"/>
    <w:rsid w:val="00D655FA"/>
    <w:rsid w:val="00D80415"/>
    <w:rsid w:val="00D906E4"/>
    <w:rsid w:val="00D932FE"/>
    <w:rsid w:val="00D97514"/>
    <w:rsid w:val="00DA15BA"/>
    <w:rsid w:val="00DA381B"/>
    <w:rsid w:val="00DA3864"/>
    <w:rsid w:val="00DB06D8"/>
    <w:rsid w:val="00DB79C5"/>
    <w:rsid w:val="00DC350D"/>
    <w:rsid w:val="00DD0684"/>
    <w:rsid w:val="00DD1BB7"/>
    <w:rsid w:val="00DD2B48"/>
    <w:rsid w:val="00DD32D7"/>
    <w:rsid w:val="00DD58C5"/>
    <w:rsid w:val="00DD738D"/>
    <w:rsid w:val="00DE20E3"/>
    <w:rsid w:val="00DE558F"/>
    <w:rsid w:val="00DE5CA0"/>
    <w:rsid w:val="00DE6B71"/>
    <w:rsid w:val="00DF4F0A"/>
    <w:rsid w:val="00DF4F84"/>
    <w:rsid w:val="00DF7328"/>
    <w:rsid w:val="00E013DC"/>
    <w:rsid w:val="00E127BB"/>
    <w:rsid w:val="00E17939"/>
    <w:rsid w:val="00E20EDD"/>
    <w:rsid w:val="00E321ED"/>
    <w:rsid w:val="00E32E70"/>
    <w:rsid w:val="00E3453B"/>
    <w:rsid w:val="00E36FAF"/>
    <w:rsid w:val="00E37D77"/>
    <w:rsid w:val="00E42C19"/>
    <w:rsid w:val="00E46098"/>
    <w:rsid w:val="00E463EF"/>
    <w:rsid w:val="00E533D0"/>
    <w:rsid w:val="00E54263"/>
    <w:rsid w:val="00E54BFB"/>
    <w:rsid w:val="00E6049D"/>
    <w:rsid w:val="00E676A3"/>
    <w:rsid w:val="00E710EC"/>
    <w:rsid w:val="00E75C66"/>
    <w:rsid w:val="00E76FF0"/>
    <w:rsid w:val="00E77AF5"/>
    <w:rsid w:val="00E80A87"/>
    <w:rsid w:val="00E86548"/>
    <w:rsid w:val="00E867BF"/>
    <w:rsid w:val="00E9285D"/>
    <w:rsid w:val="00E92FE5"/>
    <w:rsid w:val="00EA0CC7"/>
    <w:rsid w:val="00EA3B42"/>
    <w:rsid w:val="00EA696D"/>
    <w:rsid w:val="00EB0269"/>
    <w:rsid w:val="00EB2CBF"/>
    <w:rsid w:val="00EB37C4"/>
    <w:rsid w:val="00EB6E07"/>
    <w:rsid w:val="00EC09B6"/>
    <w:rsid w:val="00EC1171"/>
    <w:rsid w:val="00EC1E1E"/>
    <w:rsid w:val="00EC21C0"/>
    <w:rsid w:val="00EC26F2"/>
    <w:rsid w:val="00EC2E3F"/>
    <w:rsid w:val="00ED0BFF"/>
    <w:rsid w:val="00ED4696"/>
    <w:rsid w:val="00ED7915"/>
    <w:rsid w:val="00EE521A"/>
    <w:rsid w:val="00EF0BF5"/>
    <w:rsid w:val="00EF49E9"/>
    <w:rsid w:val="00F0089B"/>
    <w:rsid w:val="00F010EF"/>
    <w:rsid w:val="00F03374"/>
    <w:rsid w:val="00F07439"/>
    <w:rsid w:val="00F0777E"/>
    <w:rsid w:val="00F1156E"/>
    <w:rsid w:val="00F15C62"/>
    <w:rsid w:val="00F21D01"/>
    <w:rsid w:val="00F30441"/>
    <w:rsid w:val="00F3296B"/>
    <w:rsid w:val="00F33F4A"/>
    <w:rsid w:val="00F368EA"/>
    <w:rsid w:val="00F36C8C"/>
    <w:rsid w:val="00F40B70"/>
    <w:rsid w:val="00F42522"/>
    <w:rsid w:val="00F426AE"/>
    <w:rsid w:val="00F43023"/>
    <w:rsid w:val="00F437A0"/>
    <w:rsid w:val="00F44E11"/>
    <w:rsid w:val="00F524A4"/>
    <w:rsid w:val="00F6080B"/>
    <w:rsid w:val="00F60A6C"/>
    <w:rsid w:val="00F61127"/>
    <w:rsid w:val="00F67F72"/>
    <w:rsid w:val="00F71280"/>
    <w:rsid w:val="00F76129"/>
    <w:rsid w:val="00F77720"/>
    <w:rsid w:val="00F816DC"/>
    <w:rsid w:val="00F83285"/>
    <w:rsid w:val="00F83980"/>
    <w:rsid w:val="00F8480F"/>
    <w:rsid w:val="00F86F44"/>
    <w:rsid w:val="00F92E73"/>
    <w:rsid w:val="00FA7956"/>
    <w:rsid w:val="00FB1861"/>
    <w:rsid w:val="00FB2744"/>
    <w:rsid w:val="00FC3B7C"/>
    <w:rsid w:val="00FC4458"/>
    <w:rsid w:val="00FC7F8C"/>
    <w:rsid w:val="00FD0DD2"/>
    <w:rsid w:val="00FD62DF"/>
    <w:rsid w:val="00FD7DE8"/>
    <w:rsid w:val="00FE201B"/>
    <w:rsid w:val="00FE263D"/>
    <w:rsid w:val="00FE3443"/>
    <w:rsid w:val="00FE4C64"/>
    <w:rsid w:val="00FE53E7"/>
    <w:rsid w:val="00FE6626"/>
    <w:rsid w:val="00FE6CCD"/>
    <w:rsid w:val="00FF0720"/>
    <w:rsid w:val="00FF292B"/>
    <w:rsid w:val="00FF5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0D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nhideWhenUsed="1"/>
    <w:lsdException w:name="header" w:uiPriority="0" w:unhideWhenUsed="1"/>
    <w:lsdException w:name="footer" w:uiPriority="0"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FE4C64"/>
    <w:pPr>
      <w:outlineLvl w:val="1"/>
    </w:pPr>
    <w:rPr>
      <w:rFonts w:cs="Times New Roman"/>
      <w:bCs w:val="0"/>
      <w:kern w:val="0"/>
      <w:sz w:val="26"/>
      <w:szCs w:val="24"/>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FE4C64"/>
    <w:rPr>
      <w:rFonts w:ascii="Arial Narrow" w:eastAsia="Times New Roman" w:hAnsi="Arial Narrow"/>
      <w:b/>
      <w:sz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FollowedHyperlink">
    <w:name w:val="FollowedHyperlink"/>
    <w:basedOn w:val="DefaultParagraphFont"/>
    <w:uiPriority w:val="99"/>
    <w:semiHidden/>
    <w:rsid w:val="005F36A6"/>
    <w:rPr>
      <w:color w:val="800080" w:themeColor="followedHyperlink"/>
      <w:u w:val="single"/>
    </w:rPr>
  </w:style>
  <w:style w:type="paragraph" w:styleId="Revision">
    <w:name w:val="Revision"/>
    <w:hidden/>
    <w:uiPriority w:val="99"/>
    <w:semiHidden/>
    <w:rsid w:val="00AF6816"/>
    <w:pPr>
      <w:spacing w:line="240" w:lineRule="auto"/>
    </w:pPr>
  </w:style>
  <w:style w:type="character" w:customStyle="1" w:styleId="m-7209640230662549333gmail-il">
    <w:name w:val="m_-7209640230662549333gmail-il"/>
    <w:basedOn w:val="DefaultParagraphFont"/>
    <w:rsid w:val="008F18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nhideWhenUsed="1"/>
    <w:lsdException w:name="header" w:uiPriority="0" w:unhideWhenUsed="1"/>
    <w:lsdException w:name="footer" w:uiPriority="0"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FE4C64"/>
    <w:pPr>
      <w:outlineLvl w:val="1"/>
    </w:pPr>
    <w:rPr>
      <w:rFonts w:cs="Times New Roman"/>
      <w:bCs w:val="0"/>
      <w:kern w:val="0"/>
      <w:sz w:val="26"/>
      <w:szCs w:val="24"/>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FE4C64"/>
    <w:rPr>
      <w:rFonts w:ascii="Arial Narrow" w:eastAsia="Times New Roman" w:hAnsi="Arial Narrow"/>
      <w:b/>
      <w:sz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FollowedHyperlink">
    <w:name w:val="FollowedHyperlink"/>
    <w:basedOn w:val="DefaultParagraphFont"/>
    <w:uiPriority w:val="99"/>
    <w:semiHidden/>
    <w:rsid w:val="005F36A6"/>
    <w:rPr>
      <w:color w:val="800080" w:themeColor="followedHyperlink"/>
      <w:u w:val="single"/>
    </w:rPr>
  </w:style>
  <w:style w:type="paragraph" w:styleId="Revision">
    <w:name w:val="Revision"/>
    <w:hidden/>
    <w:uiPriority w:val="99"/>
    <w:semiHidden/>
    <w:rsid w:val="00AF6816"/>
    <w:pPr>
      <w:spacing w:line="240" w:lineRule="auto"/>
    </w:pPr>
  </w:style>
  <w:style w:type="character" w:customStyle="1" w:styleId="m-7209640230662549333gmail-il">
    <w:name w:val="m_-7209640230662549333gmail-il"/>
    <w:basedOn w:val="DefaultParagraphFont"/>
    <w:rsid w:val="008F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1410">
      <w:bodyDiv w:val="1"/>
      <w:marLeft w:val="0"/>
      <w:marRight w:val="0"/>
      <w:marTop w:val="0"/>
      <w:marBottom w:val="0"/>
      <w:divBdr>
        <w:top w:val="none" w:sz="0" w:space="0" w:color="auto"/>
        <w:left w:val="none" w:sz="0" w:space="0" w:color="auto"/>
        <w:bottom w:val="none" w:sz="0" w:space="0" w:color="auto"/>
        <w:right w:val="none" w:sz="0" w:space="0" w:color="auto"/>
      </w:divBdr>
      <w:divsChild>
        <w:div w:id="279339272">
          <w:marLeft w:val="0"/>
          <w:marRight w:val="0"/>
          <w:marTop w:val="0"/>
          <w:marBottom w:val="0"/>
          <w:divBdr>
            <w:top w:val="none" w:sz="0" w:space="0" w:color="auto"/>
            <w:left w:val="none" w:sz="0" w:space="0" w:color="auto"/>
            <w:bottom w:val="none" w:sz="0" w:space="0" w:color="auto"/>
            <w:right w:val="none" w:sz="0" w:space="0" w:color="auto"/>
          </w:divBdr>
        </w:div>
      </w:divsChild>
    </w:div>
    <w:div w:id="505285356">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 w:id="1117212214">
      <w:bodyDiv w:val="1"/>
      <w:marLeft w:val="0"/>
      <w:marRight w:val="0"/>
      <w:marTop w:val="0"/>
      <w:marBottom w:val="0"/>
      <w:divBdr>
        <w:top w:val="none" w:sz="0" w:space="0" w:color="auto"/>
        <w:left w:val="none" w:sz="0" w:space="0" w:color="auto"/>
        <w:bottom w:val="none" w:sz="0" w:space="0" w:color="auto"/>
        <w:right w:val="none" w:sz="0" w:space="0" w:color="auto"/>
      </w:divBdr>
    </w:div>
    <w:div w:id="1448112797">
      <w:bodyDiv w:val="1"/>
      <w:marLeft w:val="0"/>
      <w:marRight w:val="0"/>
      <w:marTop w:val="0"/>
      <w:marBottom w:val="0"/>
      <w:divBdr>
        <w:top w:val="none" w:sz="0" w:space="0" w:color="auto"/>
        <w:left w:val="none" w:sz="0" w:space="0" w:color="auto"/>
        <w:bottom w:val="none" w:sz="0" w:space="0" w:color="auto"/>
        <w:right w:val="none" w:sz="0" w:space="0" w:color="auto"/>
      </w:divBdr>
    </w:div>
    <w:div w:id="1495103650">
      <w:bodyDiv w:val="1"/>
      <w:marLeft w:val="0"/>
      <w:marRight w:val="0"/>
      <w:marTop w:val="0"/>
      <w:marBottom w:val="0"/>
      <w:divBdr>
        <w:top w:val="none" w:sz="0" w:space="0" w:color="auto"/>
        <w:left w:val="none" w:sz="0" w:space="0" w:color="auto"/>
        <w:bottom w:val="none" w:sz="0" w:space="0" w:color="auto"/>
        <w:right w:val="none" w:sz="0" w:space="0" w:color="auto"/>
      </w:divBdr>
    </w:div>
    <w:div w:id="1630085429">
      <w:bodyDiv w:val="1"/>
      <w:marLeft w:val="0"/>
      <w:marRight w:val="0"/>
      <w:marTop w:val="0"/>
      <w:marBottom w:val="0"/>
      <w:divBdr>
        <w:top w:val="none" w:sz="0" w:space="0" w:color="auto"/>
        <w:left w:val="none" w:sz="0" w:space="0" w:color="auto"/>
        <w:bottom w:val="none" w:sz="0" w:space="0" w:color="auto"/>
        <w:right w:val="none" w:sz="0" w:space="0" w:color="auto"/>
      </w:divBdr>
    </w:div>
    <w:div w:id="1802260940">
      <w:bodyDiv w:val="1"/>
      <w:marLeft w:val="0"/>
      <w:marRight w:val="0"/>
      <w:marTop w:val="0"/>
      <w:marBottom w:val="0"/>
      <w:divBdr>
        <w:top w:val="none" w:sz="0" w:space="0" w:color="auto"/>
        <w:left w:val="none" w:sz="0" w:space="0" w:color="auto"/>
        <w:bottom w:val="none" w:sz="0" w:space="0" w:color="auto"/>
        <w:right w:val="none" w:sz="0" w:space="0" w:color="auto"/>
      </w:divBdr>
    </w:div>
    <w:div w:id="20472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ater.usgs.gov/ogw/aquifer/map.html" TargetMode="External"/><Relationship Id="rId21" Type="http://schemas.openxmlformats.org/officeDocument/2006/relationships/hyperlink" Target="http://prism.oregonstate.edu/" TargetMode="External"/><Relationship Id="rId22" Type="http://schemas.openxmlformats.org/officeDocument/2006/relationships/hyperlink" Target="http://cida.usgs.gov/gdp/" TargetMode="External"/><Relationship Id="rId23" Type="http://schemas.openxmlformats.org/officeDocument/2006/relationships/hyperlink" Target="http://www.ncdc.noaa.gov/ghcnm/v2.php" TargetMode="External"/><Relationship Id="rId24" Type="http://schemas.openxmlformats.org/officeDocument/2006/relationships/hyperlink" Target="https://www.ncdc.noaa.gov/cdo-web/datasets" TargetMode="External"/><Relationship Id="rId25" Type="http://schemas.openxmlformats.org/officeDocument/2006/relationships/hyperlink" Target="http://dx.doi.org/10.3133/ofr20141059" TargetMode="External"/><Relationship Id="rId26" Type="http://schemas.openxmlformats.org/officeDocument/2006/relationships/hyperlink" Target="http://water.epa.gov/lawsregs/guidance/cwa/305b/98report_index.cfm" TargetMode="External"/><Relationship Id="rId27" Type="http://schemas.openxmlformats.org/officeDocument/2006/relationships/hyperlink" Target="http://water.usgs.gov/owq/FieldManual/" TargetMode="External"/><Relationship Id="rId28" Type="http://schemas.openxmlformats.org/officeDocument/2006/relationships/footer" Target="footer7.xml"/><Relationship Id="rId29" Type="http://schemas.openxmlformats.org/officeDocument/2006/relationships/footer" Target="foot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9.xml"/><Relationship Id="rId31" Type="http://schemas.openxmlformats.org/officeDocument/2006/relationships/hyperlink" Target="http://www.usgs.gov" TargetMode="External"/><Relationship Id="rId32" Type="http://schemas.openxmlformats.org/officeDocument/2006/relationships/footer" Target="footer10.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usgs.gov" TargetMode="External"/><Relationship Id="rId13" Type="http://schemas.openxmlformats.org/officeDocument/2006/relationships/hyperlink" Target="http://www.usgs.gov/pubprod" TargetMode="External"/><Relationship Id="rId14" Type="http://schemas.openxmlformats.org/officeDocument/2006/relationships/hyperlink" Target="http://dx.doi.org/x"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00me\Projects\WaPR\Products\ProPaper\manuscript_template_4_1\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BCC42-EBBC-A24B-9171-B2EFEEC4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\00me\Projects\WaPR\Products\ProPaper\manuscript_template_4_1\ms_v4.1.dotm</Template>
  <TotalTime>145</TotalTime>
  <Pages>53</Pages>
  <Words>13396</Words>
  <Characters>76363</Characters>
  <Application>Microsoft Macintosh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_</vt:lpstr>
    </vt:vector>
  </TitlesOfParts>
  <Company>U.S. Geological Survey</Company>
  <LinksUpToDate>false</LinksUpToDate>
  <CharactersWithSpaces>89580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Long, Andrew J.</dc:creator>
  <cp:lastModifiedBy>Seth Haines</cp:lastModifiedBy>
  <cp:revision>13</cp:revision>
  <cp:lastPrinted>2016-12-07T22:17:00Z</cp:lastPrinted>
  <dcterms:created xsi:type="dcterms:W3CDTF">2017-07-05T20:58:00Z</dcterms:created>
  <dcterms:modified xsi:type="dcterms:W3CDTF">2017-07-19T21:07:00Z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172268</vt:lpwstr>
  </property>
  <property fmtid="{D5CDD505-2E9C-101B-9397-08002B2CF9AE}" pid="4" name="WnCSubscriberId">
    <vt:lpwstr>1002</vt:lpwstr>
  </property>
  <property fmtid="{D5CDD505-2E9C-101B-9397-08002B2CF9AE}" pid="5" name="WnCOutputStyleId">
    <vt:lpwstr>26</vt:lpwstr>
  </property>
  <property fmtid="{D5CDD505-2E9C-101B-9397-08002B2CF9AE}" pid="6" name="RWProductId">
    <vt:lpwstr>WnC</vt:lpwstr>
  </property>
  <property fmtid="{D5CDD505-2E9C-101B-9397-08002B2CF9AE}" pid="7" name="WnC4Folder">
    <vt:lpwstr/>
  </property>
</Properties>
</file>