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5n0zcytassbm" w:id="0"/>
      <w:bookmarkEnd w:id="0"/>
      <w:r w:rsidDel="00000000" w:rsidR="00000000" w:rsidRPr="00000000">
        <w:rPr>
          <w:rtl w:val="0"/>
        </w:rPr>
        <w:t xml:space="preserve">Section 1: Company Overview</w:t>
      </w:r>
    </w:p>
    <w:p w:rsidR="00000000" w:rsidDel="00000000" w:rsidP="00000000" w:rsidRDefault="00000000" w:rsidRPr="00000000" w14:paraId="00000002">
      <w:pPr>
        <w:spacing w:after="180" w:before="180" w:lineRule="auto"/>
        <w:rPr>
          <w:b w:val="1"/>
          <w:sz w:val="31"/>
          <w:szCs w:val="31"/>
        </w:rPr>
      </w:pPr>
      <w:r w:rsidDel="00000000" w:rsidR="00000000" w:rsidRPr="00000000">
        <w:rPr>
          <w:b w:val="1"/>
          <w:sz w:val="31"/>
          <w:szCs w:val="31"/>
          <w:rtl w:val="0"/>
        </w:rPr>
        <w:t xml:space="preserve">S1.1: Basic Information</w:t>
      </w:r>
    </w:p>
    <w:tbl>
      <w:tblPr>
        <w:tblStyle w:val="Table1"/>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3915"/>
        <w:tblGridChange w:id="0">
          <w:tblGrid>
            <w:gridCol w:w="2535"/>
            <w:gridCol w:w="3915"/>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3">
            <w:pPr>
              <w:ind w:left="120" w:firstLine="0"/>
              <w:rPr>
                <w:b w:val="1"/>
                <w:sz w:val="20"/>
                <w:szCs w:val="20"/>
              </w:rPr>
            </w:pPr>
            <w:r w:rsidDel="00000000" w:rsidR="00000000" w:rsidRPr="00000000">
              <w:rPr>
                <w:b w:val="1"/>
                <w:sz w:val="20"/>
                <w:szCs w:val="20"/>
                <w:rtl w:val="0"/>
              </w:rPr>
              <w:t xml:space="preserve">Field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4">
            <w:pPr>
              <w:ind w:left="120" w:firstLine="0"/>
              <w:rPr>
                <w:b w:val="1"/>
                <w:sz w:val="20"/>
                <w:szCs w:val="20"/>
              </w:rPr>
            </w:pPr>
            <w:r w:rsidDel="00000000" w:rsidR="00000000" w:rsidRPr="00000000">
              <w:rPr>
                <w:b w:val="1"/>
                <w:sz w:val="20"/>
                <w:szCs w:val="20"/>
                <w:rtl w:val="0"/>
              </w:rPr>
              <w:t xml:space="preserve">Value</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5">
            <w:pPr>
              <w:ind w:left="120" w:firstLine="0"/>
              <w:rPr>
                <w:sz w:val="20"/>
                <w:szCs w:val="20"/>
              </w:rPr>
            </w:pPr>
            <w:r w:rsidDel="00000000" w:rsidR="00000000" w:rsidRPr="00000000">
              <w:rPr>
                <w:sz w:val="20"/>
                <w:szCs w:val="20"/>
                <w:rtl w:val="0"/>
              </w:rPr>
              <w:t xml:space="preserve">Company 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6">
            <w:pPr>
              <w:ind w:left="120" w:firstLine="0"/>
              <w:rPr>
                <w:sz w:val="20"/>
                <w:szCs w:val="20"/>
              </w:rPr>
            </w:pPr>
            <w:r w:rsidDel="00000000" w:rsidR="00000000" w:rsidRPr="00000000">
              <w:rPr>
                <w:sz w:val="20"/>
                <w:szCs w:val="20"/>
                <w:rtl w:val="0"/>
              </w:rPr>
              <w:t xml:space="preserve">NVIDIA Corporation</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7">
            <w:pPr>
              <w:ind w:left="120" w:firstLine="0"/>
              <w:rPr>
                <w:sz w:val="20"/>
                <w:szCs w:val="20"/>
              </w:rPr>
            </w:pPr>
            <w:r w:rsidDel="00000000" w:rsidR="00000000" w:rsidRPr="00000000">
              <w:rPr>
                <w:sz w:val="20"/>
                <w:szCs w:val="20"/>
                <w:rtl w:val="0"/>
              </w:rPr>
              <w:t xml:space="preserve">Establishment Date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8">
            <w:pPr>
              <w:ind w:left="120" w:firstLine="0"/>
              <w:rPr>
                <w:sz w:val="20"/>
                <w:szCs w:val="20"/>
              </w:rPr>
            </w:pPr>
            <w:r w:rsidDel="00000000" w:rsidR="00000000" w:rsidRPr="00000000">
              <w:rPr>
                <w:sz w:val="20"/>
                <w:szCs w:val="20"/>
                <w:rtl w:val="0"/>
              </w:rPr>
              <w:t xml:space="preserve">April 1993</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9">
            <w:pPr>
              <w:ind w:left="120" w:firstLine="0"/>
              <w:rPr>
                <w:sz w:val="20"/>
                <w:szCs w:val="20"/>
              </w:rPr>
            </w:pPr>
            <w:r w:rsidDel="00000000" w:rsidR="00000000" w:rsidRPr="00000000">
              <w:rPr>
                <w:sz w:val="20"/>
                <w:szCs w:val="20"/>
                <w:rtl w:val="0"/>
              </w:rPr>
              <w:t xml:space="preserve">Headquarters Location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A">
            <w:pPr>
              <w:ind w:left="120" w:firstLine="0"/>
              <w:rPr>
                <w:sz w:val="20"/>
                <w:szCs w:val="20"/>
              </w:rPr>
            </w:pPr>
            <w:r w:rsidDel="00000000" w:rsidR="00000000" w:rsidRPr="00000000">
              <w:rPr>
                <w:sz w:val="20"/>
                <w:szCs w:val="20"/>
                <w:rtl w:val="0"/>
              </w:rPr>
              <w:t xml:space="preserve">Santa Clara, California, USA</w:t>
            </w:r>
          </w:p>
        </w:tc>
      </w:tr>
    </w:tbl>
    <w:p w:rsidR="00000000" w:rsidDel="00000000" w:rsidP="00000000" w:rsidRDefault="00000000" w:rsidRPr="00000000" w14:paraId="0000000B">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00C">
      <w:pPr>
        <w:spacing w:after="180" w:before="180" w:lineRule="auto"/>
        <w:rPr>
          <w:b w:val="1"/>
          <w:sz w:val="31"/>
          <w:szCs w:val="31"/>
        </w:rPr>
      </w:pPr>
      <w:r w:rsidDel="00000000" w:rsidR="00000000" w:rsidRPr="00000000">
        <w:rPr>
          <w:b w:val="1"/>
          <w:sz w:val="31"/>
          <w:szCs w:val="31"/>
          <w:rtl w:val="0"/>
        </w:rPr>
        <w:t xml:space="preserve">S1.2 : Core Competencies</w:t>
      </w:r>
    </w:p>
    <w:tbl>
      <w:tblPr>
        <w:tblStyle w:val="Table2"/>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550"/>
        <w:gridCol w:w="2550"/>
        <w:tblGridChange w:id="0">
          <w:tblGrid>
            <w:gridCol w:w="2550"/>
            <w:gridCol w:w="2550"/>
            <w:gridCol w:w="2550"/>
          </w:tblGrid>
        </w:tblGridChange>
      </w:tblGrid>
      <w:tr>
        <w:trPr>
          <w:cantSplit w:val="0"/>
          <w:trHeight w:val="2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D">
            <w:pPr>
              <w:ind w:left="120" w:firstLine="0"/>
              <w:rPr>
                <w:b w:val="1"/>
                <w:sz w:val="20"/>
                <w:szCs w:val="20"/>
              </w:rPr>
            </w:pPr>
            <w:r w:rsidDel="00000000" w:rsidR="00000000" w:rsidRPr="00000000">
              <w:rPr>
                <w:b w:val="1"/>
                <w:sz w:val="20"/>
                <w:szCs w:val="20"/>
                <w:rtl w:val="0"/>
              </w:rPr>
              <w:t xml:space="preserve">Perspective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E">
            <w:pPr>
              <w:ind w:left="120" w:firstLine="0"/>
              <w:rPr>
                <w:b w:val="1"/>
                <w:sz w:val="20"/>
                <w:szCs w:val="20"/>
              </w:rPr>
            </w:pPr>
            <w:r w:rsidDel="00000000" w:rsidR="00000000" w:rsidRPr="00000000">
              <w:rPr>
                <w:b w:val="1"/>
                <w:sz w:val="20"/>
                <w:szCs w:val="20"/>
                <w:rtl w:val="0"/>
              </w:rPr>
              <w:t xml:space="preserve">2024 Report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0F">
            <w:pPr>
              <w:ind w:left="120" w:firstLine="0"/>
              <w:rPr>
                <w:b w:val="1"/>
                <w:sz w:val="20"/>
                <w:szCs w:val="20"/>
              </w:rPr>
            </w:pPr>
            <w:r w:rsidDel="00000000" w:rsidR="00000000" w:rsidRPr="00000000">
              <w:rPr>
                <w:b w:val="1"/>
                <w:sz w:val="20"/>
                <w:szCs w:val="20"/>
                <w:rtl w:val="0"/>
              </w:rPr>
              <w:t xml:space="preserve">2023 Report</w:t>
            </w:r>
          </w:p>
        </w:tc>
      </w:tr>
      <w:tr>
        <w:trPr>
          <w:cantSplit w:val="0"/>
          <w:trHeight w:val="4756.1191406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0">
            <w:pPr>
              <w:ind w:left="120" w:firstLine="0"/>
              <w:rPr>
                <w:sz w:val="20"/>
                <w:szCs w:val="20"/>
              </w:rPr>
            </w:pPr>
            <w:r w:rsidDel="00000000" w:rsidR="00000000" w:rsidRPr="00000000">
              <w:rPr>
                <w:sz w:val="20"/>
                <w:szCs w:val="20"/>
                <w:rtl w:val="0"/>
              </w:rPr>
              <w:t xml:space="preserve">Innovation Advantages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1">
            <w:pPr>
              <w:ind w:left="120" w:firstLine="0"/>
              <w:rPr>
                <w:sz w:val="20"/>
                <w:szCs w:val="20"/>
              </w:rPr>
            </w:pPr>
            <w:r w:rsidDel="00000000" w:rsidR="00000000" w:rsidRPr="00000000">
              <w:rPr>
                <w:sz w:val="20"/>
                <w:szCs w:val="20"/>
                <w:rtl w:val="0"/>
              </w:rPr>
              <w:t xml:space="preserve">Nvidia's innovation is driven by its full-stack computing infrastructure, which includes the CUDA programming model, domain-specific software libraries, and APIs. This stack accelerates performance for AI, data analytics, and 3D graphics. The company has invested over $45.3 billion in R&amp;D, leading to significant advancements like the GPU, CUDA, and Tensor Core GPU.</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2">
            <w:pPr>
              <w:ind w:left="120" w:firstLine="0"/>
              <w:rPr>
                <w:sz w:val="20"/>
                <w:szCs w:val="20"/>
              </w:rPr>
            </w:pPr>
            <w:r w:rsidDel="00000000" w:rsidR="00000000" w:rsidRPr="00000000">
              <w:rPr>
                <w:sz w:val="20"/>
                <w:szCs w:val="20"/>
                <w:rtl w:val="0"/>
              </w:rPr>
              <w:t xml:space="preserve">Nvidia's innovation is centered around its accelerated computing platform, which outpaces Moore's Law by leveraging innovation across architecture, chip design, and software layers. This approach supports diverse markets with a unified architecture, allowing for leveraged R&amp;D investments.</w:t>
            </w:r>
          </w:p>
        </w:tc>
      </w:tr>
      <w:tr>
        <w:trPr>
          <w:cantSplit w:val="0"/>
          <w:trHeight w:val="4756.1191406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3">
            <w:pPr>
              <w:ind w:left="120" w:firstLine="0"/>
              <w:rPr>
                <w:sz w:val="20"/>
                <w:szCs w:val="20"/>
              </w:rPr>
            </w:pPr>
            <w:r w:rsidDel="00000000" w:rsidR="00000000" w:rsidRPr="00000000">
              <w:rPr>
                <w:sz w:val="20"/>
                <w:szCs w:val="20"/>
                <w:rtl w:val="0"/>
              </w:rPr>
              <w:t xml:space="preserve">Product Advantages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4">
            <w:pPr>
              <w:ind w:left="120" w:firstLine="0"/>
              <w:rPr>
                <w:sz w:val="20"/>
                <w:szCs w:val="20"/>
              </w:rPr>
            </w:pPr>
            <w:r w:rsidDel="00000000" w:rsidR="00000000" w:rsidRPr="00000000">
              <w:rPr>
                <w:sz w:val="20"/>
                <w:szCs w:val="20"/>
                <w:rtl w:val="0"/>
              </w:rPr>
              <w:t xml:space="preserve">Nvidia's product advantages include a strong focus on accelerated computing, AI, and graphics. The company offers a complete platform for AI, including GPUs, CPUs, and DPUs, and provides solutions like DGX Cloud and NeMo for AI training and deployment. Nvidia's products are designed for diverse markets, including data centers, gaming, and automotive.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5">
            <w:pPr>
              <w:ind w:left="120" w:firstLine="0"/>
              <w:rPr>
                <w:sz w:val="20"/>
                <w:szCs w:val="20"/>
              </w:rPr>
            </w:pPr>
            <w:r w:rsidDel="00000000" w:rsidR="00000000" w:rsidRPr="00000000">
              <w:rPr>
                <w:sz w:val="20"/>
                <w:szCs w:val="20"/>
                <w:rtl w:val="0"/>
              </w:rPr>
              <w:t xml:space="preserve">Nvidia's product advantages are highlighted by its accelerated computing platform, which delivers significant performance improvements. The company offers a complete AI platform, including GPUs and CUDA, and has a strong presence in gaming and professional visualization with its GeForce and RTX platforms.</w:t>
            </w:r>
          </w:p>
        </w:tc>
      </w:tr>
      <w:tr>
        <w:trPr>
          <w:cantSplit w:val="0"/>
          <w:trHeight w:val="4756.1191406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6">
            <w:pPr>
              <w:ind w:left="120" w:firstLine="0"/>
              <w:rPr>
                <w:sz w:val="20"/>
                <w:szCs w:val="20"/>
              </w:rPr>
            </w:pPr>
            <w:r w:rsidDel="00000000" w:rsidR="00000000" w:rsidRPr="00000000">
              <w:rPr>
                <w:sz w:val="20"/>
                <w:szCs w:val="20"/>
                <w:rtl w:val="0"/>
              </w:rPr>
              <w:t xml:space="preserve">Brand Recognition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7">
            <w:pPr>
              <w:ind w:left="120" w:firstLine="0"/>
              <w:rPr>
                <w:sz w:val="20"/>
                <w:szCs w:val="20"/>
              </w:rPr>
            </w:pPr>
            <w:r w:rsidDel="00000000" w:rsidR="00000000" w:rsidRPr="00000000">
              <w:rPr>
                <w:sz w:val="20"/>
                <w:szCs w:val="20"/>
                <w:rtl w:val="0"/>
              </w:rPr>
              <w:t xml:space="preserve">Nvidia maintains strong brand recognition through its strategic use of social media channels and investor relations website to disclose material financial information. The company emphasizes its innovation and leadership in AI and accelerated computing.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8">
            <w:pPr>
              <w:ind w:left="120" w:firstLine="0"/>
              <w:rPr>
                <w:sz w:val="20"/>
                <w:szCs w:val="20"/>
              </w:rPr>
            </w:pPr>
            <w:r w:rsidDel="00000000" w:rsidR="00000000" w:rsidRPr="00000000">
              <w:rPr>
                <w:sz w:val="20"/>
                <w:szCs w:val="20"/>
                <w:rtl w:val="0"/>
              </w:rPr>
              <w:t xml:space="preserve">Nvidia's brand recognition is supported by its use of social media and investor relations website to communicate with investors. The company is known for its leadership in AI and accelerated computing, which enhances its brand value.</w:t>
            </w:r>
          </w:p>
        </w:tc>
      </w:tr>
      <w:tr>
        <w:trPr>
          <w:cantSplit w:val="0"/>
          <w:trHeight w:val="4756.1191406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9">
            <w:pPr>
              <w:ind w:left="120" w:firstLine="0"/>
              <w:rPr>
                <w:sz w:val="20"/>
                <w:szCs w:val="20"/>
              </w:rPr>
            </w:pPr>
            <w:r w:rsidDel="00000000" w:rsidR="00000000" w:rsidRPr="00000000">
              <w:rPr>
                <w:sz w:val="20"/>
                <w:szCs w:val="20"/>
                <w:rtl w:val="0"/>
              </w:rPr>
              <w:t xml:space="preserve">Reputation Ratings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A">
            <w:pPr>
              <w:ind w:left="120" w:firstLine="0"/>
              <w:rPr>
                <w:sz w:val="20"/>
                <w:szCs w:val="20"/>
              </w:rPr>
            </w:pPr>
            <w:r w:rsidDel="00000000" w:rsidR="00000000" w:rsidRPr="00000000">
              <w:rPr>
                <w:sz w:val="20"/>
                <w:szCs w:val="20"/>
                <w:rtl w:val="0"/>
              </w:rPr>
              <w:t xml:space="preserve">Nvidia's reputation is bolstered by its commitment to ESG principles and practices, which are integrated into every aspect of the company. The company is recognized for its efforts in sustainability and human capital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B">
            <w:pPr>
              <w:ind w:left="120" w:firstLine="0"/>
              <w:rPr>
                <w:sz w:val="20"/>
                <w:szCs w:val="20"/>
              </w:rPr>
            </w:pPr>
            <w:r w:rsidDel="00000000" w:rsidR="00000000" w:rsidRPr="00000000">
              <w:rPr>
                <w:sz w:val="20"/>
                <w:szCs w:val="20"/>
                <w:rtl w:val="0"/>
              </w:rPr>
              <w:t xml:space="preserve">Nvidia's reputation is supported by its focus on ESG principles and practices, which are important for its business success. The company is committed to sustainability and has a strong presence on the Green500 list for energy-efficient systems.</w:t>
            </w:r>
          </w:p>
        </w:tc>
      </w:tr>
    </w:tbl>
    <w:p w:rsidR="00000000" w:rsidDel="00000000" w:rsidP="00000000" w:rsidRDefault="00000000" w:rsidRPr="00000000" w14:paraId="0000001C">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01D">
      <w:pPr>
        <w:spacing w:after="180" w:before="180" w:lineRule="auto"/>
        <w:rPr>
          <w:b w:val="1"/>
          <w:sz w:val="31"/>
          <w:szCs w:val="31"/>
        </w:rPr>
      </w:pPr>
      <w:r w:rsidDel="00000000" w:rsidR="00000000" w:rsidRPr="00000000">
        <w:rPr>
          <w:b w:val="1"/>
          <w:sz w:val="31"/>
          <w:szCs w:val="31"/>
          <w:rtl w:val="0"/>
        </w:rPr>
        <w:t xml:space="preserve">S1.3 : Mission &amp; Vision</w:t>
      </w:r>
    </w:p>
    <w:tbl>
      <w:tblPr>
        <w:tblStyle w:val="Table3"/>
        <w:tblW w:w="5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3165"/>
        <w:tblGridChange w:id="0">
          <w:tblGrid>
            <w:gridCol w:w="2520"/>
            <w:gridCol w:w="3165"/>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E">
            <w:pPr>
              <w:ind w:left="120" w:firstLine="0"/>
              <w:rPr>
                <w:b w:val="1"/>
                <w:sz w:val="20"/>
                <w:szCs w:val="20"/>
              </w:rPr>
            </w:pPr>
            <w:r w:rsidDel="00000000" w:rsidR="00000000" w:rsidRPr="00000000">
              <w:rPr>
                <w:b w:val="1"/>
                <w:sz w:val="20"/>
                <w:szCs w:val="20"/>
                <w:rtl w:val="0"/>
              </w:rPr>
              <w:t xml:space="preserve">Field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1F">
            <w:pPr>
              <w:ind w:left="120" w:firstLine="0"/>
              <w:rPr>
                <w:b w:val="1"/>
                <w:sz w:val="20"/>
                <w:szCs w:val="20"/>
              </w:rPr>
            </w:pPr>
            <w:r w:rsidDel="00000000" w:rsidR="00000000" w:rsidRPr="00000000">
              <w:rPr>
                <w:b w:val="1"/>
                <w:sz w:val="20"/>
                <w:szCs w:val="20"/>
                <w:rtl w:val="0"/>
              </w:rPr>
              <w:t xml:space="preserve">Value</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0">
            <w:pPr>
              <w:ind w:left="120" w:firstLine="0"/>
              <w:rPr>
                <w:sz w:val="20"/>
                <w:szCs w:val="20"/>
              </w:rPr>
            </w:pPr>
            <w:r w:rsidDel="00000000" w:rsidR="00000000" w:rsidRPr="00000000">
              <w:rPr>
                <w:sz w:val="20"/>
                <w:szCs w:val="20"/>
                <w:rtl w:val="0"/>
              </w:rPr>
              <w:t xml:space="preserve">Mission Statement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1">
            <w:pPr>
              <w:ind w:left="120" w:firstLine="0"/>
              <w:rPr>
                <w:sz w:val="20"/>
                <w:szCs w:val="20"/>
              </w:rPr>
            </w:pPr>
            <w:r w:rsidDel="00000000" w:rsidR="00000000" w:rsidRPr="00000000">
              <w:rPr>
                <w:sz w:val="20"/>
                <w:szCs w:val="20"/>
                <w:rtl w:val="0"/>
              </w:rPr>
              <w:t xml:space="preserve">N/A</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2">
            <w:pPr>
              <w:ind w:left="120" w:firstLine="0"/>
              <w:rPr>
                <w:sz w:val="20"/>
                <w:szCs w:val="20"/>
              </w:rPr>
            </w:pPr>
            <w:r w:rsidDel="00000000" w:rsidR="00000000" w:rsidRPr="00000000">
              <w:rPr>
                <w:sz w:val="20"/>
                <w:szCs w:val="20"/>
                <w:rtl w:val="0"/>
              </w:rPr>
              <w:t xml:space="preserve">Vision Statement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3">
            <w:pPr>
              <w:ind w:left="120" w:firstLine="0"/>
              <w:rPr>
                <w:sz w:val="20"/>
                <w:szCs w:val="20"/>
              </w:rPr>
            </w:pPr>
            <w:r w:rsidDel="00000000" w:rsidR="00000000" w:rsidRPr="00000000">
              <w:rPr>
                <w:sz w:val="20"/>
                <w:szCs w:val="20"/>
                <w:rtl w:val="0"/>
              </w:rPr>
              <w:t xml:space="preserve">N/A</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4">
            <w:pPr>
              <w:ind w:left="120" w:firstLine="0"/>
              <w:rPr>
                <w:sz w:val="20"/>
                <w:szCs w:val="20"/>
              </w:rPr>
            </w:pPr>
            <w:r w:rsidDel="00000000" w:rsidR="00000000" w:rsidRPr="00000000">
              <w:rPr>
                <w:sz w:val="20"/>
                <w:szCs w:val="20"/>
                <w:rtl w:val="0"/>
              </w:rPr>
              <w:t xml:space="preserve">Core Values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5">
            <w:pPr>
              <w:ind w:left="120" w:firstLine="0"/>
              <w:rPr>
                <w:sz w:val="20"/>
                <w:szCs w:val="20"/>
              </w:rPr>
            </w:pPr>
            <w:r w:rsidDel="00000000" w:rsidR="00000000" w:rsidRPr="00000000">
              <w:rPr>
                <w:sz w:val="20"/>
                <w:szCs w:val="20"/>
                <w:rtl w:val="0"/>
              </w:rPr>
              <w:t xml:space="preserve">Innovation is at our core.</w:t>
            </w:r>
          </w:p>
        </w:tc>
      </w:tr>
    </w:tbl>
    <w:p w:rsidR="00000000" w:rsidDel="00000000" w:rsidP="00000000" w:rsidRDefault="00000000" w:rsidRPr="00000000" w14:paraId="00000026">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027">
      <w:pPr>
        <w:pStyle w:val="Heading1"/>
        <w:rPr>
          <w:b w:val="0"/>
        </w:rPr>
      </w:pPr>
      <w:r w:rsidDel="00000000" w:rsidR="00000000" w:rsidRPr="00000000">
        <w:rPr>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rPr>
          <w:b w:val="1"/>
          <w:sz w:val="31"/>
          <w:szCs w:val="31"/>
        </w:rPr>
      </w:pPr>
      <w:r w:rsidDel="00000000" w:rsidR="00000000" w:rsidRPr="00000000">
        <w:rPr>
          <w:b w:val="1"/>
          <w:sz w:val="31"/>
          <w:szCs w:val="31"/>
          <w:rtl w:val="0"/>
        </w:rPr>
        <w:t xml:space="preserve">S2.1: Income Statement</w:t>
      </w:r>
    </w:p>
    <w:tbl>
      <w:tblPr>
        <w:tblStyle w:val="Table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30"/>
        <w:gridCol w:w="1230"/>
        <w:gridCol w:w="1230"/>
        <w:gridCol w:w="1230"/>
        <w:gridCol w:w="1230"/>
        <w:tblGridChange w:id="0">
          <w:tblGrid>
            <w:gridCol w:w="1230"/>
            <w:gridCol w:w="1230"/>
            <w:gridCol w:w="1230"/>
            <w:gridCol w:w="1230"/>
            <w:gridCol w:w="1230"/>
            <w:gridCol w:w="1230"/>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9">
            <w:pPr>
              <w:ind w:left="120" w:firstLine="0"/>
              <w:rPr>
                <w:b w:val="1"/>
                <w:sz w:val="20"/>
                <w:szCs w:val="20"/>
              </w:rPr>
            </w:pPr>
            <w:r w:rsidDel="00000000" w:rsidR="00000000" w:rsidRPr="00000000">
              <w:rPr>
                <w:b w:val="1"/>
                <w:sz w:val="20"/>
                <w:szCs w:val="20"/>
                <w:rtl w:val="0"/>
              </w:rPr>
              <w:t xml:space="preserve">Field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A">
            <w:pPr>
              <w:ind w:left="120" w:firstLine="0"/>
              <w:rPr>
                <w:b w:val="1"/>
                <w:sz w:val="20"/>
                <w:szCs w:val="20"/>
              </w:rPr>
            </w:pPr>
            <w:r w:rsidDel="00000000" w:rsidR="00000000" w:rsidRPr="00000000">
              <w:rPr>
                <w:b w:val="1"/>
                <w:sz w:val="20"/>
                <w:szCs w:val="20"/>
                <w:rtl w:val="0"/>
              </w:rPr>
              <w:t xml:space="preserve">2024</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B">
            <w:pPr>
              <w:ind w:left="120" w:firstLine="0"/>
              <w:rPr>
                <w:b w:val="1"/>
                <w:sz w:val="20"/>
                <w:szCs w:val="20"/>
              </w:rPr>
            </w:pPr>
            <w:r w:rsidDel="00000000" w:rsidR="00000000" w:rsidRPr="00000000">
              <w:rPr>
                <w:b w:val="1"/>
                <w:sz w:val="20"/>
                <w:szCs w:val="20"/>
                <w:rtl w:val="0"/>
              </w:rPr>
              <w:t xml:space="preserve">2023</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C">
            <w:pPr>
              <w:ind w:left="120" w:firstLine="0"/>
              <w:rPr>
                <w:b w:val="1"/>
                <w:sz w:val="20"/>
                <w:szCs w:val="20"/>
              </w:rPr>
            </w:pPr>
            <w:r w:rsidDel="00000000" w:rsidR="00000000" w:rsidRPr="00000000">
              <w:rPr>
                <w:b w:val="1"/>
                <w:sz w:val="20"/>
                <w:szCs w:val="20"/>
                <w:rtl w:val="0"/>
              </w:rPr>
              <w:t xml:space="preserve">2022</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D">
            <w:pPr>
              <w:ind w:left="120" w:firstLine="0"/>
              <w:rPr>
                <w:b w:val="1"/>
                <w:sz w:val="20"/>
                <w:szCs w:val="20"/>
              </w:rPr>
            </w:pPr>
            <w:r w:rsidDel="00000000" w:rsidR="00000000" w:rsidRPr="00000000">
              <w:rPr>
                <w:b w:val="1"/>
                <w:sz w:val="20"/>
                <w:szCs w:val="20"/>
                <w:rtl w:val="0"/>
              </w:rPr>
              <w:t xml:space="preserve">Multiplier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E">
            <w:pPr>
              <w:ind w:left="120" w:firstLine="0"/>
              <w:rPr>
                <w:b w:val="1"/>
                <w:sz w:val="20"/>
                <w:szCs w:val="20"/>
              </w:rPr>
            </w:pPr>
            <w:r w:rsidDel="00000000" w:rsidR="00000000" w:rsidRPr="00000000">
              <w:rPr>
                <w:b w:val="1"/>
                <w:sz w:val="20"/>
                <w:szCs w:val="20"/>
                <w:rtl w:val="0"/>
              </w:rPr>
              <w:t xml:space="preserve">Currency</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2F">
            <w:pPr>
              <w:ind w:left="120" w:firstLine="0"/>
              <w:rPr>
                <w:sz w:val="20"/>
                <w:szCs w:val="20"/>
              </w:rPr>
            </w:pPr>
            <w:r w:rsidDel="00000000" w:rsidR="00000000" w:rsidRPr="00000000">
              <w:rPr>
                <w:sz w:val="20"/>
                <w:szCs w:val="20"/>
                <w:rtl w:val="0"/>
              </w:rPr>
              <w:t xml:space="preserve">Revenue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0">
            <w:pPr>
              <w:ind w:left="120" w:firstLine="0"/>
              <w:rPr>
                <w:sz w:val="20"/>
                <w:szCs w:val="20"/>
              </w:rPr>
            </w:pPr>
            <w:r w:rsidDel="00000000" w:rsidR="00000000" w:rsidRPr="00000000">
              <w:rPr>
                <w:sz w:val="20"/>
                <w:szCs w:val="20"/>
                <w:rtl w:val="0"/>
              </w:rPr>
              <w:t xml:space="preserve">60,922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1">
            <w:pPr>
              <w:ind w:left="120" w:firstLine="0"/>
              <w:rPr>
                <w:sz w:val="20"/>
                <w:szCs w:val="20"/>
              </w:rPr>
            </w:pPr>
            <w:r w:rsidDel="00000000" w:rsidR="00000000" w:rsidRPr="00000000">
              <w:rPr>
                <w:sz w:val="20"/>
                <w:szCs w:val="20"/>
                <w:rtl w:val="0"/>
              </w:rPr>
              <w:t xml:space="preserve">26,974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2">
            <w:pPr>
              <w:ind w:left="120" w:firstLine="0"/>
              <w:rPr>
                <w:sz w:val="20"/>
                <w:szCs w:val="20"/>
              </w:rPr>
            </w:pPr>
            <w:r w:rsidDel="00000000" w:rsidR="00000000" w:rsidRPr="00000000">
              <w:rPr>
                <w:sz w:val="20"/>
                <w:szCs w:val="20"/>
                <w:rtl w:val="0"/>
              </w:rPr>
              <w:t xml:space="preserve">26,914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3">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4">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5">
            <w:pPr>
              <w:ind w:left="120" w:firstLine="0"/>
              <w:rPr>
                <w:sz w:val="20"/>
                <w:szCs w:val="20"/>
              </w:rPr>
            </w:pPr>
            <w:r w:rsidDel="00000000" w:rsidR="00000000" w:rsidRPr="00000000">
              <w:rPr>
                <w:sz w:val="20"/>
                <w:szCs w:val="20"/>
                <w:rtl w:val="0"/>
              </w:rPr>
              <w:t xml:space="preserve">Cost of Goods Sold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6">
            <w:pPr>
              <w:ind w:left="120" w:firstLine="0"/>
              <w:rPr>
                <w:sz w:val="20"/>
                <w:szCs w:val="20"/>
              </w:rPr>
            </w:pPr>
            <w:r w:rsidDel="00000000" w:rsidR="00000000" w:rsidRPr="00000000">
              <w:rPr>
                <w:sz w:val="20"/>
                <w:szCs w:val="20"/>
                <w:rtl w:val="0"/>
              </w:rPr>
              <w:t xml:space="preserve">16,621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7">
            <w:pPr>
              <w:ind w:left="120" w:firstLine="0"/>
              <w:rPr>
                <w:sz w:val="20"/>
                <w:szCs w:val="20"/>
              </w:rPr>
            </w:pPr>
            <w:r w:rsidDel="00000000" w:rsidR="00000000" w:rsidRPr="00000000">
              <w:rPr>
                <w:sz w:val="20"/>
                <w:szCs w:val="20"/>
                <w:rtl w:val="0"/>
              </w:rPr>
              <w:t xml:space="preserve">11,618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8">
            <w:pPr>
              <w:ind w:left="120" w:firstLine="0"/>
              <w:rPr>
                <w:sz w:val="20"/>
                <w:szCs w:val="20"/>
              </w:rPr>
            </w:pPr>
            <w:r w:rsidDel="00000000" w:rsidR="00000000" w:rsidRPr="00000000">
              <w:rPr>
                <w:sz w:val="20"/>
                <w:szCs w:val="20"/>
                <w:rtl w:val="0"/>
              </w:rPr>
              <w:t xml:space="preserve">9,439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9">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A">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B">
            <w:pPr>
              <w:ind w:left="120" w:firstLine="0"/>
              <w:rPr>
                <w:sz w:val="20"/>
                <w:szCs w:val="20"/>
              </w:rPr>
            </w:pPr>
            <w:r w:rsidDel="00000000" w:rsidR="00000000" w:rsidRPr="00000000">
              <w:rPr>
                <w:sz w:val="20"/>
                <w:szCs w:val="20"/>
                <w:rtl w:val="0"/>
              </w:rPr>
              <w:t xml:space="preserve">Gross Profit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C">
            <w:pPr>
              <w:ind w:left="120" w:firstLine="0"/>
              <w:rPr>
                <w:sz w:val="20"/>
                <w:szCs w:val="20"/>
              </w:rPr>
            </w:pPr>
            <w:r w:rsidDel="00000000" w:rsidR="00000000" w:rsidRPr="00000000">
              <w:rPr>
                <w:sz w:val="20"/>
                <w:szCs w:val="20"/>
                <w:rtl w:val="0"/>
              </w:rPr>
              <w:t xml:space="preserve">44,301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D">
            <w:pPr>
              <w:ind w:left="120" w:firstLine="0"/>
              <w:rPr>
                <w:sz w:val="20"/>
                <w:szCs w:val="20"/>
              </w:rPr>
            </w:pPr>
            <w:r w:rsidDel="00000000" w:rsidR="00000000" w:rsidRPr="00000000">
              <w:rPr>
                <w:sz w:val="20"/>
                <w:szCs w:val="20"/>
                <w:rtl w:val="0"/>
              </w:rPr>
              <w:t xml:space="preserve">15,356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E">
            <w:pPr>
              <w:ind w:left="120" w:firstLine="0"/>
              <w:rPr>
                <w:sz w:val="20"/>
                <w:szCs w:val="20"/>
              </w:rPr>
            </w:pPr>
            <w:r w:rsidDel="00000000" w:rsidR="00000000" w:rsidRPr="00000000">
              <w:rPr>
                <w:sz w:val="20"/>
                <w:szCs w:val="20"/>
                <w:rtl w:val="0"/>
              </w:rPr>
              <w:t xml:space="preserve">17,475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3F">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0">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1">
            <w:pPr>
              <w:ind w:left="120" w:firstLine="0"/>
              <w:rPr>
                <w:sz w:val="20"/>
                <w:szCs w:val="20"/>
              </w:rPr>
            </w:pPr>
            <w:r w:rsidDel="00000000" w:rsidR="00000000" w:rsidRPr="00000000">
              <w:rPr>
                <w:sz w:val="20"/>
                <w:szCs w:val="20"/>
                <w:rtl w:val="0"/>
              </w:rPr>
              <w:t xml:space="preserve">Operating Expense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2">
            <w:pPr>
              <w:ind w:left="120" w:firstLine="0"/>
              <w:rPr>
                <w:sz w:val="20"/>
                <w:szCs w:val="20"/>
              </w:rPr>
            </w:pPr>
            <w:r w:rsidDel="00000000" w:rsidR="00000000" w:rsidRPr="00000000">
              <w:rPr>
                <w:sz w:val="20"/>
                <w:szCs w:val="20"/>
                <w:rtl w:val="0"/>
              </w:rPr>
              <w:t xml:space="preserve">11,329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3">
            <w:pPr>
              <w:ind w:left="120" w:firstLine="0"/>
              <w:rPr>
                <w:sz w:val="20"/>
                <w:szCs w:val="20"/>
              </w:rPr>
            </w:pPr>
            <w:r w:rsidDel="00000000" w:rsidR="00000000" w:rsidRPr="00000000">
              <w:rPr>
                <w:sz w:val="20"/>
                <w:szCs w:val="20"/>
                <w:rtl w:val="0"/>
              </w:rPr>
              <w:t xml:space="preserve">11,132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4">
            <w:pPr>
              <w:ind w:left="120" w:firstLine="0"/>
              <w:rPr>
                <w:sz w:val="20"/>
                <w:szCs w:val="20"/>
              </w:rPr>
            </w:pPr>
            <w:r w:rsidDel="00000000" w:rsidR="00000000" w:rsidRPr="00000000">
              <w:rPr>
                <w:sz w:val="20"/>
                <w:szCs w:val="20"/>
                <w:rtl w:val="0"/>
              </w:rPr>
              <w:t xml:space="preserve">7,434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5">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6">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7">
            <w:pPr>
              <w:ind w:left="120" w:firstLine="0"/>
              <w:rPr>
                <w:sz w:val="20"/>
                <w:szCs w:val="20"/>
              </w:rPr>
            </w:pPr>
            <w:r w:rsidDel="00000000" w:rsidR="00000000" w:rsidRPr="00000000">
              <w:rPr>
                <w:sz w:val="20"/>
                <w:szCs w:val="20"/>
                <w:rtl w:val="0"/>
              </w:rPr>
              <w:t xml:space="preserve">Operating Income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8">
            <w:pPr>
              <w:ind w:left="120" w:firstLine="0"/>
              <w:rPr>
                <w:sz w:val="20"/>
                <w:szCs w:val="20"/>
              </w:rPr>
            </w:pPr>
            <w:r w:rsidDel="00000000" w:rsidR="00000000" w:rsidRPr="00000000">
              <w:rPr>
                <w:sz w:val="20"/>
                <w:szCs w:val="20"/>
                <w:rtl w:val="0"/>
              </w:rPr>
              <w:t xml:space="preserve">32,972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9">
            <w:pPr>
              <w:ind w:left="120" w:firstLine="0"/>
              <w:rPr>
                <w:sz w:val="20"/>
                <w:szCs w:val="20"/>
              </w:rPr>
            </w:pPr>
            <w:r w:rsidDel="00000000" w:rsidR="00000000" w:rsidRPr="00000000">
              <w:rPr>
                <w:sz w:val="20"/>
                <w:szCs w:val="20"/>
                <w:rtl w:val="0"/>
              </w:rPr>
              <w:t xml:space="preserve">4,224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A">
            <w:pPr>
              <w:ind w:left="120" w:firstLine="0"/>
              <w:rPr>
                <w:sz w:val="20"/>
                <w:szCs w:val="20"/>
              </w:rPr>
            </w:pPr>
            <w:r w:rsidDel="00000000" w:rsidR="00000000" w:rsidRPr="00000000">
              <w:rPr>
                <w:sz w:val="20"/>
                <w:szCs w:val="20"/>
                <w:rtl w:val="0"/>
              </w:rPr>
              <w:t xml:space="preserve">10,041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B">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C">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D">
            <w:pPr>
              <w:ind w:left="120" w:firstLine="0"/>
              <w:rPr>
                <w:sz w:val="20"/>
                <w:szCs w:val="20"/>
              </w:rPr>
            </w:pPr>
            <w:r w:rsidDel="00000000" w:rsidR="00000000" w:rsidRPr="00000000">
              <w:rPr>
                <w:sz w:val="20"/>
                <w:szCs w:val="20"/>
                <w:rtl w:val="0"/>
              </w:rPr>
              <w:t xml:space="preserve">Net Profit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E">
            <w:pPr>
              <w:ind w:left="120" w:firstLine="0"/>
              <w:rPr>
                <w:sz w:val="20"/>
                <w:szCs w:val="20"/>
              </w:rPr>
            </w:pPr>
            <w:r w:rsidDel="00000000" w:rsidR="00000000" w:rsidRPr="00000000">
              <w:rPr>
                <w:sz w:val="20"/>
                <w:szCs w:val="20"/>
                <w:rtl w:val="0"/>
              </w:rPr>
              <w:t xml:space="preserve">29,760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F">
            <w:pPr>
              <w:ind w:left="120" w:firstLine="0"/>
              <w:rPr>
                <w:sz w:val="20"/>
                <w:szCs w:val="20"/>
              </w:rPr>
            </w:pPr>
            <w:r w:rsidDel="00000000" w:rsidR="00000000" w:rsidRPr="00000000">
              <w:rPr>
                <w:sz w:val="20"/>
                <w:szCs w:val="20"/>
                <w:rtl w:val="0"/>
              </w:rPr>
              <w:t xml:space="preserve">4,368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0">
            <w:pPr>
              <w:ind w:left="120" w:firstLine="0"/>
              <w:rPr>
                <w:sz w:val="20"/>
                <w:szCs w:val="20"/>
              </w:rPr>
            </w:pPr>
            <w:r w:rsidDel="00000000" w:rsidR="00000000" w:rsidRPr="00000000">
              <w:rPr>
                <w:sz w:val="20"/>
                <w:szCs w:val="20"/>
                <w:rtl w:val="0"/>
              </w:rPr>
              <w:t xml:space="preserve">9,752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1">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2">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3">
            <w:pPr>
              <w:ind w:left="120" w:firstLine="0"/>
              <w:rPr>
                <w:sz w:val="20"/>
                <w:szCs w:val="20"/>
              </w:rPr>
            </w:pPr>
            <w:r w:rsidDel="00000000" w:rsidR="00000000" w:rsidRPr="00000000">
              <w:rPr>
                <w:sz w:val="20"/>
                <w:szCs w:val="20"/>
                <w:rtl w:val="0"/>
              </w:rPr>
              <w:t xml:space="preserve">Income before income taxes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4">
            <w:pPr>
              <w:ind w:left="120" w:firstLine="0"/>
              <w:rPr>
                <w:sz w:val="20"/>
                <w:szCs w:val="20"/>
              </w:rPr>
            </w:pPr>
            <w:r w:rsidDel="00000000" w:rsidR="00000000" w:rsidRPr="00000000">
              <w:rPr>
                <w:sz w:val="20"/>
                <w:szCs w:val="20"/>
                <w:rtl w:val="0"/>
              </w:rPr>
              <w:t xml:space="preserve">33,818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5">
            <w:pPr>
              <w:ind w:left="120" w:firstLine="0"/>
              <w:rPr>
                <w:sz w:val="20"/>
                <w:szCs w:val="20"/>
              </w:rPr>
            </w:pPr>
            <w:r w:rsidDel="00000000" w:rsidR="00000000" w:rsidRPr="00000000">
              <w:rPr>
                <w:sz w:val="20"/>
                <w:szCs w:val="20"/>
                <w:rtl w:val="0"/>
              </w:rPr>
              <w:t xml:space="preserve">4,181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6">
            <w:pPr>
              <w:ind w:left="120" w:firstLine="0"/>
              <w:rPr>
                <w:sz w:val="20"/>
                <w:szCs w:val="20"/>
              </w:rPr>
            </w:pPr>
            <w:r w:rsidDel="00000000" w:rsidR="00000000" w:rsidRPr="00000000">
              <w:rPr>
                <w:sz w:val="20"/>
                <w:szCs w:val="20"/>
                <w:rtl w:val="0"/>
              </w:rPr>
              <w:t xml:space="preserve">9,941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7">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8">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9">
            <w:pPr>
              <w:ind w:left="120" w:firstLine="0"/>
              <w:rPr>
                <w:sz w:val="20"/>
                <w:szCs w:val="20"/>
              </w:rPr>
            </w:pPr>
            <w:r w:rsidDel="00000000" w:rsidR="00000000" w:rsidRPr="00000000">
              <w:rPr>
                <w:sz w:val="20"/>
                <w:szCs w:val="20"/>
                <w:rtl w:val="0"/>
              </w:rPr>
              <w:t xml:space="preserve">Income tax expense(benefit)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A">
            <w:pPr>
              <w:ind w:left="120" w:firstLine="0"/>
              <w:rPr>
                <w:sz w:val="20"/>
                <w:szCs w:val="20"/>
              </w:rPr>
            </w:pPr>
            <w:r w:rsidDel="00000000" w:rsidR="00000000" w:rsidRPr="00000000">
              <w:rPr>
                <w:sz w:val="20"/>
                <w:szCs w:val="20"/>
                <w:rtl w:val="0"/>
              </w:rPr>
              <w:t xml:space="preserve">4,058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B">
            <w:pPr>
              <w:ind w:left="120" w:firstLine="0"/>
              <w:rPr>
                <w:sz w:val="20"/>
                <w:szCs w:val="20"/>
              </w:rPr>
            </w:pPr>
            <w:r w:rsidDel="00000000" w:rsidR="00000000" w:rsidRPr="00000000">
              <w:rPr>
                <w:sz w:val="20"/>
                <w:szCs w:val="20"/>
                <w:rtl w:val="0"/>
              </w:rPr>
              <w:t xml:space="preserve">(187)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C">
            <w:pPr>
              <w:ind w:left="120" w:firstLine="0"/>
              <w:rPr>
                <w:sz w:val="20"/>
                <w:szCs w:val="20"/>
              </w:rPr>
            </w:pPr>
            <w:r w:rsidDel="00000000" w:rsidR="00000000" w:rsidRPr="00000000">
              <w:rPr>
                <w:sz w:val="20"/>
                <w:szCs w:val="20"/>
                <w:rtl w:val="0"/>
              </w:rPr>
              <w:t xml:space="preserve">189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D">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E">
            <w:pPr>
              <w:ind w:left="120" w:firstLine="0"/>
              <w:rPr>
                <w:sz w:val="20"/>
                <w:szCs w:val="20"/>
              </w:rPr>
            </w:pPr>
            <w:r w:rsidDel="00000000" w:rsidR="00000000" w:rsidRPr="00000000">
              <w:rPr>
                <w:sz w:val="20"/>
                <w:szCs w:val="20"/>
                <w:rtl w:val="0"/>
              </w:rPr>
              <w:t xml:space="preserve">USD</w:t>
            </w:r>
          </w:p>
        </w:tc>
      </w:tr>
      <w:tr>
        <w:trPr>
          <w:cantSplit w:val="0"/>
          <w:trHeight w:val="15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F">
            <w:pPr>
              <w:ind w:left="120" w:firstLine="0"/>
              <w:rPr>
                <w:sz w:val="20"/>
                <w:szCs w:val="20"/>
              </w:rPr>
            </w:pPr>
            <w:r w:rsidDel="00000000" w:rsidR="00000000" w:rsidRPr="00000000">
              <w:rPr>
                <w:sz w:val="20"/>
                <w:szCs w:val="20"/>
                <w:rtl w:val="0"/>
              </w:rPr>
              <w:t xml:space="preserve">Interest Expense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0">
            <w:pPr>
              <w:ind w:left="120" w:firstLine="0"/>
              <w:rPr>
                <w:sz w:val="20"/>
                <w:szCs w:val="20"/>
              </w:rPr>
            </w:pPr>
            <w:r w:rsidDel="00000000" w:rsidR="00000000" w:rsidRPr="00000000">
              <w:rPr>
                <w:sz w:val="20"/>
                <w:szCs w:val="20"/>
                <w:rtl w:val="0"/>
              </w:rPr>
              <w:t xml:space="preserve">(257)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1">
            <w:pPr>
              <w:ind w:left="120" w:firstLine="0"/>
              <w:rPr>
                <w:sz w:val="20"/>
                <w:szCs w:val="20"/>
              </w:rPr>
            </w:pPr>
            <w:r w:rsidDel="00000000" w:rsidR="00000000" w:rsidRPr="00000000">
              <w:rPr>
                <w:sz w:val="20"/>
                <w:szCs w:val="20"/>
                <w:rtl w:val="0"/>
              </w:rPr>
              <w:t xml:space="preserve">(262)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2">
            <w:pPr>
              <w:ind w:left="120" w:firstLine="0"/>
              <w:rPr>
                <w:sz w:val="20"/>
                <w:szCs w:val="20"/>
              </w:rPr>
            </w:pPr>
            <w:r w:rsidDel="00000000" w:rsidR="00000000" w:rsidRPr="00000000">
              <w:rPr>
                <w:sz w:val="20"/>
                <w:szCs w:val="20"/>
                <w:rtl w:val="0"/>
              </w:rPr>
              <w:t xml:space="preserve">(236)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3">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4">
            <w:pPr>
              <w:ind w:left="120" w:firstLine="0"/>
              <w:rPr>
                <w:sz w:val="20"/>
                <w:szCs w:val="20"/>
              </w:rPr>
            </w:pPr>
            <w:r w:rsidDel="00000000" w:rsidR="00000000" w:rsidRPr="00000000">
              <w:rPr>
                <w:sz w:val="20"/>
                <w:szCs w:val="20"/>
                <w:rtl w:val="0"/>
              </w:rPr>
              <w:t xml:space="preserve">USD</w:t>
            </w:r>
          </w:p>
        </w:tc>
      </w:tr>
    </w:tbl>
    <w:p w:rsidR="00000000" w:rsidDel="00000000" w:rsidP="00000000" w:rsidRDefault="00000000" w:rsidRPr="00000000" w14:paraId="00000065">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066">
      <w:pPr>
        <w:spacing w:after="180" w:before="180" w:lineRule="auto"/>
        <w:rPr>
          <w:b w:val="1"/>
          <w:sz w:val="31"/>
          <w:szCs w:val="31"/>
        </w:rPr>
      </w:pPr>
      <w:r w:rsidDel="00000000" w:rsidR="00000000" w:rsidRPr="00000000">
        <w:rPr>
          <w:b w:val="1"/>
          <w:sz w:val="31"/>
          <w:szCs w:val="31"/>
          <w:rtl w:val="0"/>
        </w:rPr>
        <w:t xml:space="preserve">S2.2: Balance Sheet</w:t>
      </w:r>
    </w:p>
    <w:tbl>
      <w:tblPr>
        <w:tblStyle w:val="Table5"/>
        <w:tblW w:w="7260.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0.0000000000002"/>
        <w:gridCol w:w="1210.0000000000002"/>
        <w:gridCol w:w="1210.0000000000002"/>
        <w:gridCol w:w="1210.0000000000002"/>
        <w:gridCol w:w="1210.0000000000002"/>
        <w:gridCol w:w="1210.0000000000002"/>
        <w:tblGridChange w:id="0">
          <w:tblGrid>
            <w:gridCol w:w="1210.0000000000002"/>
            <w:gridCol w:w="1210.0000000000002"/>
            <w:gridCol w:w="1210.0000000000002"/>
            <w:gridCol w:w="1210.0000000000002"/>
            <w:gridCol w:w="1210.0000000000002"/>
            <w:gridCol w:w="1210.0000000000002"/>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7">
            <w:pPr>
              <w:ind w:left="120" w:firstLine="0"/>
              <w:rPr>
                <w:b w:val="1"/>
                <w:sz w:val="20"/>
                <w:szCs w:val="20"/>
              </w:rPr>
            </w:pPr>
            <w:r w:rsidDel="00000000" w:rsidR="00000000" w:rsidRPr="00000000">
              <w:rPr>
                <w:b w:val="1"/>
                <w:sz w:val="20"/>
                <w:szCs w:val="20"/>
                <w:rtl w:val="0"/>
              </w:rPr>
              <w:t xml:space="preserve">Field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8">
            <w:pPr>
              <w:ind w:left="120" w:firstLine="0"/>
              <w:rPr>
                <w:b w:val="1"/>
                <w:sz w:val="20"/>
                <w:szCs w:val="20"/>
              </w:rPr>
            </w:pPr>
            <w:r w:rsidDel="00000000" w:rsidR="00000000" w:rsidRPr="00000000">
              <w:rPr>
                <w:b w:val="1"/>
                <w:sz w:val="20"/>
                <w:szCs w:val="20"/>
                <w:rtl w:val="0"/>
              </w:rPr>
              <w:t xml:space="preserve">2024</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9">
            <w:pPr>
              <w:ind w:left="120" w:firstLine="0"/>
              <w:rPr>
                <w:b w:val="1"/>
                <w:sz w:val="20"/>
                <w:szCs w:val="20"/>
              </w:rPr>
            </w:pPr>
            <w:r w:rsidDel="00000000" w:rsidR="00000000" w:rsidRPr="00000000">
              <w:rPr>
                <w:b w:val="1"/>
                <w:sz w:val="20"/>
                <w:szCs w:val="20"/>
                <w:rtl w:val="0"/>
              </w:rPr>
              <w:t xml:space="preserve">2023</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A">
            <w:pPr>
              <w:ind w:left="120" w:firstLine="0"/>
              <w:rPr>
                <w:b w:val="1"/>
                <w:sz w:val="20"/>
                <w:szCs w:val="20"/>
              </w:rPr>
            </w:pPr>
            <w:r w:rsidDel="00000000" w:rsidR="00000000" w:rsidRPr="00000000">
              <w:rPr>
                <w:b w:val="1"/>
                <w:sz w:val="20"/>
                <w:szCs w:val="20"/>
                <w:rtl w:val="0"/>
              </w:rPr>
              <w:t xml:space="preserve">2022</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B">
            <w:pPr>
              <w:ind w:left="120" w:firstLine="0"/>
              <w:rPr>
                <w:b w:val="1"/>
                <w:sz w:val="20"/>
                <w:szCs w:val="20"/>
              </w:rPr>
            </w:pPr>
            <w:r w:rsidDel="00000000" w:rsidR="00000000" w:rsidRPr="00000000">
              <w:rPr>
                <w:b w:val="1"/>
                <w:sz w:val="20"/>
                <w:szCs w:val="20"/>
                <w:rtl w:val="0"/>
              </w:rPr>
              <w:t xml:space="preserve">Multiplier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C">
            <w:pPr>
              <w:ind w:left="120" w:firstLine="0"/>
              <w:rPr>
                <w:b w:val="1"/>
                <w:sz w:val="20"/>
                <w:szCs w:val="20"/>
              </w:rPr>
            </w:pPr>
            <w:r w:rsidDel="00000000" w:rsidR="00000000" w:rsidRPr="00000000">
              <w:rPr>
                <w:b w:val="1"/>
                <w:sz w:val="20"/>
                <w:szCs w:val="20"/>
                <w:rtl w:val="0"/>
              </w:rPr>
              <w:t xml:space="preserve">Currency</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D">
            <w:pPr>
              <w:ind w:left="120" w:firstLine="0"/>
              <w:rPr>
                <w:sz w:val="20"/>
                <w:szCs w:val="20"/>
              </w:rPr>
            </w:pPr>
            <w:r w:rsidDel="00000000" w:rsidR="00000000" w:rsidRPr="00000000">
              <w:rPr>
                <w:sz w:val="20"/>
                <w:szCs w:val="20"/>
                <w:rtl w:val="0"/>
              </w:rPr>
              <w:t xml:space="preserve">Total Assets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E">
            <w:pPr>
              <w:ind w:left="120" w:firstLine="0"/>
              <w:rPr>
                <w:sz w:val="20"/>
                <w:szCs w:val="20"/>
              </w:rPr>
            </w:pPr>
            <w:r w:rsidDel="00000000" w:rsidR="00000000" w:rsidRPr="00000000">
              <w:rPr>
                <w:sz w:val="20"/>
                <w:szCs w:val="20"/>
                <w:rtl w:val="0"/>
              </w:rPr>
              <w:t xml:space="preserve">65,728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F">
            <w:pPr>
              <w:ind w:left="120" w:firstLine="0"/>
              <w:rPr>
                <w:sz w:val="20"/>
                <w:szCs w:val="20"/>
              </w:rPr>
            </w:pPr>
            <w:r w:rsidDel="00000000" w:rsidR="00000000" w:rsidRPr="00000000">
              <w:rPr>
                <w:sz w:val="20"/>
                <w:szCs w:val="20"/>
                <w:rtl w:val="0"/>
              </w:rPr>
              <w:t xml:space="preserve">41,182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0">
            <w:pPr>
              <w:ind w:left="120" w:firstLine="0"/>
              <w:rPr>
                <w:sz w:val="20"/>
                <w:szCs w:val="20"/>
              </w:rPr>
            </w:pPr>
            <w:r w:rsidDel="00000000" w:rsidR="00000000" w:rsidRPr="00000000">
              <w:rPr>
                <w:sz w:val="20"/>
                <w:szCs w:val="20"/>
                <w:rtl w:val="0"/>
              </w:rPr>
              <w:t xml:space="preserve">44,187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1">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2">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3">
            <w:pPr>
              <w:ind w:left="120" w:firstLine="0"/>
              <w:rPr>
                <w:sz w:val="20"/>
                <w:szCs w:val="20"/>
              </w:rPr>
            </w:pPr>
            <w:r w:rsidDel="00000000" w:rsidR="00000000" w:rsidRPr="00000000">
              <w:rPr>
                <w:sz w:val="20"/>
                <w:szCs w:val="20"/>
                <w:rtl w:val="0"/>
              </w:rPr>
              <w:t xml:space="preserve">Current Assets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4">
            <w:pPr>
              <w:ind w:left="120" w:firstLine="0"/>
              <w:rPr>
                <w:sz w:val="20"/>
                <w:szCs w:val="20"/>
              </w:rPr>
            </w:pPr>
            <w:r w:rsidDel="00000000" w:rsidR="00000000" w:rsidRPr="00000000">
              <w:rPr>
                <w:sz w:val="20"/>
                <w:szCs w:val="20"/>
                <w:rtl w:val="0"/>
              </w:rPr>
              <w:t xml:space="preserve">44,345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5">
            <w:pPr>
              <w:ind w:left="120" w:firstLine="0"/>
              <w:rPr>
                <w:sz w:val="20"/>
                <w:szCs w:val="20"/>
              </w:rPr>
            </w:pPr>
            <w:r w:rsidDel="00000000" w:rsidR="00000000" w:rsidRPr="00000000">
              <w:rPr>
                <w:sz w:val="20"/>
                <w:szCs w:val="20"/>
                <w:rtl w:val="0"/>
              </w:rPr>
              <w:t xml:space="preserve">23,073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6">
            <w:pPr>
              <w:ind w:left="120" w:firstLine="0"/>
              <w:rPr>
                <w:sz w:val="20"/>
                <w:szCs w:val="20"/>
              </w:rPr>
            </w:pPr>
            <w:r w:rsidDel="00000000" w:rsidR="00000000" w:rsidRPr="00000000">
              <w:rPr>
                <w:sz w:val="20"/>
                <w:szCs w:val="20"/>
                <w:rtl w:val="0"/>
              </w:rPr>
              <w:t xml:space="preserve">28,829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7">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8">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9">
            <w:pPr>
              <w:ind w:left="120" w:firstLine="0"/>
              <w:rPr>
                <w:sz w:val="20"/>
                <w:szCs w:val="20"/>
              </w:rPr>
            </w:pPr>
            <w:r w:rsidDel="00000000" w:rsidR="00000000" w:rsidRPr="00000000">
              <w:rPr>
                <w:sz w:val="20"/>
                <w:szCs w:val="20"/>
                <w:rtl w:val="0"/>
              </w:rPr>
              <w:t xml:space="preserve">Non-Current Assets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A">
            <w:pPr>
              <w:ind w:left="120" w:firstLine="0"/>
              <w:rPr>
                <w:sz w:val="20"/>
                <w:szCs w:val="20"/>
              </w:rPr>
            </w:pPr>
            <w:r w:rsidDel="00000000" w:rsidR="00000000" w:rsidRPr="00000000">
              <w:rPr>
                <w:sz w:val="20"/>
                <w:szCs w:val="20"/>
                <w:rtl w:val="0"/>
              </w:rPr>
              <w:t xml:space="preserve">21,383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B">
            <w:pPr>
              <w:ind w:left="120" w:firstLine="0"/>
              <w:rPr>
                <w:sz w:val="20"/>
                <w:szCs w:val="20"/>
              </w:rPr>
            </w:pPr>
            <w:r w:rsidDel="00000000" w:rsidR="00000000" w:rsidRPr="00000000">
              <w:rPr>
                <w:sz w:val="20"/>
                <w:szCs w:val="20"/>
                <w:rtl w:val="0"/>
              </w:rPr>
              <w:t xml:space="preserve">18,109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C">
            <w:pPr>
              <w:ind w:left="120" w:firstLine="0"/>
              <w:rPr>
                <w:sz w:val="20"/>
                <w:szCs w:val="20"/>
              </w:rPr>
            </w:pPr>
            <w:r w:rsidDel="00000000" w:rsidR="00000000" w:rsidRPr="00000000">
              <w:rPr>
                <w:sz w:val="20"/>
                <w:szCs w:val="20"/>
                <w:rtl w:val="0"/>
              </w:rPr>
              <w:t xml:space="preserve">15,358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D">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E">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7F">
            <w:pPr>
              <w:ind w:left="120" w:firstLine="0"/>
              <w:rPr>
                <w:sz w:val="20"/>
                <w:szCs w:val="20"/>
              </w:rPr>
            </w:pPr>
            <w:r w:rsidDel="00000000" w:rsidR="00000000" w:rsidRPr="00000000">
              <w:rPr>
                <w:sz w:val="20"/>
                <w:szCs w:val="20"/>
                <w:rtl w:val="0"/>
              </w:rPr>
              <w:t xml:space="preserve">Total Liabilities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0">
            <w:pPr>
              <w:ind w:left="120" w:firstLine="0"/>
              <w:rPr>
                <w:sz w:val="20"/>
                <w:szCs w:val="20"/>
              </w:rPr>
            </w:pPr>
            <w:r w:rsidDel="00000000" w:rsidR="00000000" w:rsidRPr="00000000">
              <w:rPr>
                <w:sz w:val="20"/>
                <w:szCs w:val="20"/>
                <w:rtl w:val="0"/>
              </w:rPr>
              <w:t xml:space="preserve">22,750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1">
            <w:pPr>
              <w:ind w:left="120" w:firstLine="0"/>
              <w:rPr>
                <w:sz w:val="20"/>
                <w:szCs w:val="20"/>
              </w:rPr>
            </w:pPr>
            <w:r w:rsidDel="00000000" w:rsidR="00000000" w:rsidRPr="00000000">
              <w:rPr>
                <w:sz w:val="20"/>
                <w:szCs w:val="20"/>
                <w:rtl w:val="0"/>
              </w:rPr>
              <w:t xml:space="preserve">19,081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2">
            <w:pPr>
              <w:ind w:left="120" w:firstLine="0"/>
              <w:rPr>
                <w:sz w:val="20"/>
                <w:szCs w:val="20"/>
              </w:rPr>
            </w:pPr>
            <w:r w:rsidDel="00000000" w:rsidR="00000000" w:rsidRPr="00000000">
              <w:rPr>
                <w:sz w:val="20"/>
                <w:szCs w:val="20"/>
                <w:rtl w:val="0"/>
              </w:rPr>
              <w:t xml:space="preserve">17,575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3">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4">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5">
            <w:pPr>
              <w:ind w:left="120" w:firstLine="0"/>
              <w:rPr>
                <w:sz w:val="20"/>
                <w:szCs w:val="20"/>
              </w:rPr>
            </w:pPr>
            <w:r w:rsidDel="00000000" w:rsidR="00000000" w:rsidRPr="00000000">
              <w:rPr>
                <w:sz w:val="20"/>
                <w:szCs w:val="20"/>
                <w:rtl w:val="0"/>
              </w:rPr>
              <w:t xml:space="preserve">Current Liabilities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6">
            <w:pPr>
              <w:ind w:left="120" w:firstLine="0"/>
              <w:rPr>
                <w:sz w:val="20"/>
                <w:szCs w:val="20"/>
              </w:rPr>
            </w:pPr>
            <w:r w:rsidDel="00000000" w:rsidR="00000000" w:rsidRPr="00000000">
              <w:rPr>
                <w:sz w:val="20"/>
                <w:szCs w:val="20"/>
                <w:rtl w:val="0"/>
              </w:rPr>
              <w:t xml:space="preserve">10,631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7">
            <w:pPr>
              <w:ind w:left="120" w:firstLine="0"/>
              <w:rPr>
                <w:sz w:val="20"/>
                <w:szCs w:val="20"/>
              </w:rPr>
            </w:pPr>
            <w:r w:rsidDel="00000000" w:rsidR="00000000" w:rsidRPr="00000000">
              <w:rPr>
                <w:sz w:val="20"/>
                <w:szCs w:val="20"/>
                <w:rtl w:val="0"/>
              </w:rPr>
              <w:t xml:space="preserve">6,563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8">
            <w:pPr>
              <w:ind w:left="120" w:firstLine="0"/>
              <w:rPr>
                <w:sz w:val="20"/>
                <w:szCs w:val="20"/>
              </w:rPr>
            </w:pPr>
            <w:r w:rsidDel="00000000" w:rsidR="00000000" w:rsidRPr="00000000">
              <w:rPr>
                <w:sz w:val="20"/>
                <w:szCs w:val="20"/>
                <w:rtl w:val="0"/>
              </w:rPr>
              <w:t xml:space="preserve">4,335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9">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A">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B">
            <w:pPr>
              <w:ind w:left="120" w:firstLine="0"/>
              <w:rPr>
                <w:sz w:val="20"/>
                <w:szCs w:val="20"/>
              </w:rPr>
            </w:pPr>
            <w:r w:rsidDel="00000000" w:rsidR="00000000" w:rsidRPr="00000000">
              <w:rPr>
                <w:sz w:val="20"/>
                <w:szCs w:val="20"/>
                <w:rtl w:val="0"/>
              </w:rPr>
              <w:t xml:space="preserve">Non-Current Liabilities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C">
            <w:pPr>
              <w:ind w:left="120" w:firstLine="0"/>
              <w:rPr>
                <w:sz w:val="20"/>
                <w:szCs w:val="20"/>
              </w:rPr>
            </w:pPr>
            <w:r w:rsidDel="00000000" w:rsidR="00000000" w:rsidRPr="00000000">
              <w:rPr>
                <w:sz w:val="20"/>
                <w:szCs w:val="20"/>
                <w:rtl w:val="0"/>
              </w:rPr>
              <w:t xml:space="preserve">12,119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D">
            <w:pPr>
              <w:ind w:left="120" w:firstLine="0"/>
              <w:rPr>
                <w:sz w:val="20"/>
                <w:szCs w:val="20"/>
              </w:rPr>
            </w:pPr>
            <w:r w:rsidDel="00000000" w:rsidR="00000000" w:rsidRPr="00000000">
              <w:rPr>
                <w:sz w:val="20"/>
                <w:szCs w:val="20"/>
                <w:rtl w:val="0"/>
              </w:rPr>
              <w:t xml:space="preserve">12,518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E">
            <w:pPr>
              <w:ind w:left="120" w:firstLine="0"/>
              <w:rPr>
                <w:sz w:val="20"/>
                <w:szCs w:val="20"/>
              </w:rPr>
            </w:pPr>
            <w:r w:rsidDel="00000000" w:rsidR="00000000" w:rsidRPr="00000000">
              <w:rPr>
                <w:sz w:val="20"/>
                <w:szCs w:val="20"/>
                <w:rtl w:val="0"/>
              </w:rPr>
              <w:t xml:space="preserve">13,240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8F">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0">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1">
            <w:pPr>
              <w:ind w:left="120" w:firstLine="0"/>
              <w:rPr>
                <w:sz w:val="20"/>
                <w:szCs w:val="20"/>
              </w:rPr>
            </w:pPr>
            <w:r w:rsidDel="00000000" w:rsidR="00000000" w:rsidRPr="00000000">
              <w:rPr>
                <w:sz w:val="20"/>
                <w:szCs w:val="20"/>
                <w:rtl w:val="0"/>
              </w:rPr>
              <w:t xml:space="preserve">Shareholders' Equity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2">
            <w:pPr>
              <w:ind w:left="120" w:firstLine="0"/>
              <w:rPr>
                <w:sz w:val="20"/>
                <w:szCs w:val="20"/>
              </w:rPr>
            </w:pPr>
            <w:r w:rsidDel="00000000" w:rsidR="00000000" w:rsidRPr="00000000">
              <w:rPr>
                <w:sz w:val="20"/>
                <w:szCs w:val="20"/>
                <w:rtl w:val="0"/>
              </w:rPr>
              <w:t xml:space="preserve">42,978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3">
            <w:pPr>
              <w:ind w:left="120" w:firstLine="0"/>
              <w:rPr>
                <w:sz w:val="20"/>
                <w:szCs w:val="20"/>
              </w:rPr>
            </w:pPr>
            <w:r w:rsidDel="00000000" w:rsidR="00000000" w:rsidRPr="00000000">
              <w:rPr>
                <w:sz w:val="20"/>
                <w:szCs w:val="20"/>
                <w:rtl w:val="0"/>
              </w:rPr>
              <w:t xml:space="preserve">22,101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4">
            <w:pPr>
              <w:ind w:left="120" w:firstLine="0"/>
              <w:rPr>
                <w:sz w:val="20"/>
                <w:szCs w:val="20"/>
              </w:rPr>
            </w:pPr>
            <w:r w:rsidDel="00000000" w:rsidR="00000000" w:rsidRPr="00000000">
              <w:rPr>
                <w:sz w:val="20"/>
                <w:szCs w:val="20"/>
                <w:rtl w:val="0"/>
              </w:rPr>
              <w:t xml:space="preserve">26,612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5">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6">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7">
            <w:pPr>
              <w:ind w:left="120" w:firstLine="0"/>
              <w:rPr>
                <w:sz w:val="20"/>
                <w:szCs w:val="20"/>
              </w:rPr>
            </w:pPr>
            <w:r w:rsidDel="00000000" w:rsidR="00000000" w:rsidRPr="00000000">
              <w:rPr>
                <w:sz w:val="20"/>
                <w:szCs w:val="20"/>
                <w:rtl w:val="0"/>
              </w:rPr>
              <w:t xml:space="preserve">Retained Earnings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8">
            <w:pPr>
              <w:ind w:left="120" w:firstLine="0"/>
              <w:rPr>
                <w:sz w:val="20"/>
                <w:szCs w:val="20"/>
              </w:rPr>
            </w:pPr>
            <w:r w:rsidDel="00000000" w:rsidR="00000000" w:rsidRPr="00000000">
              <w:rPr>
                <w:sz w:val="20"/>
                <w:szCs w:val="20"/>
                <w:rtl w:val="0"/>
              </w:rPr>
              <w:t xml:space="preserve">29,817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9">
            <w:pPr>
              <w:ind w:left="120" w:firstLine="0"/>
              <w:rPr>
                <w:sz w:val="20"/>
                <w:szCs w:val="20"/>
              </w:rPr>
            </w:pPr>
            <w:r w:rsidDel="00000000" w:rsidR="00000000" w:rsidRPr="00000000">
              <w:rPr>
                <w:sz w:val="20"/>
                <w:szCs w:val="20"/>
                <w:rtl w:val="0"/>
              </w:rPr>
              <w:t xml:space="preserve">10,171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A">
            <w:pPr>
              <w:ind w:left="120" w:firstLine="0"/>
              <w:rPr>
                <w:sz w:val="20"/>
                <w:szCs w:val="20"/>
              </w:rPr>
            </w:pPr>
            <w:r w:rsidDel="00000000" w:rsidR="00000000" w:rsidRPr="00000000">
              <w:rPr>
                <w:sz w:val="20"/>
                <w:szCs w:val="20"/>
                <w:rtl w:val="0"/>
              </w:rPr>
              <w:t xml:space="preserve">16,235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B">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C">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D">
            <w:pPr>
              <w:ind w:left="120" w:firstLine="0"/>
              <w:rPr>
                <w:sz w:val="20"/>
                <w:szCs w:val="20"/>
              </w:rPr>
            </w:pPr>
            <w:r w:rsidDel="00000000" w:rsidR="00000000" w:rsidRPr="00000000">
              <w:rPr>
                <w:sz w:val="20"/>
                <w:szCs w:val="20"/>
                <w:rtl w:val="0"/>
              </w:rPr>
              <w:t xml:space="preserve">Total Equity and Liabilities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E">
            <w:pPr>
              <w:ind w:left="120" w:firstLine="0"/>
              <w:rPr>
                <w:sz w:val="20"/>
                <w:szCs w:val="20"/>
              </w:rPr>
            </w:pPr>
            <w:r w:rsidDel="00000000" w:rsidR="00000000" w:rsidRPr="00000000">
              <w:rPr>
                <w:sz w:val="20"/>
                <w:szCs w:val="20"/>
                <w:rtl w:val="0"/>
              </w:rPr>
              <w:t xml:space="preserve">65,728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9F">
            <w:pPr>
              <w:ind w:left="120" w:firstLine="0"/>
              <w:rPr>
                <w:sz w:val="20"/>
                <w:szCs w:val="20"/>
              </w:rPr>
            </w:pPr>
            <w:r w:rsidDel="00000000" w:rsidR="00000000" w:rsidRPr="00000000">
              <w:rPr>
                <w:sz w:val="20"/>
                <w:szCs w:val="20"/>
                <w:rtl w:val="0"/>
              </w:rPr>
              <w:t xml:space="preserve">41,182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0">
            <w:pPr>
              <w:ind w:left="120" w:firstLine="0"/>
              <w:rPr>
                <w:sz w:val="20"/>
                <w:szCs w:val="20"/>
              </w:rPr>
            </w:pPr>
            <w:r w:rsidDel="00000000" w:rsidR="00000000" w:rsidRPr="00000000">
              <w:rPr>
                <w:sz w:val="20"/>
                <w:szCs w:val="20"/>
                <w:rtl w:val="0"/>
              </w:rPr>
              <w:t xml:space="preserve">44,187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1">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2">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3">
            <w:pPr>
              <w:ind w:left="120" w:firstLine="0"/>
              <w:rPr>
                <w:sz w:val="20"/>
                <w:szCs w:val="20"/>
              </w:rPr>
            </w:pPr>
            <w:r w:rsidDel="00000000" w:rsidR="00000000" w:rsidRPr="00000000">
              <w:rPr>
                <w:sz w:val="20"/>
                <w:szCs w:val="20"/>
                <w:rtl w:val="0"/>
              </w:rPr>
              <w:t xml:space="preserve">Inventories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4">
            <w:pPr>
              <w:ind w:left="120" w:firstLine="0"/>
              <w:rPr>
                <w:sz w:val="20"/>
                <w:szCs w:val="20"/>
              </w:rPr>
            </w:pPr>
            <w:r w:rsidDel="00000000" w:rsidR="00000000" w:rsidRPr="00000000">
              <w:rPr>
                <w:sz w:val="20"/>
                <w:szCs w:val="20"/>
                <w:rtl w:val="0"/>
              </w:rPr>
              <w:t xml:space="preserve">5,282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5">
            <w:pPr>
              <w:ind w:left="120" w:firstLine="0"/>
              <w:rPr>
                <w:sz w:val="20"/>
                <w:szCs w:val="20"/>
              </w:rPr>
            </w:pPr>
            <w:r w:rsidDel="00000000" w:rsidR="00000000" w:rsidRPr="00000000">
              <w:rPr>
                <w:sz w:val="20"/>
                <w:szCs w:val="20"/>
                <w:rtl w:val="0"/>
              </w:rPr>
              <w:t xml:space="preserve">5,159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6">
            <w:pPr>
              <w:ind w:left="120" w:firstLine="0"/>
              <w:rPr>
                <w:sz w:val="20"/>
                <w:szCs w:val="20"/>
              </w:rPr>
            </w:pPr>
            <w:r w:rsidDel="00000000" w:rsidR="00000000" w:rsidRPr="00000000">
              <w:rPr>
                <w:sz w:val="20"/>
                <w:szCs w:val="20"/>
                <w:rtl w:val="0"/>
              </w:rPr>
              <w:t xml:space="preserve">2,605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7">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8">
            <w:pPr>
              <w:ind w:left="120" w:firstLine="0"/>
              <w:rPr>
                <w:sz w:val="20"/>
                <w:szCs w:val="20"/>
              </w:rPr>
            </w:pPr>
            <w:r w:rsidDel="00000000" w:rsidR="00000000" w:rsidRPr="00000000">
              <w:rPr>
                <w:sz w:val="20"/>
                <w:szCs w:val="20"/>
                <w:rtl w:val="0"/>
              </w:rPr>
              <w:t xml:space="preserve">USD</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9">
            <w:pPr>
              <w:ind w:left="120" w:firstLine="0"/>
              <w:rPr>
                <w:sz w:val="20"/>
                <w:szCs w:val="20"/>
              </w:rPr>
            </w:pPr>
            <w:r w:rsidDel="00000000" w:rsidR="00000000" w:rsidRPr="00000000">
              <w:rPr>
                <w:sz w:val="20"/>
                <w:szCs w:val="20"/>
                <w:rtl w:val="0"/>
              </w:rPr>
              <w:t xml:space="preserve">Prepaid Expenses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A">
            <w:pPr>
              <w:ind w:left="120" w:firstLine="0"/>
              <w:rPr>
                <w:sz w:val="20"/>
                <w:szCs w:val="20"/>
              </w:rPr>
            </w:pPr>
            <w:r w:rsidDel="00000000" w:rsidR="00000000" w:rsidRPr="00000000">
              <w:rPr>
                <w:sz w:val="20"/>
                <w:szCs w:val="20"/>
                <w:rtl w:val="0"/>
              </w:rPr>
              <w:t xml:space="preserve">3,080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B">
            <w:pPr>
              <w:ind w:left="120" w:firstLine="0"/>
              <w:rPr>
                <w:sz w:val="20"/>
                <w:szCs w:val="20"/>
              </w:rPr>
            </w:pPr>
            <w:r w:rsidDel="00000000" w:rsidR="00000000" w:rsidRPr="00000000">
              <w:rPr>
                <w:sz w:val="20"/>
                <w:szCs w:val="20"/>
                <w:rtl w:val="0"/>
              </w:rPr>
              <w:t xml:space="preserve">791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C">
            <w:pPr>
              <w:ind w:left="120" w:firstLine="0"/>
              <w:rPr>
                <w:sz w:val="20"/>
                <w:szCs w:val="20"/>
              </w:rPr>
            </w:pPr>
            <w:r w:rsidDel="00000000" w:rsidR="00000000" w:rsidRPr="00000000">
              <w:rPr>
                <w:sz w:val="20"/>
                <w:szCs w:val="20"/>
                <w:rtl w:val="0"/>
              </w:rPr>
              <w:t xml:space="preserve">366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D">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AE">
            <w:pPr>
              <w:ind w:left="120" w:firstLine="0"/>
              <w:rPr>
                <w:sz w:val="20"/>
                <w:szCs w:val="20"/>
              </w:rPr>
            </w:pPr>
            <w:r w:rsidDel="00000000" w:rsidR="00000000" w:rsidRPr="00000000">
              <w:rPr>
                <w:sz w:val="20"/>
                <w:szCs w:val="20"/>
                <w:rtl w:val="0"/>
              </w:rPr>
              <w:t xml:space="preserve">USD</w:t>
            </w:r>
          </w:p>
        </w:tc>
      </w:tr>
    </w:tbl>
    <w:p w:rsidR="00000000" w:rsidDel="00000000" w:rsidP="00000000" w:rsidRDefault="00000000" w:rsidRPr="00000000" w14:paraId="000000AF">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0B0">
      <w:pPr>
        <w:spacing w:after="180" w:before="180" w:lineRule="auto"/>
        <w:rPr>
          <w:b w:val="1"/>
          <w:sz w:val="31"/>
          <w:szCs w:val="31"/>
        </w:rPr>
      </w:pPr>
      <w:r w:rsidDel="00000000" w:rsidR="00000000" w:rsidRPr="00000000">
        <w:rPr>
          <w:b w:val="1"/>
          <w:sz w:val="31"/>
          <w:szCs w:val="31"/>
          <w:rtl w:val="0"/>
        </w:rPr>
        <w:t xml:space="preserve">S2.3: Cash Flow Statement</w:t>
      </w:r>
    </w:p>
    <w:tbl>
      <w:tblPr>
        <w:tblStyle w:val="Table6"/>
        <w:tblW w:w="820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7.5000000000002"/>
        <w:gridCol w:w="1367.5000000000002"/>
        <w:gridCol w:w="1367.5000000000002"/>
        <w:gridCol w:w="1367.5000000000002"/>
        <w:gridCol w:w="1367.5000000000002"/>
        <w:gridCol w:w="1367.5000000000002"/>
        <w:tblGridChange w:id="0">
          <w:tblGrid>
            <w:gridCol w:w="1367.5000000000002"/>
            <w:gridCol w:w="1367.5000000000002"/>
            <w:gridCol w:w="1367.5000000000002"/>
            <w:gridCol w:w="1367.5000000000002"/>
            <w:gridCol w:w="1367.5000000000002"/>
            <w:gridCol w:w="1367.5000000000002"/>
          </w:tblGrid>
        </w:tblGridChange>
      </w:tblGrid>
      <w:tr>
        <w:trPr>
          <w:cantSplit w:val="0"/>
          <w:trHeight w:val="5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1">
            <w:pPr>
              <w:ind w:left="120" w:firstLine="0"/>
              <w:rPr>
                <w:b w:val="1"/>
                <w:sz w:val="20"/>
                <w:szCs w:val="20"/>
              </w:rPr>
            </w:pPr>
            <w:r w:rsidDel="00000000" w:rsidR="00000000" w:rsidRPr="00000000">
              <w:rPr>
                <w:b w:val="1"/>
                <w:sz w:val="20"/>
                <w:szCs w:val="20"/>
                <w:rtl w:val="0"/>
              </w:rPr>
              <w:t xml:space="preserve">Field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2">
            <w:pPr>
              <w:ind w:left="120" w:firstLine="0"/>
              <w:rPr>
                <w:b w:val="1"/>
                <w:sz w:val="20"/>
                <w:szCs w:val="20"/>
              </w:rPr>
            </w:pPr>
            <w:r w:rsidDel="00000000" w:rsidR="00000000" w:rsidRPr="00000000">
              <w:rPr>
                <w:b w:val="1"/>
                <w:sz w:val="20"/>
                <w:szCs w:val="20"/>
                <w:rtl w:val="0"/>
              </w:rPr>
              <w:t xml:space="preserve">2024</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3">
            <w:pPr>
              <w:ind w:left="120" w:firstLine="0"/>
              <w:rPr>
                <w:b w:val="1"/>
                <w:sz w:val="20"/>
                <w:szCs w:val="20"/>
              </w:rPr>
            </w:pPr>
            <w:r w:rsidDel="00000000" w:rsidR="00000000" w:rsidRPr="00000000">
              <w:rPr>
                <w:b w:val="1"/>
                <w:sz w:val="20"/>
                <w:szCs w:val="20"/>
                <w:rtl w:val="0"/>
              </w:rPr>
              <w:t xml:space="preserve">2023</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4">
            <w:pPr>
              <w:ind w:left="120" w:firstLine="0"/>
              <w:rPr>
                <w:b w:val="1"/>
                <w:sz w:val="20"/>
                <w:szCs w:val="20"/>
              </w:rPr>
            </w:pPr>
            <w:r w:rsidDel="00000000" w:rsidR="00000000" w:rsidRPr="00000000">
              <w:rPr>
                <w:b w:val="1"/>
                <w:sz w:val="20"/>
                <w:szCs w:val="20"/>
                <w:rtl w:val="0"/>
              </w:rPr>
              <w:t xml:space="preserve">2022</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5">
            <w:pPr>
              <w:ind w:left="120" w:firstLine="0"/>
              <w:rPr>
                <w:b w:val="1"/>
                <w:sz w:val="20"/>
                <w:szCs w:val="20"/>
              </w:rPr>
            </w:pPr>
            <w:r w:rsidDel="00000000" w:rsidR="00000000" w:rsidRPr="00000000">
              <w:rPr>
                <w:b w:val="1"/>
                <w:sz w:val="20"/>
                <w:szCs w:val="20"/>
                <w:rtl w:val="0"/>
              </w:rPr>
              <w:t xml:space="preserve">Multiplier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6">
            <w:pPr>
              <w:ind w:left="120" w:firstLine="0"/>
              <w:rPr>
                <w:b w:val="1"/>
                <w:sz w:val="20"/>
                <w:szCs w:val="20"/>
              </w:rPr>
            </w:pPr>
            <w:r w:rsidDel="00000000" w:rsidR="00000000" w:rsidRPr="00000000">
              <w:rPr>
                <w:b w:val="1"/>
                <w:sz w:val="20"/>
                <w:szCs w:val="20"/>
                <w:rtl w:val="0"/>
              </w:rPr>
              <w:t xml:space="preserve">Currency</w:t>
            </w:r>
          </w:p>
        </w:tc>
      </w:tr>
      <w:tr>
        <w:trPr>
          <w:cantSplit w:val="0"/>
          <w:trHeight w:val="17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7">
            <w:pPr>
              <w:ind w:left="120" w:firstLine="0"/>
              <w:rPr>
                <w:sz w:val="20"/>
                <w:szCs w:val="20"/>
              </w:rPr>
            </w:pPr>
            <w:r w:rsidDel="00000000" w:rsidR="00000000" w:rsidRPr="00000000">
              <w:rPr>
                <w:sz w:val="20"/>
                <w:szCs w:val="20"/>
                <w:rtl w:val="0"/>
              </w:rPr>
              <w:t xml:space="preserve">Net Cash Flow from Operations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8">
            <w:pPr>
              <w:ind w:left="120" w:firstLine="0"/>
              <w:rPr>
                <w:sz w:val="20"/>
                <w:szCs w:val="20"/>
              </w:rPr>
            </w:pPr>
            <w:r w:rsidDel="00000000" w:rsidR="00000000" w:rsidRPr="00000000">
              <w:rPr>
                <w:sz w:val="20"/>
                <w:szCs w:val="20"/>
                <w:rtl w:val="0"/>
              </w:rPr>
              <w:t xml:space="preserve">28,090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9">
            <w:pPr>
              <w:ind w:left="120" w:firstLine="0"/>
              <w:rPr>
                <w:sz w:val="20"/>
                <w:szCs w:val="20"/>
              </w:rPr>
            </w:pPr>
            <w:r w:rsidDel="00000000" w:rsidR="00000000" w:rsidRPr="00000000">
              <w:rPr>
                <w:sz w:val="20"/>
                <w:szCs w:val="20"/>
                <w:rtl w:val="0"/>
              </w:rPr>
              <w:t xml:space="preserve">5,641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A">
            <w:pPr>
              <w:ind w:left="120" w:firstLine="0"/>
              <w:rPr>
                <w:sz w:val="20"/>
                <w:szCs w:val="20"/>
              </w:rPr>
            </w:pPr>
            <w:r w:rsidDel="00000000" w:rsidR="00000000" w:rsidRPr="00000000">
              <w:rPr>
                <w:sz w:val="20"/>
                <w:szCs w:val="20"/>
                <w:rtl w:val="0"/>
              </w:rPr>
              <w:t xml:space="preserve">9,108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B">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C">
            <w:pPr>
              <w:ind w:left="120" w:firstLine="0"/>
              <w:rPr>
                <w:sz w:val="20"/>
                <w:szCs w:val="20"/>
              </w:rPr>
            </w:pPr>
            <w:r w:rsidDel="00000000" w:rsidR="00000000" w:rsidRPr="00000000">
              <w:rPr>
                <w:sz w:val="20"/>
                <w:szCs w:val="20"/>
                <w:rtl w:val="0"/>
              </w:rPr>
              <w:t xml:space="preserve">USD</w:t>
            </w:r>
          </w:p>
        </w:tc>
      </w:tr>
      <w:tr>
        <w:trPr>
          <w:cantSplit w:val="0"/>
          <w:trHeight w:val="17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D">
            <w:pPr>
              <w:ind w:left="120" w:firstLine="0"/>
              <w:rPr>
                <w:sz w:val="20"/>
                <w:szCs w:val="20"/>
              </w:rPr>
            </w:pPr>
            <w:r w:rsidDel="00000000" w:rsidR="00000000" w:rsidRPr="00000000">
              <w:rPr>
                <w:sz w:val="20"/>
                <w:szCs w:val="20"/>
                <w:rtl w:val="0"/>
              </w:rPr>
              <w:t xml:space="preserve">Net Cash Flow from Investing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E">
            <w:pPr>
              <w:ind w:left="120" w:firstLine="0"/>
              <w:rPr>
                <w:sz w:val="20"/>
                <w:szCs w:val="20"/>
              </w:rPr>
            </w:pPr>
            <w:r w:rsidDel="00000000" w:rsidR="00000000" w:rsidRPr="00000000">
              <w:rPr>
                <w:sz w:val="20"/>
                <w:szCs w:val="20"/>
                <w:rtl w:val="0"/>
              </w:rPr>
              <w:t xml:space="preserve">(10,566)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BF">
            <w:pPr>
              <w:ind w:left="120" w:firstLine="0"/>
              <w:rPr>
                <w:sz w:val="20"/>
                <w:szCs w:val="20"/>
              </w:rPr>
            </w:pPr>
            <w:r w:rsidDel="00000000" w:rsidR="00000000" w:rsidRPr="00000000">
              <w:rPr>
                <w:sz w:val="20"/>
                <w:szCs w:val="20"/>
                <w:rtl w:val="0"/>
              </w:rPr>
              <w:t xml:space="preserve">7,375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0">
            <w:pPr>
              <w:ind w:left="120" w:firstLine="0"/>
              <w:rPr>
                <w:sz w:val="20"/>
                <w:szCs w:val="20"/>
              </w:rPr>
            </w:pPr>
            <w:r w:rsidDel="00000000" w:rsidR="00000000" w:rsidRPr="00000000">
              <w:rPr>
                <w:sz w:val="20"/>
                <w:szCs w:val="20"/>
                <w:rtl w:val="0"/>
              </w:rPr>
              <w:t xml:space="preserve">(9,830)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1">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2">
            <w:pPr>
              <w:ind w:left="120" w:firstLine="0"/>
              <w:rPr>
                <w:sz w:val="20"/>
                <w:szCs w:val="20"/>
              </w:rPr>
            </w:pPr>
            <w:r w:rsidDel="00000000" w:rsidR="00000000" w:rsidRPr="00000000">
              <w:rPr>
                <w:sz w:val="20"/>
                <w:szCs w:val="20"/>
                <w:rtl w:val="0"/>
              </w:rPr>
              <w:t xml:space="preserve">USD</w:t>
            </w:r>
          </w:p>
        </w:tc>
      </w:tr>
      <w:tr>
        <w:trPr>
          <w:cantSplit w:val="0"/>
          <w:trHeight w:val="17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3">
            <w:pPr>
              <w:ind w:left="120" w:firstLine="0"/>
              <w:rPr>
                <w:sz w:val="20"/>
                <w:szCs w:val="20"/>
              </w:rPr>
            </w:pPr>
            <w:r w:rsidDel="00000000" w:rsidR="00000000" w:rsidRPr="00000000">
              <w:rPr>
                <w:sz w:val="20"/>
                <w:szCs w:val="20"/>
                <w:rtl w:val="0"/>
              </w:rPr>
              <w:t xml:space="preserve">Net Cash Flow from Financing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4">
            <w:pPr>
              <w:ind w:left="120" w:firstLine="0"/>
              <w:rPr>
                <w:sz w:val="20"/>
                <w:szCs w:val="20"/>
              </w:rPr>
            </w:pPr>
            <w:r w:rsidDel="00000000" w:rsidR="00000000" w:rsidRPr="00000000">
              <w:rPr>
                <w:sz w:val="20"/>
                <w:szCs w:val="20"/>
                <w:rtl w:val="0"/>
              </w:rPr>
              <w:t xml:space="preserve">(13,633)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5">
            <w:pPr>
              <w:ind w:left="120" w:firstLine="0"/>
              <w:rPr>
                <w:sz w:val="20"/>
                <w:szCs w:val="20"/>
              </w:rPr>
            </w:pPr>
            <w:r w:rsidDel="00000000" w:rsidR="00000000" w:rsidRPr="00000000">
              <w:rPr>
                <w:sz w:val="20"/>
                <w:szCs w:val="20"/>
                <w:rtl w:val="0"/>
              </w:rPr>
              <w:t xml:space="preserve">(11,617)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6">
            <w:pPr>
              <w:ind w:left="120" w:firstLine="0"/>
              <w:rPr>
                <w:sz w:val="20"/>
                <w:szCs w:val="20"/>
              </w:rPr>
            </w:pPr>
            <w:r w:rsidDel="00000000" w:rsidR="00000000" w:rsidRPr="00000000">
              <w:rPr>
                <w:sz w:val="20"/>
                <w:szCs w:val="20"/>
                <w:rtl w:val="0"/>
              </w:rPr>
              <w:t xml:space="preserve">1,865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7">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8">
            <w:pPr>
              <w:ind w:left="120" w:firstLine="0"/>
              <w:rPr>
                <w:sz w:val="20"/>
                <w:szCs w:val="20"/>
              </w:rPr>
            </w:pPr>
            <w:r w:rsidDel="00000000" w:rsidR="00000000" w:rsidRPr="00000000">
              <w:rPr>
                <w:sz w:val="20"/>
                <w:szCs w:val="20"/>
                <w:rtl w:val="0"/>
              </w:rPr>
              <w:t xml:space="preserve">USD</w:t>
            </w:r>
          </w:p>
        </w:tc>
      </w:tr>
      <w:tr>
        <w:trPr>
          <w:cantSplit w:val="0"/>
          <w:trHeight w:val="17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9">
            <w:pPr>
              <w:ind w:left="120" w:firstLine="0"/>
              <w:rPr>
                <w:sz w:val="20"/>
                <w:szCs w:val="20"/>
              </w:rPr>
            </w:pPr>
            <w:r w:rsidDel="00000000" w:rsidR="00000000" w:rsidRPr="00000000">
              <w:rPr>
                <w:sz w:val="20"/>
                <w:szCs w:val="20"/>
                <w:rtl w:val="0"/>
              </w:rPr>
              <w:t xml:space="preserve">Net Increase/Decrease in Cash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A">
            <w:pPr>
              <w:ind w:left="120" w:firstLine="0"/>
              <w:rPr>
                <w:sz w:val="20"/>
                <w:szCs w:val="20"/>
              </w:rPr>
            </w:pPr>
            <w:r w:rsidDel="00000000" w:rsidR="00000000" w:rsidRPr="00000000">
              <w:rPr>
                <w:sz w:val="20"/>
                <w:szCs w:val="20"/>
                <w:rtl w:val="0"/>
              </w:rPr>
              <w:t xml:space="preserve">3,891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B">
            <w:pPr>
              <w:ind w:left="120" w:firstLine="0"/>
              <w:rPr>
                <w:sz w:val="20"/>
                <w:szCs w:val="20"/>
              </w:rPr>
            </w:pPr>
            <w:r w:rsidDel="00000000" w:rsidR="00000000" w:rsidRPr="00000000">
              <w:rPr>
                <w:sz w:val="20"/>
                <w:szCs w:val="20"/>
                <w:rtl w:val="0"/>
              </w:rPr>
              <w:t xml:space="preserve">1,399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C">
            <w:pPr>
              <w:ind w:left="120" w:firstLine="0"/>
              <w:rPr>
                <w:sz w:val="20"/>
                <w:szCs w:val="20"/>
              </w:rPr>
            </w:pPr>
            <w:r w:rsidDel="00000000" w:rsidR="00000000" w:rsidRPr="00000000">
              <w:rPr>
                <w:sz w:val="20"/>
                <w:szCs w:val="20"/>
                <w:rtl w:val="0"/>
              </w:rPr>
              <w:t xml:space="preserve">1,143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D">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E">
            <w:pPr>
              <w:ind w:left="120" w:firstLine="0"/>
              <w:rPr>
                <w:sz w:val="20"/>
                <w:szCs w:val="20"/>
              </w:rPr>
            </w:pPr>
            <w:r w:rsidDel="00000000" w:rsidR="00000000" w:rsidRPr="00000000">
              <w:rPr>
                <w:sz w:val="20"/>
                <w:szCs w:val="20"/>
                <w:rtl w:val="0"/>
              </w:rPr>
              <w:t xml:space="preserve">USD</w:t>
            </w:r>
          </w:p>
        </w:tc>
      </w:tr>
      <w:tr>
        <w:trPr>
          <w:cantSplit w:val="0"/>
          <w:trHeight w:val="25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CF">
            <w:pPr>
              <w:ind w:left="120" w:firstLine="0"/>
              <w:rPr>
                <w:sz w:val="20"/>
                <w:szCs w:val="20"/>
              </w:rPr>
            </w:pPr>
            <w:r w:rsidDel="00000000" w:rsidR="00000000" w:rsidRPr="00000000">
              <w:rPr>
                <w:sz w:val="20"/>
                <w:szCs w:val="20"/>
                <w:rtl w:val="0"/>
              </w:rPr>
              <w:t xml:space="preserve">Dividends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0">
            <w:pPr>
              <w:ind w:left="120" w:firstLine="0"/>
              <w:rPr>
                <w:sz w:val="20"/>
                <w:szCs w:val="20"/>
              </w:rPr>
            </w:pPr>
            <w:r w:rsidDel="00000000" w:rsidR="00000000" w:rsidRPr="00000000">
              <w:rPr>
                <w:sz w:val="20"/>
                <w:szCs w:val="20"/>
                <w:rtl w:val="0"/>
              </w:rPr>
              <w:t xml:space="preserve">(395)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1">
            <w:pPr>
              <w:ind w:left="120" w:firstLine="0"/>
              <w:rPr>
                <w:sz w:val="20"/>
                <w:szCs w:val="20"/>
              </w:rPr>
            </w:pPr>
            <w:r w:rsidDel="00000000" w:rsidR="00000000" w:rsidRPr="00000000">
              <w:rPr>
                <w:sz w:val="20"/>
                <w:szCs w:val="20"/>
                <w:rtl w:val="0"/>
              </w:rPr>
              <w:t xml:space="preserve">(398)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2">
            <w:pPr>
              <w:ind w:left="120" w:firstLine="0"/>
              <w:rPr>
                <w:sz w:val="20"/>
                <w:szCs w:val="20"/>
              </w:rPr>
            </w:pPr>
            <w:r w:rsidDel="00000000" w:rsidR="00000000" w:rsidRPr="00000000">
              <w:rPr>
                <w:sz w:val="20"/>
                <w:szCs w:val="20"/>
                <w:rtl w:val="0"/>
              </w:rPr>
              <w:t xml:space="preserve">(399)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3">
            <w:pPr>
              <w:ind w:left="120" w:firstLine="0"/>
              <w:rPr>
                <w:sz w:val="20"/>
                <w:szCs w:val="20"/>
              </w:rPr>
            </w:pPr>
            <w:r w:rsidDel="00000000" w:rsidR="00000000" w:rsidRPr="00000000">
              <w:rPr>
                <w:sz w:val="20"/>
                <w:szCs w:val="20"/>
                <w:rtl w:val="0"/>
              </w:rPr>
              <w:t xml:space="preserve">Millions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4">
            <w:pPr>
              <w:ind w:left="120" w:firstLine="0"/>
              <w:rPr>
                <w:sz w:val="20"/>
                <w:szCs w:val="20"/>
              </w:rPr>
            </w:pPr>
            <w:r w:rsidDel="00000000" w:rsidR="00000000" w:rsidRPr="00000000">
              <w:rPr>
                <w:sz w:val="20"/>
                <w:szCs w:val="20"/>
                <w:rtl w:val="0"/>
              </w:rPr>
              <w:t xml:space="preserve">USD</w:t>
            </w:r>
          </w:p>
        </w:tc>
      </w:tr>
    </w:tbl>
    <w:p w:rsidR="00000000" w:rsidDel="00000000" w:rsidP="00000000" w:rsidRDefault="00000000" w:rsidRPr="00000000" w14:paraId="000000D5">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0D6">
      <w:pPr>
        <w:spacing w:after="180" w:before="180" w:lineRule="auto"/>
        <w:rPr>
          <w:b w:val="1"/>
          <w:sz w:val="31"/>
          <w:szCs w:val="31"/>
        </w:rPr>
      </w:pPr>
      <w:r w:rsidDel="00000000" w:rsidR="00000000" w:rsidRPr="00000000">
        <w:rPr>
          <w:b w:val="1"/>
          <w:sz w:val="31"/>
          <w:szCs w:val="31"/>
          <w:rtl w:val="0"/>
        </w:rPr>
        <w:t xml:space="preserve">S2.4: Key Financial Metrics</w:t>
      </w:r>
    </w:p>
    <w:tbl>
      <w:tblPr>
        <w:tblStyle w:val="Table7"/>
        <w:tblW w:w="74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1"/>
        <w:gridCol w:w="1891"/>
        <w:gridCol w:w="1855"/>
        <w:gridCol w:w="1855"/>
        <w:tblGridChange w:id="0">
          <w:tblGrid>
            <w:gridCol w:w="1891"/>
            <w:gridCol w:w="1891"/>
            <w:gridCol w:w="1855"/>
            <w:gridCol w:w="1855"/>
          </w:tblGrid>
        </w:tblGridChange>
      </w:tblGrid>
      <w:tr>
        <w:trPr>
          <w:cantSplit w:val="0"/>
          <w:trHeight w:val="46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7">
            <w:pPr>
              <w:spacing w:after="200" w:lineRule="auto"/>
              <w:ind w:left="120" w:firstLine="0"/>
              <w:rPr>
                <w:sz w:val="20"/>
                <w:szCs w:val="20"/>
              </w:rPr>
            </w:pPr>
            <w:r w:rsidDel="00000000" w:rsidR="00000000" w:rsidRPr="00000000">
              <w:rPr>
                <w:sz w:val="20"/>
                <w:szCs w:val="20"/>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8">
            <w:pPr>
              <w:ind w:left="120" w:firstLine="0"/>
              <w:rPr>
                <w:b w:val="1"/>
                <w:sz w:val="20"/>
                <w:szCs w:val="20"/>
              </w:rPr>
            </w:pPr>
            <w:r w:rsidDel="00000000" w:rsidR="00000000" w:rsidRPr="00000000">
              <w:rPr>
                <w:b w:val="1"/>
                <w:sz w:val="20"/>
                <w:szCs w:val="20"/>
                <w:rtl w:val="0"/>
              </w:rPr>
              <w:t xml:space="preserve">2024</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9">
            <w:pPr>
              <w:ind w:left="120" w:firstLine="0"/>
              <w:rPr>
                <w:b w:val="1"/>
                <w:sz w:val="20"/>
                <w:szCs w:val="20"/>
              </w:rPr>
            </w:pPr>
            <w:r w:rsidDel="00000000" w:rsidR="00000000" w:rsidRPr="00000000">
              <w:rPr>
                <w:b w:val="1"/>
                <w:sz w:val="20"/>
                <w:szCs w:val="20"/>
                <w:rtl w:val="0"/>
              </w:rPr>
              <w:t xml:space="preserve">2023</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A">
            <w:pPr>
              <w:ind w:left="120" w:firstLine="0"/>
              <w:rPr>
                <w:b w:val="1"/>
                <w:sz w:val="20"/>
                <w:szCs w:val="20"/>
              </w:rPr>
            </w:pPr>
            <w:r w:rsidDel="00000000" w:rsidR="00000000" w:rsidRPr="00000000">
              <w:rPr>
                <w:b w:val="1"/>
                <w:sz w:val="20"/>
                <w:szCs w:val="20"/>
                <w:rtl w:val="0"/>
              </w:rPr>
              <w:t xml:space="preserve">2022</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B">
            <w:pPr>
              <w:ind w:left="120" w:firstLine="0"/>
              <w:rPr>
                <w:sz w:val="20"/>
                <w:szCs w:val="20"/>
              </w:rPr>
            </w:pPr>
            <w:r w:rsidDel="00000000" w:rsidR="00000000" w:rsidRPr="00000000">
              <w:rPr>
                <w:sz w:val="20"/>
                <w:szCs w:val="20"/>
                <w:rtl w:val="0"/>
              </w:rPr>
              <w:t xml:space="preserve">Gross Margin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C">
            <w:pPr>
              <w:ind w:left="120" w:firstLine="0"/>
              <w:rPr>
                <w:sz w:val="20"/>
                <w:szCs w:val="20"/>
              </w:rPr>
            </w:pPr>
            <w:r w:rsidDel="00000000" w:rsidR="00000000" w:rsidRPr="00000000">
              <w:rPr>
                <w:sz w:val="20"/>
                <w:szCs w:val="20"/>
                <w:rtl w:val="0"/>
              </w:rPr>
              <w:t xml:space="preserve">72.71%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D">
            <w:pPr>
              <w:ind w:left="120" w:firstLine="0"/>
              <w:rPr>
                <w:sz w:val="20"/>
                <w:szCs w:val="20"/>
              </w:rPr>
            </w:pPr>
            <w:r w:rsidDel="00000000" w:rsidR="00000000" w:rsidRPr="00000000">
              <w:rPr>
                <w:sz w:val="20"/>
                <w:szCs w:val="20"/>
                <w:rtl w:val="0"/>
              </w:rPr>
              <w:t xml:space="preserve">56.92%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E">
            <w:pPr>
              <w:ind w:left="120" w:firstLine="0"/>
              <w:rPr>
                <w:sz w:val="20"/>
                <w:szCs w:val="20"/>
              </w:rPr>
            </w:pPr>
            <w:r w:rsidDel="00000000" w:rsidR="00000000" w:rsidRPr="00000000">
              <w:rPr>
                <w:sz w:val="20"/>
                <w:szCs w:val="20"/>
                <w:rtl w:val="0"/>
              </w:rPr>
              <w:t xml:space="preserve">64.9%</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DF">
            <w:pPr>
              <w:ind w:left="120" w:firstLine="0"/>
              <w:rPr>
                <w:sz w:val="20"/>
                <w:szCs w:val="20"/>
              </w:rPr>
            </w:pPr>
            <w:r w:rsidDel="00000000" w:rsidR="00000000" w:rsidRPr="00000000">
              <w:rPr>
                <w:sz w:val="20"/>
                <w:szCs w:val="20"/>
                <w:rtl w:val="0"/>
              </w:rPr>
              <w:t xml:space="preserve">Operating Margin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0">
            <w:pPr>
              <w:ind w:left="120" w:firstLine="0"/>
              <w:rPr>
                <w:sz w:val="20"/>
                <w:szCs w:val="20"/>
              </w:rPr>
            </w:pPr>
            <w:r w:rsidDel="00000000" w:rsidR="00000000" w:rsidRPr="00000000">
              <w:rPr>
                <w:sz w:val="20"/>
                <w:szCs w:val="20"/>
                <w:rtl w:val="0"/>
              </w:rPr>
              <w:t xml:space="preserve">54.12%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1">
            <w:pPr>
              <w:ind w:left="120" w:firstLine="0"/>
              <w:rPr>
                <w:sz w:val="20"/>
                <w:szCs w:val="20"/>
              </w:rPr>
            </w:pPr>
            <w:r w:rsidDel="00000000" w:rsidR="00000000" w:rsidRPr="00000000">
              <w:rPr>
                <w:sz w:val="20"/>
                <w:szCs w:val="20"/>
                <w:rtl w:val="0"/>
              </w:rPr>
              <w:t xml:space="preserve">15.66%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2">
            <w:pPr>
              <w:ind w:left="120" w:firstLine="0"/>
              <w:rPr>
                <w:sz w:val="20"/>
                <w:szCs w:val="20"/>
              </w:rPr>
            </w:pPr>
            <w:r w:rsidDel="00000000" w:rsidR="00000000" w:rsidRPr="00000000">
              <w:rPr>
                <w:sz w:val="20"/>
                <w:szCs w:val="20"/>
                <w:rtl w:val="0"/>
              </w:rPr>
              <w:t xml:space="preserve">37.31%</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3">
            <w:pPr>
              <w:ind w:left="120" w:firstLine="0"/>
              <w:rPr>
                <w:sz w:val="20"/>
                <w:szCs w:val="20"/>
              </w:rPr>
            </w:pPr>
            <w:r w:rsidDel="00000000" w:rsidR="00000000" w:rsidRPr="00000000">
              <w:rPr>
                <w:sz w:val="20"/>
                <w:szCs w:val="20"/>
                <w:rtl w:val="0"/>
              </w:rPr>
              <w:t xml:space="preserve">Net Profit Margin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4">
            <w:pPr>
              <w:ind w:left="120" w:firstLine="0"/>
              <w:rPr>
                <w:sz w:val="20"/>
                <w:szCs w:val="20"/>
              </w:rPr>
            </w:pPr>
            <w:r w:rsidDel="00000000" w:rsidR="00000000" w:rsidRPr="00000000">
              <w:rPr>
                <w:sz w:val="20"/>
                <w:szCs w:val="20"/>
                <w:rtl w:val="0"/>
              </w:rPr>
              <w:t xml:space="preserve">48.85%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5">
            <w:pPr>
              <w:ind w:left="120" w:firstLine="0"/>
              <w:rPr>
                <w:sz w:val="20"/>
                <w:szCs w:val="20"/>
              </w:rPr>
            </w:pPr>
            <w:r w:rsidDel="00000000" w:rsidR="00000000" w:rsidRPr="00000000">
              <w:rPr>
                <w:sz w:val="20"/>
                <w:szCs w:val="20"/>
                <w:rtl w:val="0"/>
              </w:rPr>
              <w:t xml:space="preserve">16.20%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6">
            <w:pPr>
              <w:ind w:left="120" w:firstLine="0"/>
              <w:rPr>
                <w:sz w:val="20"/>
                <w:szCs w:val="20"/>
              </w:rPr>
            </w:pPr>
            <w:r w:rsidDel="00000000" w:rsidR="00000000" w:rsidRPr="00000000">
              <w:rPr>
                <w:sz w:val="20"/>
                <w:szCs w:val="20"/>
                <w:rtl w:val="0"/>
              </w:rPr>
              <w:t xml:space="preserve">36.23%</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7">
            <w:pPr>
              <w:ind w:left="120" w:firstLine="0"/>
              <w:rPr>
                <w:sz w:val="20"/>
                <w:szCs w:val="20"/>
              </w:rPr>
            </w:pPr>
            <w:r w:rsidDel="00000000" w:rsidR="00000000" w:rsidRPr="00000000">
              <w:rPr>
                <w:sz w:val="20"/>
                <w:szCs w:val="20"/>
                <w:rtl w:val="0"/>
              </w:rPr>
              <w:t xml:space="preserve">Current Ratio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8">
            <w:pPr>
              <w:ind w:left="120" w:firstLine="0"/>
              <w:rPr>
                <w:sz w:val="20"/>
                <w:szCs w:val="20"/>
              </w:rPr>
            </w:pPr>
            <w:r w:rsidDel="00000000" w:rsidR="00000000" w:rsidRPr="00000000">
              <w:rPr>
                <w:sz w:val="20"/>
                <w:szCs w:val="20"/>
                <w:rtl w:val="0"/>
              </w:rPr>
              <w:t xml:space="preserve">417.13%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9">
            <w:pPr>
              <w:ind w:left="120" w:firstLine="0"/>
              <w:rPr>
                <w:sz w:val="20"/>
                <w:szCs w:val="20"/>
              </w:rPr>
            </w:pPr>
            <w:r w:rsidDel="00000000" w:rsidR="00000000" w:rsidRPr="00000000">
              <w:rPr>
                <w:sz w:val="20"/>
                <w:szCs w:val="20"/>
                <w:rtl w:val="0"/>
              </w:rPr>
              <w:t xml:space="preserve">351.56%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A">
            <w:pPr>
              <w:ind w:left="120" w:firstLine="0"/>
              <w:rPr>
                <w:sz w:val="20"/>
                <w:szCs w:val="20"/>
              </w:rPr>
            </w:pPr>
            <w:r w:rsidDel="00000000" w:rsidR="00000000" w:rsidRPr="00000000">
              <w:rPr>
                <w:sz w:val="20"/>
                <w:szCs w:val="20"/>
                <w:rtl w:val="0"/>
              </w:rPr>
              <w:t xml:space="preserve">665.03%</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B">
            <w:pPr>
              <w:ind w:left="120" w:firstLine="0"/>
              <w:rPr>
                <w:sz w:val="20"/>
                <w:szCs w:val="20"/>
              </w:rPr>
            </w:pPr>
            <w:r w:rsidDel="00000000" w:rsidR="00000000" w:rsidRPr="00000000">
              <w:rPr>
                <w:sz w:val="20"/>
                <w:szCs w:val="20"/>
                <w:rtl w:val="0"/>
              </w:rPr>
              <w:t xml:space="preserve">Quick Ratio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C">
            <w:pPr>
              <w:ind w:left="120" w:firstLine="0"/>
              <w:rPr>
                <w:sz w:val="20"/>
                <w:szCs w:val="20"/>
              </w:rPr>
            </w:pPr>
            <w:r w:rsidDel="00000000" w:rsidR="00000000" w:rsidRPr="00000000">
              <w:rPr>
                <w:sz w:val="20"/>
                <w:szCs w:val="20"/>
                <w:rtl w:val="0"/>
              </w:rPr>
              <w:t xml:space="preserve">338.47%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D">
            <w:pPr>
              <w:ind w:left="120" w:firstLine="0"/>
              <w:rPr>
                <w:sz w:val="20"/>
                <w:szCs w:val="20"/>
              </w:rPr>
            </w:pPr>
            <w:r w:rsidDel="00000000" w:rsidR="00000000" w:rsidRPr="00000000">
              <w:rPr>
                <w:sz w:val="20"/>
                <w:szCs w:val="20"/>
                <w:rtl w:val="0"/>
              </w:rPr>
              <w:t xml:space="preserve">260.90%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E">
            <w:pPr>
              <w:ind w:left="120" w:firstLine="0"/>
              <w:rPr>
                <w:sz w:val="20"/>
                <w:szCs w:val="20"/>
              </w:rPr>
            </w:pPr>
            <w:r w:rsidDel="00000000" w:rsidR="00000000" w:rsidRPr="00000000">
              <w:rPr>
                <w:sz w:val="20"/>
                <w:szCs w:val="20"/>
                <w:rtl w:val="0"/>
              </w:rPr>
              <w:t xml:space="preserve">596.49%</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EF">
            <w:pPr>
              <w:ind w:left="120" w:firstLine="0"/>
              <w:rPr>
                <w:sz w:val="20"/>
                <w:szCs w:val="20"/>
              </w:rPr>
            </w:pPr>
            <w:r w:rsidDel="00000000" w:rsidR="00000000" w:rsidRPr="00000000">
              <w:rPr>
                <w:sz w:val="20"/>
                <w:szCs w:val="20"/>
                <w:rtl w:val="0"/>
              </w:rPr>
              <w:t xml:space="preserve">Debt-to-Equity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0">
            <w:pPr>
              <w:ind w:left="120" w:firstLine="0"/>
              <w:rPr>
                <w:sz w:val="20"/>
                <w:szCs w:val="20"/>
              </w:rPr>
            </w:pPr>
            <w:r w:rsidDel="00000000" w:rsidR="00000000" w:rsidRPr="00000000">
              <w:rPr>
                <w:sz w:val="20"/>
                <w:szCs w:val="20"/>
                <w:rtl w:val="0"/>
              </w:rPr>
              <w:t xml:space="preserve">52.93%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1">
            <w:pPr>
              <w:ind w:left="120" w:firstLine="0"/>
              <w:rPr>
                <w:sz w:val="20"/>
                <w:szCs w:val="20"/>
              </w:rPr>
            </w:pPr>
            <w:r w:rsidDel="00000000" w:rsidR="00000000" w:rsidRPr="00000000">
              <w:rPr>
                <w:sz w:val="20"/>
                <w:szCs w:val="20"/>
                <w:rtl w:val="0"/>
              </w:rPr>
              <w:t xml:space="preserve">86.34%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2">
            <w:pPr>
              <w:ind w:left="120" w:firstLine="0"/>
              <w:rPr>
                <w:sz w:val="20"/>
                <w:szCs w:val="20"/>
              </w:rPr>
            </w:pPr>
            <w:r w:rsidDel="00000000" w:rsidR="00000000" w:rsidRPr="00000000">
              <w:rPr>
                <w:sz w:val="20"/>
                <w:szCs w:val="20"/>
                <w:rtl w:val="0"/>
              </w:rPr>
              <w:t xml:space="preserve">66.04%</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3">
            <w:pPr>
              <w:ind w:left="120" w:firstLine="0"/>
              <w:rPr>
                <w:sz w:val="20"/>
                <w:szCs w:val="20"/>
              </w:rPr>
            </w:pPr>
            <w:r w:rsidDel="00000000" w:rsidR="00000000" w:rsidRPr="00000000">
              <w:rPr>
                <w:sz w:val="20"/>
                <w:szCs w:val="20"/>
                <w:rtl w:val="0"/>
              </w:rPr>
              <w:t xml:space="preserve">Interest Coverage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4">
            <w:pPr>
              <w:ind w:left="120" w:firstLine="0"/>
              <w:rPr>
                <w:sz w:val="20"/>
                <w:szCs w:val="20"/>
              </w:rPr>
            </w:pPr>
            <w:r w:rsidDel="00000000" w:rsidR="00000000" w:rsidRPr="00000000">
              <w:rPr>
                <w:sz w:val="20"/>
                <w:szCs w:val="20"/>
                <w:rtl w:val="0"/>
              </w:rPr>
              <w:t xml:space="preserve">12,829.57%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5">
            <w:pPr>
              <w:ind w:left="120" w:firstLine="0"/>
              <w:rPr>
                <w:sz w:val="20"/>
                <w:szCs w:val="20"/>
              </w:rPr>
            </w:pPr>
            <w:r w:rsidDel="00000000" w:rsidR="00000000" w:rsidRPr="00000000">
              <w:rPr>
                <w:sz w:val="20"/>
                <w:szCs w:val="20"/>
                <w:rtl w:val="0"/>
              </w:rPr>
              <w:t xml:space="preserve">1,612.21%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6">
            <w:pPr>
              <w:ind w:left="120" w:firstLine="0"/>
              <w:rPr>
                <w:sz w:val="20"/>
                <w:szCs w:val="20"/>
              </w:rPr>
            </w:pPr>
            <w:r w:rsidDel="00000000" w:rsidR="00000000" w:rsidRPr="00000000">
              <w:rPr>
                <w:sz w:val="20"/>
                <w:szCs w:val="20"/>
                <w:rtl w:val="0"/>
              </w:rPr>
              <w:t xml:space="preserve">4,254.66%</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7">
            <w:pPr>
              <w:ind w:left="120" w:firstLine="0"/>
              <w:rPr>
                <w:sz w:val="20"/>
                <w:szCs w:val="20"/>
              </w:rPr>
            </w:pPr>
            <w:r w:rsidDel="00000000" w:rsidR="00000000" w:rsidRPr="00000000">
              <w:rPr>
                <w:sz w:val="20"/>
                <w:szCs w:val="20"/>
                <w:rtl w:val="0"/>
              </w:rPr>
              <w:t xml:space="preserve">Asset Turnover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8">
            <w:pPr>
              <w:ind w:left="120" w:firstLine="0"/>
              <w:rPr>
                <w:sz w:val="20"/>
                <w:szCs w:val="20"/>
              </w:rPr>
            </w:pPr>
            <w:r w:rsidDel="00000000" w:rsidR="00000000" w:rsidRPr="00000000">
              <w:rPr>
                <w:sz w:val="20"/>
                <w:szCs w:val="20"/>
                <w:rtl w:val="0"/>
              </w:rPr>
              <w:t xml:space="preserve">113.97%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9">
            <w:pPr>
              <w:ind w:left="120" w:firstLine="0"/>
              <w:rPr>
                <w:sz w:val="20"/>
                <w:szCs w:val="20"/>
              </w:rPr>
            </w:pPr>
            <w:r w:rsidDel="00000000" w:rsidR="00000000" w:rsidRPr="00000000">
              <w:rPr>
                <w:sz w:val="20"/>
                <w:szCs w:val="20"/>
                <w:rtl w:val="0"/>
              </w:rPr>
              <w:t xml:space="preserve">63.19%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A">
            <w:pPr>
              <w:ind w:left="120" w:firstLine="0"/>
              <w:rPr>
                <w:sz w:val="20"/>
                <w:szCs w:val="20"/>
              </w:rPr>
            </w:pPr>
            <w:r w:rsidDel="00000000" w:rsidR="00000000" w:rsidRPr="00000000">
              <w:rPr>
                <w:sz w:val="20"/>
                <w:szCs w:val="20"/>
                <w:rtl w:val="0"/>
              </w:rPr>
              <w:t xml:space="preserve">N/A</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B">
            <w:pPr>
              <w:ind w:left="120" w:firstLine="0"/>
              <w:rPr>
                <w:sz w:val="20"/>
                <w:szCs w:val="20"/>
              </w:rPr>
            </w:pPr>
            <w:r w:rsidDel="00000000" w:rsidR="00000000" w:rsidRPr="00000000">
              <w:rPr>
                <w:sz w:val="20"/>
                <w:szCs w:val="20"/>
                <w:rtl w:val="0"/>
              </w:rPr>
              <w:t xml:space="preserve">Return on Equity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C">
            <w:pPr>
              <w:ind w:left="120" w:firstLine="0"/>
              <w:rPr>
                <w:sz w:val="20"/>
                <w:szCs w:val="20"/>
              </w:rPr>
            </w:pPr>
            <w:r w:rsidDel="00000000" w:rsidR="00000000" w:rsidRPr="00000000">
              <w:rPr>
                <w:sz w:val="20"/>
                <w:szCs w:val="20"/>
                <w:rtl w:val="0"/>
              </w:rPr>
              <w:t xml:space="preserve">91.46%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D">
            <w:pPr>
              <w:ind w:left="120" w:firstLine="0"/>
              <w:rPr>
                <w:sz w:val="20"/>
                <w:szCs w:val="20"/>
              </w:rPr>
            </w:pPr>
            <w:r w:rsidDel="00000000" w:rsidR="00000000" w:rsidRPr="00000000">
              <w:rPr>
                <w:sz w:val="20"/>
                <w:szCs w:val="20"/>
                <w:rtl w:val="0"/>
              </w:rPr>
              <w:t xml:space="preserve">17.93%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E">
            <w:pPr>
              <w:ind w:left="120" w:firstLine="0"/>
              <w:rPr>
                <w:sz w:val="20"/>
                <w:szCs w:val="20"/>
              </w:rPr>
            </w:pPr>
            <w:r w:rsidDel="00000000" w:rsidR="00000000" w:rsidRPr="00000000">
              <w:rPr>
                <w:sz w:val="20"/>
                <w:szCs w:val="20"/>
                <w:rtl w:val="0"/>
              </w:rPr>
              <w:t xml:space="preserve">N/A</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FF">
            <w:pPr>
              <w:ind w:left="120" w:firstLine="0"/>
              <w:rPr>
                <w:sz w:val="20"/>
                <w:szCs w:val="20"/>
              </w:rPr>
            </w:pPr>
            <w:r w:rsidDel="00000000" w:rsidR="00000000" w:rsidRPr="00000000">
              <w:rPr>
                <w:sz w:val="20"/>
                <w:szCs w:val="20"/>
                <w:rtl w:val="0"/>
              </w:rPr>
              <w:t xml:space="preserve">Return on Assets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0">
            <w:pPr>
              <w:ind w:left="120" w:firstLine="0"/>
              <w:rPr>
                <w:sz w:val="20"/>
                <w:szCs w:val="20"/>
              </w:rPr>
            </w:pPr>
            <w:r w:rsidDel="00000000" w:rsidR="00000000" w:rsidRPr="00000000">
              <w:rPr>
                <w:sz w:val="20"/>
                <w:szCs w:val="20"/>
                <w:rtl w:val="0"/>
              </w:rPr>
              <w:t xml:space="preserve">55.67%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1">
            <w:pPr>
              <w:ind w:left="120" w:firstLine="0"/>
              <w:rPr>
                <w:sz w:val="20"/>
                <w:szCs w:val="20"/>
              </w:rPr>
            </w:pPr>
            <w:r w:rsidDel="00000000" w:rsidR="00000000" w:rsidRPr="00000000">
              <w:rPr>
                <w:sz w:val="20"/>
                <w:szCs w:val="20"/>
                <w:rtl w:val="0"/>
              </w:rPr>
              <w:t xml:space="preserve">10.23%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2">
            <w:pPr>
              <w:ind w:left="120" w:firstLine="0"/>
              <w:rPr>
                <w:sz w:val="20"/>
                <w:szCs w:val="20"/>
              </w:rPr>
            </w:pPr>
            <w:r w:rsidDel="00000000" w:rsidR="00000000" w:rsidRPr="00000000">
              <w:rPr>
                <w:sz w:val="20"/>
                <w:szCs w:val="20"/>
                <w:rtl w:val="0"/>
              </w:rPr>
              <w:t xml:space="preserve">N/A</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3">
            <w:pPr>
              <w:ind w:left="120" w:firstLine="0"/>
              <w:rPr>
                <w:sz w:val="20"/>
                <w:szCs w:val="20"/>
              </w:rPr>
            </w:pPr>
            <w:r w:rsidDel="00000000" w:rsidR="00000000" w:rsidRPr="00000000">
              <w:rPr>
                <w:sz w:val="20"/>
                <w:szCs w:val="20"/>
                <w:rtl w:val="0"/>
              </w:rPr>
              <w:t xml:space="preserve">Effective Tax Rate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4">
            <w:pPr>
              <w:ind w:left="120" w:firstLine="0"/>
              <w:rPr>
                <w:sz w:val="20"/>
                <w:szCs w:val="20"/>
              </w:rPr>
            </w:pPr>
            <w:r w:rsidDel="00000000" w:rsidR="00000000" w:rsidRPr="00000000">
              <w:rPr>
                <w:sz w:val="20"/>
                <w:szCs w:val="20"/>
                <w:rtl w:val="0"/>
              </w:rPr>
              <w:t xml:space="preserve">12.00%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5">
            <w:pPr>
              <w:ind w:left="120" w:firstLine="0"/>
              <w:rPr>
                <w:sz w:val="20"/>
                <w:szCs w:val="20"/>
              </w:rPr>
            </w:pPr>
            <w:r w:rsidDel="00000000" w:rsidR="00000000" w:rsidRPr="00000000">
              <w:rPr>
                <w:sz w:val="20"/>
                <w:szCs w:val="20"/>
                <w:rtl w:val="0"/>
              </w:rPr>
              <w:t xml:space="preserve">-4.47%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6">
            <w:pPr>
              <w:ind w:left="120" w:firstLine="0"/>
              <w:rPr>
                <w:sz w:val="20"/>
                <w:szCs w:val="20"/>
              </w:rPr>
            </w:pPr>
            <w:r w:rsidDel="00000000" w:rsidR="00000000" w:rsidRPr="00000000">
              <w:rPr>
                <w:sz w:val="20"/>
                <w:szCs w:val="20"/>
                <w:rtl w:val="0"/>
              </w:rPr>
              <w:t xml:space="preserve">1.90%</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7">
            <w:pPr>
              <w:ind w:left="120" w:firstLine="0"/>
              <w:rPr>
                <w:sz w:val="20"/>
                <w:szCs w:val="20"/>
              </w:rPr>
            </w:pPr>
            <w:r w:rsidDel="00000000" w:rsidR="00000000" w:rsidRPr="00000000">
              <w:rPr>
                <w:sz w:val="20"/>
                <w:szCs w:val="20"/>
                <w:rtl w:val="0"/>
              </w:rPr>
              <w:t xml:space="preserve">Dividend Payout Ratio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8">
            <w:pPr>
              <w:ind w:left="120" w:firstLine="0"/>
              <w:rPr>
                <w:sz w:val="20"/>
                <w:szCs w:val="20"/>
              </w:rPr>
            </w:pPr>
            <w:r w:rsidDel="00000000" w:rsidR="00000000" w:rsidRPr="00000000">
              <w:rPr>
                <w:sz w:val="20"/>
                <w:szCs w:val="20"/>
                <w:rtl w:val="0"/>
              </w:rPr>
              <w:t xml:space="preserve">1.33%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9">
            <w:pPr>
              <w:ind w:left="120" w:firstLine="0"/>
              <w:rPr>
                <w:sz w:val="20"/>
                <w:szCs w:val="20"/>
              </w:rPr>
            </w:pPr>
            <w:r w:rsidDel="00000000" w:rsidR="00000000" w:rsidRPr="00000000">
              <w:rPr>
                <w:sz w:val="20"/>
                <w:szCs w:val="20"/>
                <w:rtl w:val="0"/>
              </w:rPr>
              <w:t xml:space="preserve">9.11%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0A">
            <w:pPr>
              <w:ind w:left="120" w:firstLine="0"/>
              <w:rPr>
                <w:sz w:val="20"/>
                <w:szCs w:val="20"/>
              </w:rPr>
            </w:pPr>
            <w:r w:rsidDel="00000000" w:rsidR="00000000" w:rsidRPr="00000000">
              <w:rPr>
                <w:sz w:val="20"/>
                <w:szCs w:val="20"/>
                <w:rtl w:val="0"/>
              </w:rPr>
              <w:t xml:space="preserve">4.09%</w:t>
            </w:r>
          </w:p>
        </w:tc>
      </w:tr>
    </w:tbl>
    <w:p w:rsidR="00000000" w:rsidDel="00000000" w:rsidP="00000000" w:rsidRDefault="00000000" w:rsidRPr="00000000" w14:paraId="0000010B">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0C">
      <w:pPr>
        <w:spacing w:after="180" w:before="180" w:lineRule="auto"/>
        <w:rPr>
          <w:sz w:val="20"/>
          <w:szCs w:val="20"/>
        </w:rPr>
      </w:pPr>
      <w:r w:rsidDel="00000000" w:rsidR="00000000" w:rsidRPr="00000000">
        <w:rPr>
          <w:b w:val="1"/>
          <w:sz w:val="31"/>
          <w:szCs w:val="31"/>
          <w:rtl w:val="0"/>
        </w:rPr>
        <w:t xml:space="preserve">S2.5: Operating Performance</w:t>
      </w:r>
      <w:r w:rsidDel="00000000" w:rsidR="00000000" w:rsidRPr="00000000">
        <w:rPr>
          <w:rtl w:val="0"/>
        </w:rPr>
      </w:r>
    </w:p>
    <w:tbl>
      <w:tblPr>
        <w:tblStyle w:val="Table8"/>
        <w:tblW w:w="71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8"/>
        <w:gridCol w:w="1843"/>
        <w:gridCol w:w="1879"/>
        <w:gridCol w:w="1879"/>
        <w:tblGridChange w:id="0">
          <w:tblGrid>
            <w:gridCol w:w="1508"/>
            <w:gridCol w:w="1843"/>
            <w:gridCol w:w="1879"/>
            <w:gridCol w:w="1879"/>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D">
            <w:pPr>
              <w:spacing w:line="300" w:lineRule="auto"/>
              <w:ind w:left="100" w:firstLine="0"/>
              <w:rPr>
                <w:b w:val="1"/>
                <w:sz w:val="20"/>
                <w:szCs w:val="20"/>
              </w:rPr>
            </w:pPr>
            <w:r w:rsidDel="00000000" w:rsidR="00000000" w:rsidRPr="00000000">
              <w:rPr>
                <w:b w:val="1"/>
                <w:sz w:val="20"/>
                <w:szCs w:val="20"/>
                <w:rtl w:val="0"/>
              </w:rPr>
              <w:t xml:space="preserve">Field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E">
            <w:pPr>
              <w:spacing w:line="300" w:lineRule="auto"/>
              <w:ind w:left="100" w:firstLine="0"/>
              <w:rPr>
                <w:b w:val="1"/>
                <w:sz w:val="20"/>
                <w:szCs w:val="20"/>
              </w:rPr>
            </w:pPr>
            <w:r w:rsidDel="00000000" w:rsidR="00000000" w:rsidRPr="00000000">
              <w:rPr>
                <w:b w:val="1"/>
                <w:sz w:val="20"/>
                <w:szCs w:val="20"/>
                <w:rtl w:val="0"/>
              </w:rPr>
              <w:t xml:space="preserve">2024</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F">
            <w:pPr>
              <w:spacing w:line="300" w:lineRule="auto"/>
              <w:ind w:left="100" w:firstLine="0"/>
              <w:rPr>
                <w:b w:val="1"/>
                <w:sz w:val="20"/>
                <w:szCs w:val="20"/>
              </w:rPr>
            </w:pPr>
            <w:r w:rsidDel="00000000" w:rsidR="00000000" w:rsidRPr="00000000">
              <w:rPr>
                <w:b w:val="1"/>
                <w:sz w:val="20"/>
                <w:szCs w:val="20"/>
                <w:rtl w:val="0"/>
              </w:rPr>
              <w:t xml:space="preserve">2023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0">
            <w:pPr>
              <w:spacing w:line="300" w:lineRule="auto"/>
              <w:ind w:left="100" w:firstLine="0"/>
              <w:rPr>
                <w:b w:val="1"/>
                <w:sz w:val="20"/>
                <w:szCs w:val="20"/>
              </w:rPr>
            </w:pPr>
            <w:r w:rsidDel="00000000" w:rsidR="00000000" w:rsidRPr="00000000">
              <w:rPr>
                <w:b w:val="1"/>
                <w:sz w:val="20"/>
                <w:szCs w:val="20"/>
                <w:rtl w:val="0"/>
              </w:rPr>
              <w:t xml:space="preserve">2022</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1">
            <w:pPr>
              <w:spacing w:line="300" w:lineRule="auto"/>
              <w:ind w:left="100" w:firstLine="0"/>
              <w:rPr>
                <w:sz w:val="20"/>
                <w:szCs w:val="20"/>
              </w:rPr>
            </w:pPr>
            <w:r w:rsidDel="00000000" w:rsidR="00000000" w:rsidRPr="00000000">
              <w:rPr>
                <w:sz w:val="20"/>
                <w:szCs w:val="20"/>
                <w:rtl w:val="0"/>
              </w:rPr>
              <w:t xml:space="preserve">Revenue by Product/Service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2">
            <w:pPr>
              <w:spacing w:line="300" w:lineRule="auto"/>
              <w:ind w:left="100" w:firstLine="0"/>
              <w:rPr>
                <w:sz w:val="20"/>
                <w:szCs w:val="20"/>
              </w:rPr>
            </w:pPr>
            <w:r w:rsidDel="00000000" w:rsidR="00000000" w:rsidRPr="00000000">
              <w:rPr>
                <w:sz w:val="20"/>
                <w:szCs w:val="20"/>
                <w:rtl w:val="0"/>
              </w:rPr>
              <w:t xml:space="preserve">Compute &amp; Networking: $47,405M</w:t>
              <w:br w:type="textWrapping"/>
              <w:t xml:space="preserve">Graphics: $13,517M</w:t>
              <w:br w:type="textWrapping"/>
              <w:t xml:space="preserve">Total: $60,922M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3">
            <w:pPr>
              <w:spacing w:line="300" w:lineRule="auto"/>
              <w:ind w:left="100" w:firstLine="0"/>
              <w:rPr>
                <w:sz w:val="20"/>
                <w:szCs w:val="20"/>
              </w:rPr>
            </w:pPr>
            <w:r w:rsidDel="00000000" w:rsidR="00000000" w:rsidRPr="00000000">
              <w:rPr>
                <w:sz w:val="20"/>
                <w:szCs w:val="20"/>
                <w:rtl w:val="0"/>
              </w:rPr>
              <w:t xml:space="preserve">Compute &amp; Networking: $15,068M</w:t>
              <w:br w:type="textWrapping"/>
              <w:t xml:space="preserve">Graphics: $11,906M</w:t>
              <w:br w:type="textWrapping"/>
              <w:t xml:space="preserve">Total: $26,974M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4">
            <w:pPr>
              <w:spacing w:line="300" w:lineRule="auto"/>
              <w:ind w:left="100" w:firstLine="0"/>
              <w:rPr>
                <w:sz w:val="20"/>
                <w:szCs w:val="20"/>
              </w:rPr>
            </w:pPr>
            <w:r w:rsidDel="00000000" w:rsidR="00000000" w:rsidRPr="00000000">
              <w:rPr>
                <w:sz w:val="20"/>
                <w:szCs w:val="20"/>
                <w:rtl w:val="0"/>
              </w:rPr>
              <w:t xml:space="preserve">Compute &amp; Networking: $11,046M</w:t>
            </w:r>
          </w:p>
          <w:p w:rsidR="00000000" w:rsidDel="00000000" w:rsidP="00000000" w:rsidRDefault="00000000" w:rsidRPr="00000000" w14:paraId="00000115">
            <w:pPr>
              <w:spacing w:line="300" w:lineRule="auto"/>
              <w:ind w:left="100" w:firstLine="0"/>
              <w:rPr>
                <w:sz w:val="20"/>
                <w:szCs w:val="20"/>
              </w:rPr>
            </w:pPr>
            <w:r w:rsidDel="00000000" w:rsidR="00000000" w:rsidRPr="00000000">
              <w:rPr>
                <w:sz w:val="20"/>
                <w:szCs w:val="20"/>
                <w:rtl w:val="0"/>
              </w:rPr>
              <w:t xml:space="preserve">Graphics: $15,868M</w:t>
            </w:r>
          </w:p>
          <w:p w:rsidR="00000000" w:rsidDel="00000000" w:rsidP="00000000" w:rsidRDefault="00000000" w:rsidRPr="00000000" w14:paraId="00000116">
            <w:pPr>
              <w:spacing w:line="300" w:lineRule="auto"/>
              <w:ind w:left="100" w:firstLine="0"/>
              <w:rPr>
                <w:b w:val="1"/>
                <w:sz w:val="20"/>
                <w:szCs w:val="20"/>
              </w:rPr>
            </w:pPr>
            <w:r w:rsidDel="00000000" w:rsidR="00000000" w:rsidRPr="00000000">
              <w:rPr>
                <w:sz w:val="20"/>
                <w:szCs w:val="20"/>
                <w:rtl w:val="0"/>
              </w:rPr>
              <w:t xml:space="preserve">Total: $26,914M</w:t>
            </w:r>
            <w:r w:rsidDel="00000000" w:rsidR="00000000" w:rsidRPr="00000000">
              <w:rPr>
                <w:rtl w:val="0"/>
              </w:rPr>
            </w:r>
          </w:p>
          <w:p w:rsidR="00000000" w:rsidDel="00000000" w:rsidP="00000000" w:rsidRDefault="00000000" w:rsidRPr="00000000" w14:paraId="00000117">
            <w:pPr>
              <w:spacing w:line="300" w:lineRule="auto"/>
              <w:ind w:left="100" w:firstLine="0"/>
              <w:rPr>
                <w:sz w:val="20"/>
                <w:szCs w:val="20"/>
              </w:rPr>
            </w:pPr>
            <w:r w:rsidDel="00000000" w:rsidR="00000000" w:rsidRPr="00000000">
              <w:rPr>
                <w:rtl w:val="0"/>
              </w:rPr>
            </w:r>
          </w:p>
        </w:tc>
      </w:tr>
      <w:tr>
        <w:trPr>
          <w:cantSplit w:val="0"/>
          <w:trHeight w:val="20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8">
            <w:pPr>
              <w:spacing w:line="300" w:lineRule="auto"/>
              <w:ind w:left="100" w:firstLine="0"/>
              <w:rPr>
                <w:sz w:val="20"/>
                <w:szCs w:val="20"/>
              </w:rPr>
            </w:pPr>
            <w:r w:rsidDel="00000000" w:rsidR="00000000" w:rsidRPr="00000000">
              <w:rPr>
                <w:sz w:val="20"/>
                <w:szCs w:val="20"/>
                <w:rtl w:val="0"/>
              </w:rPr>
              <w:t xml:space="preserve">Revenue by Geographic Region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9">
            <w:pPr>
              <w:spacing w:line="300" w:lineRule="auto"/>
              <w:ind w:left="100" w:firstLine="0"/>
              <w:rPr>
                <w:sz w:val="20"/>
                <w:szCs w:val="20"/>
              </w:rPr>
            </w:pPr>
            <w:r w:rsidDel="00000000" w:rsidR="00000000" w:rsidRPr="00000000">
              <w:rPr>
                <w:sz w:val="20"/>
                <w:szCs w:val="20"/>
                <w:rtl w:val="0"/>
              </w:rPr>
              <w:t xml:space="preserve">United States: $26,966M</w:t>
              <w:br w:type="textWrapping"/>
              <w:t xml:space="preserve">Taiwan: $13,405M</w:t>
              <w:br w:type="textWrapping"/>
              <w:t xml:space="preserve">China (incl. HK): $10,306M</w:t>
              <w:br w:type="textWrapping"/>
              <w:t xml:space="preserve">Other: $10,245M</w:t>
              <w:br w:type="textWrapping"/>
              <w:t xml:space="preserve">Total: $60,922M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A">
            <w:pPr>
              <w:spacing w:line="300" w:lineRule="auto"/>
              <w:ind w:left="100" w:firstLine="0"/>
              <w:rPr>
                <w:sz w:val="20"/>
                <w:szCs w:val="20"/>
              </w:rPr>
            </w:pPr>
            <w:r w:rsidDel="00000000" w:rsidR="00000000" w:rsidRPr="00000000">
              <w:rPr>
                <w:sz w:val="20"/>
                <w:szCs w:val="20"/>
                <w:rtl w:val="0"/>
              </w:rPr>
              <w:t xml:space="preserve">United States: $8,292M</w:t>
              <w:br w:type="textWrapping"/>
              <w:t xml:space="preserve">Taiwan: $6,986M</w:t>
              <w:br w:type="textWrapping"/>
              <w:t xml:space="preserve">China (incl. HK): $5,785M</w:t>
              <w:br w:type="textWrapping"/>
              <w:t xml:space="preserve">Other: $5,911M</w:t>
              <w:br w:type="textWrapping"/>
              <w:t xml:space="preserve">Total: $26,974M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B">
            <w:pPr>
              <w:spacing w:line="300" w:lineRule="auto"/>
              <w:ind w:left="100" w:firstLine="0"/>
              <w:rPr>
                <w:sz w:val="20"/>
                <w:szCs w:val="20"/>
              </w:rPr>
            </w:pPr>
            <w:r w:rsidDel="00000000" w:rsidR="00000000" w:rsidRPr="00000000">
              <w:rPr>
                <w:sz w:val="20"/>
                <w:szCs w:val="20"/>
                <w:rtl w:val="0"/>
              </w:rPr>
              <w:t xml:space="preserve">United States: $4,349M</w:t>
            </w:r>
          </w:p>
          <w:p w:rsidR="00000000" w:rsidDel="00000000" w:rsidP="00000000" w:rsidRDefault="00000000" w:rsidRPr="00000000" w14:paraId="0000011C">
            <w:pPr>
              <w:spacing w:line="300" w:lineRule="auto"/>
              <w:ind w:left="100" w:firstLine="0"/>
              <w:rPr>
                <w:sz w:val="20"/>
                <w:szCs w:val="20"/>
              </w:rPr>
            </w:pPr>
            <w:r w:rsidDel="00000000" w:rsidR="00000000" w:rsidRPr="00000000">
              <w:rPr>
                <w:sz w:val="20"/>
                <w:szCs w:val="20"/>
                <w:rtl w:val="0"/>
              </w:rPr>
              <w:t xml:space="preserve">Taiwan: $8,544M</w:t>
            </w:r>
          </w:p>
          <w:p w:rsidR="00000000" w:rsidDel="00000000" w:rsidP="00000000" w:rsidRDefault="00000000" w:rsidRPr="00000000" w14:paraId="0000011D">
            <w:pPr>
              <w:spacing w:line="300" w:lineRule="auto"/>
              <w:ind w:left="100" w:firstLine="0"/>
              <w:rPr>
                <w:sz w:val="20"/>
                <w:szCs w:val="20"/>
              </w:rPr>
            </w:pPr>
            <w:r w:rsidDel="00000000" w:rsidR="00000000" w:rsidRPr="00000000">
              <w:rPr>
                <w:sz w:val="20"/>
                <w:szCs w:val="20"/>
                <w:rtl w:val="0"/>
              </w:rPr>
              <w:t xml:space="preserve">China (incl. HK): $7,111M</w:t>
            </w:r>
          </w:p>
          <w:p w:rsidR="00000000" w:rsidDel="00000000" w:rsidP="00000000" w:rsidRDefault="00000000" w:rsidRPr="00000000" w14:paraId="0000011E">
            <w:pPr>
              <w:spacing w:line="300" w:lineRule="auto"/>
              <w:ind w:left="100" w:firstLine="0"/>
              <w:rPr>
                <w:sz w:val="20"/>
                <w:szCs w:val="20"/>
              </w:rPr>
            </w:pPr>
            <w:r w:rsidDel="00000000" w:rsidR="00000000" w:rsidRPr="00000000">
              <w:rPr>
                <w:sz w:val="20"/>
                <w:szCs w:val="20"/>
                <w:rtl w:val="0"/>
              </w:rPr>
              <w:t xml:space="preserve">Other countries: $6,910M</w:t>
            </w:r>
          </w:p>
          <w:p w:rsidR="00000000" w:rsidDel="00000000" w:rsidP="00000000" w:rsidRDefault="00000000" w:rsidRPr="00000000" w14:paraId="0000011F">
            <w:pPr>
              <w:spacing w:line="300" w:lineRule="auto"/>
              <w:ind w:left="100" w:firstLine="0"/>
              <w:rPr>
                <w:b w:val="1"/>
                <w:sz w:val="20"/>
                <w:szCs w:val="20"/>
              </w:rPr>
            </w:pPr>
            <w:r w:rsidDel="00000000" w:rsidR="00000000" w:rsidRPr="00000000">
              <w:rPr>
                <w:sz w:val="20"/>
                <w:szCs w:val="20"/>
                <w:rtl w:val="0"/>
              </w:rPr>
              <w:t xml:space="preserve">Total: $26,914M</w:t>
            </w:r>
            <w:r w:rsidDel="00000000" w:rsidR="00000000" w:rsidRPr="00000000">
              <w:rPr>
                <w:rtl w:val="0"/>
              </w:rPr>
            </w:r>
          </w:p>
          <w:p w:rsidR="00000000" w:rsidDel="00000000" w:rsidP="00000000" w:rsidRDefault="00000000" w:rsidRPr="00000000" w14:paraId="00000120">
            <w:pPr>
              <w:spacing w:line="300" w:lineRule="auto"/>
              <w:ind w:left="100" w:firstLine="0"/>
              <w:rPr>
                <w:sz w:val="20"/>
                <w:szCs w:val="20"/>
              </w:rPr>
            </w:pPr>
            <w:r w:rsidDel="00000000" w:rsidR="00000000" w:rsidRPr="00000000">
              <w:rPr>
                <w:rtl w:val="0"/>
              </w:rPr>
            </w:r>
          </w:p>
        </w:tc>
      </w:tr>
    </w:tbl>
    <w:p w:rsidR="00000000" w:rsidDel="00000000" w:rsidP="00000000" w:rsidRDefault="00000000" w:rsidRPr="00000000" w14:paraId="00000121">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22">
      <w:pPr>
        <w:pStyle w:val="Heading1"/>
        <w:rPr>
          <w:sz w:val="20"/>
          <w:szCs w:val="20"/>
        </w:rPr>
      </w:pPr>
      <w:r w:rsidDel="00000000" w:rsidR="00000000" w:rsidRPr="00000000">
        <w:rPr>
          <w:rtl w:val="0"/>
        </w:rPr>
        <w:t xml:space="preserve">Section 3: Business Analysis</w:t>
      </w:r>
      <w:r w:rsidDel="00000000" w:rsidR="00000000" w:rsidRPr="00000000">
        <w:rPr>
          <w:rtl w:val="0"/>
        </w:rPr>
      </w:r>
    </w:p>
    <w:p w:rsidR="00000000" w:rsidDel="00000000" w:rsidP="00000000" w:rsidRDefault="00000000" w:rsidRPr="00000000" w14:paraId="00000123">
      <w:pPr>
        <w:spacing w:after="180" w:before="180" w:lineRule="auto"/>
        <w:rPr>
          <w:b w:val="1"/>
          <w:sz w:val="33"/>
          <w:szCs w:val="33"/>
        </w:rPr>
      </w:pPr>
      <w:r w:rsidDel="00000000" w:rsidR="00000000" w:rsidRPr="00000000">
        <w:rPr>
          <w:b w:val="1"/>
          <w:sz w:val="33"/>
          <w:szCs w:val="33"/>
          <w:rtl w:val="0"/>
        </w:rPr>
        <w:t xml:space="preserve">S3.1: </w:t>
      </w:r>
      <w:r w:rsidDel="00000000" w:rsidR="00000000" w:rsidRPr="00000000">
        <w:rPr>
          <w:b w:val="1"/>
          <w:sz w:val="31"/>
          <w:szCs w:val="31"/>
          <w:rtl w:val="0"/>
        </w:rPr>
        <w:t xml:space="preserve">Profitability</w:t>
      </w:r>
      <w:r w:rsidDel="00000000" w:rsidR="00000000" w:rsidRPr="00000000">
        <w:rPr>
          <w:b w:val="1"/>
          <w:sz w:val="33"/>
          <w:szCs w:val="33"/>
          <w:rtl w:val="0"/>
        </w:rPr>
        <w:t xml:space="preserve"> Analysis</w:t>
      </w:r>
    </w:p>
    <w:tbl>
      <w:tblPr>
        <w:tblStyle w:val="Table9"/>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7.5"/>
        <w:gridCol w:w="4747.5"/>
        <w:tblGridChange w:id="0">
          <w:tblGrid>
            <w:gridCol w:w="4747.5"/>
            <w:gridCol w:w="4747.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4">
            <w:pPr>
              <w:spacing w:line="300" w:lineRule="auto"/>
              <w:ind w:left="100" w:firstLine="0"/>
              <w:rPr>
                <w:b w:val="1"/>
                <w:sz w:val="20"/>
                <w:szCs w:val="20"/>
              </w:rPr>
            </w:pPr>
            <w:r w:rsidDel="00000000" w:rsidR="00000000" w:rsidRPr="00000000">
              <w:rPr>
                <w:b w:val="1"/>
                <w:sz w:val="20"/>
                <w:szCs w:val="20"/>
                <w:rtl w:val="0"/>
              </w:rPr>
              <w:t xml:space="preserve">Field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5">
            <w:pPr>
              <w:spacing w:line="300" w:lineRule="auto"/>
              <w:ind w:left="100" w:firstLine="0"/>
              <w:rPr>
                <w:b w:val="1"/>
                <w:sz w:val="20"/>
                <w:szCs w:val="20"/>
              </w:rPr>
            </w:pPr>
            <w:r w:rsidDel="00000000" w:rsidR="00000000" w:rsidRPr="00000000">
              <w:rPr>
                <w:b w:val="1"/>
                <w:sz w:val="20"/>
                <w:szCs w:val="20"/>
                <w:rtl w:val="0"/>
              </w:rPr>
              <w:t xml:space="preserve">Answer</w:t>
            </w:r>
          </w:p>
        </w:tc>
      </w:tr>
      <w:tr>
        <w:trPr>
          <w:cantSplit w:val="0"/>
          <w:trHeight w:val="4594.76806640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6">
            <w:pPr>
              <w:spacing w:line="300" w:lineRule="auto"/>
              <w:ind w:left="100" w:firstLine="0"/>
              <w:rPr>
                <w:sz w:val="20"/>
                <w:szCs w:val="20"/>
              </w:rPr>
            </w:pPr>
            <w:r w:rsidDel="00000000" w:rsidR="00000000" w:rsidRPr="00000000">
              <w:rPr>
                <w:sz w:val="20"/>
                <w:szCs w:val="20"/>
                <w:rtl w:val="0"/>
              </w:rPr>
              <w:t xml:space="preserve">Revenue &amp; Direct-Cost Dynamics (Revenue Growth ; Gross Margin; Revenue by Product/Service; Revenue by Geographic Region)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7">
            <w:pPr>
              <w:spacing w:line="300" w:lineRule="auto"/>
              <w:ind w:left="100" w:firstLine="0"/>
              <w:rPr>
                <w:sz w:val="20"/>
                <w:szCs w:val="20"/>
              </w:rPr>
            </w:pPr>
            <w:r w:rsidDel="00000000" w:rsidR="00000000" w:rsidRPr="00000000">
              <w:rPr>
                <w:sz w:val="20"/>
                <w:szCs w:val="20"/>
                <w:rtl w:val="0"/>
              </w:rPr>
              <w:t xml:space="preserve">Revenue experienced dramatic growth from 2022-2024, increasing 126% from 2022-2024, with the most significant jump occurring in 2024 (126% increase from 2023). This growth was primarily driven by the Compute &amp; Networking segment, which became the dominant revenue driver, growing from $11,046M in 2022 to $47,405M in 2024. Graphics revenue declined from $15,868M in 2022 to $11,906M in 2023 but recovered to $13,517M in 2024. Geographically, the US became the largest market, growing from $4,349M in 2022 to $26,966M in 2024. Gross margin improved significantly to 72.72% in 2024 from 56.92% in 2023, though it remained below the 2022 level of 64.95%. The margin improvement in 2024 reflects better cost management and product mix optimization despite higher absolute costs.</w:t>
            </w:r>
          </w:p>
        </w:tc>
      </w:tr>
      <w:tr>
        <w:trPr>
          <w:cantSplit w:val="0"/>
          <w:trHeight w:val="37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8">
            <w:pPr>
              <w:spacing w:line="300" w:lineRule="auto"/>
              <w:ind w:left="100" w:firstLine="0"/>
              <w:rPr>
                <w:sz w:val="20"/>
                <w:szCs w:val="20"/>
              </w:rPr>
            </w:pPr>
            <w:r w:rsidDel="00000000" w:rsidR="00000000" w:rsidRPr="00000000">
              <w:rPr>
                <w:sz w:val="20"/>
                <w:szCs w:val="20"/>
                <w:rtl w:val="0"/>
              </w:rPr>
              <w:t xml:space="preserve">Operating Efficiency (Operating Margin)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9">
            <w:pPr>
              <w:spacing w:line="300" w:lineRule="auto"/>
              <w:ind w:left="100" w:firstLine="0"/>
              <w:rPr>
                <w:sz w:val="20"/>
                <w:szCs w:val="20"/>
              </w:rPr>
            </w:pPr>
            <w:r w:rsidDel="00000000" w:rsidR="00000000" w:rsidRPr="00000000">
              <w:rPr>
                <w:sz w:val="20"/>
                <w:szCs w:val="20"/>
                <w:rtl w:val="0"/>
              </w:rPr>
              <w:t xml:space="preserve">Operating efficiency showed remarkable improvement, with operating margin reaching 54.13% in 2024, a substantial increase from 15.66% in 2023, and higher than 37.32% achieved in 2022. The 2023 decline to 15.66% represented a significant efficiency challenge, but the company demonstrated strong operational leverage in 2024. Operating income surged from $4,224M in 2023 to $32,972M in 2024, while operating expenses increased modestly from $11,132M to $11,329M, indicating excellent cost control and scalability of the business model during the revenue expansion.</w:t>
            </w:r>
          </w:p>
        </w:tc>
      </w:tr>
      <w:tr>
        <w:trPr>
          <w:cantSplit w:val="0"/>
          <w:trHeight w:val="36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A">
            <w:pPr>
              <w:spacing w:line="300" w:lineRule="auto"/>
              <w:ind w:left="100" w:firstLine="0"/>
              <w:rPr>
                <w:sz w:val="20"/>
                <w:szCs w:val="20"/>
              </w:rPr>
            </w:pPr>
            <w:r w:rsidDel="00000000" w:rsidR="00000000" w:rsidRPr="00000000">
              <w:rPr>
                <w:sz w:val="20"/>
                <w:szCs w:val="20"/>
                <w:rtl w:val="0"/>
              </w:rPr>
              <w:t xml:space="preserve">External &amp; One-Off Impact (Effective Tax Rate, Non-Recurring Items)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B">
            <w:pPr>
              <w:spacing w:line="300" w:lineRule="auto"/>
              <w:ind w:left="100" w:firstLine="0"/>
              <w:rPr>
                <w:sz w:val="20"/>
                <w:szCs w:val="20"/>
              </w:rPr>
            </w:pPr>
            <w:r w:rsidDel="00000000" w:rsidR="00000000" w:rsidRPr="00000000">
              <w:rPr>
                <w:sz w:val="20"/>
                <w:szCs w:val="20"/>
                <w:rtl w:val="0"/>
              </w:rPr>
              <w:t xml:space="preserve">The effective tax rate showed significant variation across the period, moving from 1.90% in 2022 to -4.47% in 2023 (indicating a tax benefit), and then to 12.00% in 2024. The negative tax rate in 2023 provided a one-time benefit to profitability, with the company receiving a tax benefit of $187M despite having pre-tax income of $4,181M. In 2024, the normalization of the tax rate to 12.00% represented a more typical tax burden, with tax expense of $4,058M on pre-tax income of $33,818M. This tax normalization had a moderating effect on net profit growth compared to the exceptional 2023 tax benefit.</w:t>
            </w:r>
          </w:p>
        </w:tc>
      </w:tr>
    </w:tbl>
    <w:p w:rsidR="00000000" w:rsidDel="00000000" w:rsidP="00000000" w:rsidRDefault="00000000" w:rsidRPr="00000000" w14:paraId="0000012C">
      <w:pPr>
        <w:spacing w:after="180" w:before="180" w:lineRule="auto"/>
        <w:rPr>
          <w:b w:val="1"/>
          <w:sz w:val="31"/>
          <w:szCs w:val="31"/>
        </w:rPr>
      </w:pPr>
      <w:r w:rsidDel="00000000" w:rsidR="00000000" w:rsidRPr="00000000">
        <w:rPr>
          <w:rtl w:val="0"/>
        </w:rPr>
      </w:r>
    </w:p>
    <w:p w:rsidR="00000000" w:rsidDel="00000000" w:rsidP="00000000" w:rsidRDefault="00000000" w:rsidRPr="00000000" w14:paraId="0000012D">
      <w:pPr>
        <w:spacing w:after="180" w:before="180" w:lineRule="auto"/>
        <w:rPr>
          <w:b w:val="1"/>
          <w:sz w:val="31"/>
          <w:szCs w:val="31"/>
        </w:rPr>
      </w:pPr>
      <w:r w:rsidDel="00000000" w:rsidR="00000000" w:rsidRPr="00000000">
        <w:rPr>
          <w:b w:val="1"/>
          <w:sz w:val="31"/>
          <w:szCs w:val="31"/>
          <w:rtl w:val="0"/>
        </w:rPr>
        <w:t xml:space="preserve">S3.2: Financial Performance Summary</w:t>
      </w:r>
    </w:p>
    <w:tbl>
      <w:tblPr>
        <w:tblStyle w:val="Table10"/>
        <w:tblW w:w="897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0.0000000000005"/>
        <w:gridCol w:w="2990.0000000000005"/>
        <w:gridCol w:w="2990.0000000000005"/>
        <w:tblGridChange w:id="0">
          <w:tblGrid>
            <w:gridCol w:w="2990.0000000000005"/>
            <w:gridCol w:w="2990.0000000000005"/>
            <w:gridCol w:w="2990.0000000000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2E">
            <w:pPr>
              <w:ind w:left="120" w:firstLine="0"/>
              <w:rPr>
                <w:b w:val="1"/>
                <w:sz w:val="20"/>
                <w:szCs w:val="20"/>
              </w:rPr>
            </w:pPr>
            <w:r w:rsidDel="00000000" w:rsidR="00000000" w:rsidRPr="00000000">
              <w:rPr>
                <w:b w:val="1"/>
                <w:sz w:val="20"/>
                <w:szCs w:val="20"/>
                <w:rtl w:val="0"/>
              </w:rPr>
              <w:t xml:space="preserve">Perspective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2F">
            <w:pPr>
              <w:ind w:left="120" w:firstLine="0"/>
              <w:rPr>
                <w:b w:val="1"/>
                <w:sz w:val="20"/>
                <w:szCs w:val="20"/>
              </w:rPr>
            </w:pPr>
            <w:r w:rsidDel="00000000" w:rsidR="00000000" w:rsidRPr="00000000">
              <w:rPr>
                <w:b w:val="1"/>
                <w:sz w:val="20"/>
                <w:szCs w:val="20"/>
                <w:rtl w:val="0"/>
              </w:rPr>
              <w:t xml:space="preserve">2024 Report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30">
            <w:pPr>
              <w:ind w:left="120" w:firstLine="0"/>
              <w:rPr>
                <w:b w:val="1"/>
                <w:sz w:val="20"/>
                <w:szCs w:val="20"/>
              </w:rPr>
            </w:pPr>
            <w:r w:rsidDel="00000000" w:rsidR="00000000" w:rsidRPr="00000000">
              <w:rPr>
                <w:b w:val="1"/>
                <w:sz w:val="20"/>
                <w:szCs w:val="20"/>
                <w:rtl w:val="0"/>
              </w:rPr>
              <w:t xml:space="preserve">2023 Report</w:t>
            </w:r>
          </w:p>
        </w:tc>
      </w:tr>
      <w:tr>
        <w:trPr>
          <w:cantSplit w:val="0"/>
          <w:trHeight w:val="3120" w:hRule="atLeast"/>
          <w:tblHeader w:val="0"/>
        </w:trPr>
        <w:tc>
          <w:tcPr>
            <w:tcBorders>
              <w:top w:color="9a9a9a" w:space="0" w:sz="8" w:val="single"/>
            </w:tcBorders>
            <w:shd w:fill="ffffff" w:val="clear"/>
            <w:tcMar>
              <w:top w:w="40.0" w:type="dxa"/>
              <w:left w:w="40.0" w:type="dxa"/>
              <w:bottom w:w="40.0" w:type="dxa"/>
              <w:right w:w="40.0" w:type="dxa"/>
            </w:tcMar>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Comprehensive financial health</w:t>
            </w:r>
          </w:p>
        </w:tc>
        <w:tc>
          <w:tcPr>
            <w:tcBorders>
              <w:top w:color="9a9a9a" w:space="0" w:sz="8" w:val="single"/>
            </w:tcBorders>
            <w:shd w:fill="ffffff" w:val="clear"/>
            <w:tcMar>
              <w:top w:w="40.0" w:type="dxa"/>
              <w:left w:w="40.0" w:type="dxa"/>
              <w:bottom w:w="40.0" w:type="dxa"/>
              <w:right w:w="40.0" w:type="dxa"/>
            </w:tcMar>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Exceptional financial health with total assets growing to $65,728M and shareholders' equity increasing to $42,978M. Strong balance sheet with current ratio of 417.13% and debt-to-equity ratio improved to 52.94%. Cash flow from operations reached $28,090M demonstrating robust cash generation capabilities.</w:t>
            </w:r>
          </w:p>
        </w:tc>
        <w:tc>
          <w:tcPr>
            <w:tcBorders>
              <w:top w:color="9a9a9a" w:space="0" w:sz="8" w:val="single"/>
            </w:tcBorders>
            <w:shd w:fill="ffffff" w:val="clear"/>
            <w:tcMar>
              <w:top w:w="40.0" w:type="dxa"/>
              <w:left w:w="40.0" w:type="dxa"/>
              <w:bottom w:w="40.0" w:type="dxa"/>
              <w:right w:w="40.0" w:type="dxa"/>
            </w:tcMar>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Solid financial foundation with total assets of $41,182M and shareholders' equity of $22,101M. Current ratio of 351.47% indicates good liquidity, though debt-to-equity ratio was higher at 86.31%. Operating cash flow of $5,641M showed positive but modest cash generation.</w:t>
            </w:r>
          </w:p>
        </w:tc>
      </w:tr>
      <w:tr>
        <w:trPr>
          <w:cantSplit w:val="0"/>
          <w:trHeight w:val="2925" w:hRule="atLeast"/>
          <w:tblHeader w:val="0"/>
        </w:trPr>
        <w:tc>
          <w:tcPr>
            <w:shd w:fill="ffffff" w:val="clear"/>
            <w:tcMar>
              <w:top w:w="40.0" w:type="dxa"/>
              <w:left w:w="40.0" w:type="dxa"/>
              <w:bottom w:w="40.0" w:type="dxa"/>
              <w:right w:w="40.0" w:type="dxa"/>
            </w:tcMar>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Profitability and earnings quality</w:t>
            </w:r>
          </w:p>
        </w:tc>
        <w:tc>
          <w:tcPr>
            <w:shd w:fill="ffffff" w:val="clear"/>
            <w:tcMar>
              <w:top w:w="40.0" w:type="dxa"/>
              <w:left w:w="40.0" w:type="dxa"/>
              <w:bottom w:w="40.0" w:type="dxa"/>
              <w:right w:w="40.0" w:type="dxa"/>
            </w:tcMar>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Outstanding profitability with net profit margin of 48.85% and net profit of $29,760M. Return on equity reached 97.68% and return on assets 45.27%. Effective tax rate normalized to 12.00%. Revenue growth of 126% driven primarily by Compute &amp; Networking segment ($47,405M).</w:t>
            </w:r>
          </w:p>
        </w:tc>
        <w:tc>
          <w:tcPr>
            <w:shd w:fill="ffffff" w:val="clear"/>
            <w:tcMar>
              <w:top w:w="40.0" w:type="dxa"/>
              <w:left w:w="40.0" w:type="dxa"/>
              <w:bottom w:w="40.0" w:type="dxa"/>
              <w:right w:w="40.0" w:type="dxa"/>
            </w:tcMar>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Moderate profitability with net profit margin of 16.19% and net profit of $4,368M. Return on equity of 22.92% and return on assets of 11.12%. Benefited from negative effective tax rate of -4.47% providing tax benefit of $187M. Revenue remained relatively flat at $26,974M.</w:t>
            </w:r>
          </w:p>
        </w:tc>
      </w:tr>
      <w:tr>
        <w:trPr>
          <w:cantSplit w:val="0"/>
          <w:trHeight w:val="3210" w:hRule="atLeast"/>
          <w:tblHeader w:val="0"/>
        </w:trPr>
        <w:tc>
          <w:tcPr>
            <w:shd w:fill="ffffff" w:val="clear"/>
            <w:tcMar>
              <w:top w:w="40.0" w:type="dxa"/>
              <w:left w:w="40.0" w:type="dxa"/>
              <w:bottom w:w="40.0" w:type="dxa"/>
              <w:right w:w="40.0" w:type="dxa"/>
            </w:tcMar>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Operational efficiency</w:t>
            </w:r>
          </w:p>
        </w:tc>
        <w:tc>
          <w:tcPr>
            <w:shd w:fill="ffffff" w:val="clear"/>
            <w:tcMar>
              <w:top w:w="40.0" w:type="dxa"/>
              <w:left w:w="40.0" w:type="dxa"/>
              <w:bottom w:w="40.0" w:type="dxa"/>
              <w:right w:w="40.0" w:type="dxa"/>
            </w:tcMar>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Exceptional operational efficiency with operating margin of 54.13% and operating income of $32,972M. Operating expenses well-controlled at $11,329M despite massive revenue growth. Asset turnover improved to 116.92%. Gross margin reached 72.72% indicating strong pricing power and cost management.</w:t>
            </w:r>
          </w:p>
        </w:tc>
        <w:tc>
          <w:tcPr>
            <w:shd w:fill="ffffff" w:val="clear"/>
            <w:tcMar>
              <w:top w:w="40.0" w:type="dxa"/>
              <w:left w:w="40.0" w:type="dxa"/>
              <w:bottom w:w="40.0" w:type="dxa"/>
              <w:right w:w="40.0" w:type="dxa"/>
            </w:tcMar>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Challenged operational efficiency with operating margin declining to 15.66% and operating income of $4,224M. Operating expenses of $11,132M remained high relative to revenue. Asset turnover of 74.92% and gross margin of 56.92% showed room for improvement.</w:t>
            </w:r>
          </w:p>
        </w:tc>
      </w:tr>
      <w:tr>
        <w:trPr>
          <w:cantSplit w:val="0"/>
          <w:trHeight w:val="3630" w:hRule="atLeast"/>
          <w:tblHeader w:val="0"/>
        </w:trPr>
        <w:tc>
          <w:tcPr>
            <w:shd w:fill="ffffff" w:val="clear"/>
            <w:tcMar>
              <w:top w:w="40.0" w:type="dxa"/>
              <w:left w:w="40.0" w:type="dxa"/>
              <w:bottom w:w="40.0" w:type="dxa"/>
              <w:right w:w="40.0" w:type="dxa"/>
            </w:tcMar>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Financial risk identification and early warning</w:t>
            </w:r>
          </w:p>
        </w:tc>
        <w:tc>
          <w:tcPr>
            <w:shd w:fill="ffffff" w:val="clear"/>
            <w:tcMar>
              <w:top w:w="40.0" w:type="dxa"/>
              <w:left w:w="40.0" w:type="dxa"/>
              <w:bottom w:w="40.0" w:type="dxa"/>
              <w:right w:w="40.0" w:type="dxa"/>
            </w:tcMar>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Low financial risk profile with strong liquidity ratios and improved debt management. Interest coverage ratio of 12,828.40% indicates minimal debt service risk. Dividend payout ratio of only 1.33% suggests conservative capital allocation. Geographic concentration risk with US representing 44% of revenue and China exposure at $10,306M.</w:t>
            </w:r>
          </w:p>
        </w:tc>
        <w:tc>
          <w:tcPr>
            <w:shd w:fill="ffffff" w:val="clear"/>
            <w:tcMar>
              <w:top w:w="40.0" w:type="dxa"/>
              <w:left w:w="40.0" w:type="dxa"/>
              <w:bottom w:w="40.0" w:type="dxa"/>
              <w:right w:w="40.0" w:type="dxa"/>
            </w:tcMar>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Moderate financial risk with higher debt-to-equity ratio of 86.31% but manageable interest coverage of 1,612.21%. Higher dividend payout ratio of 9.11% relative to earnings. Revenue concentration risks with more balanced geographic distribution but overall revenue stagnation concerns.</w:t>
            </w:r>
          </w:p>
        </w:tc>
      </w:tr>
      <w:tr>
        <w:trPr>
          <w:cantSplit w:val="0"/>
          <w:trHeight w:val="3585" w:hRule="atLeast"/>
          <w:tblHeader w:val="0"/>
        </w:trPr>
        <w:tc>
          <w:tcPr>
            <w:tcBorders>
              <w:bottom w:color="9a9a9a" w:space="0" w:sz="8" w:val="single"/>
            </w:tcBorders>
            <w:shd w:fill="ffffff" w:val="clear"/>
            <w:tcMar>
              <w:top w:w="40.0" w:type="dxa"/>
              <w:left w:w="40.0" w:type="dxa"/>
              <w:bottom w:w="40.0" w:type="dxa"/>
              <w:right w:w="40.0" w:type="dxa"/>
            </w:tcMar>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Future financial performance projection</w:t>
            </w:r>
          </w:p>
        </w:tc>
        <w:tc>
          <w:tcPr>
            <w:tcBorders>
              <w:bottom w:color="9a9a9a" w:space="0" w:sz="8" w:val="single"/>
            </w:tcBorders>
            <w:shd w:fill="ffffff" w:val="clear"/>
            <w:tcMar>
              <w:top w:w="40.0" w:type="dxa"/>
              <w:left w:w="40.0" w:type="dxa"/>
              <w:bottom w:w="40.0" w:type="dxa"/>
              <w:right w:w="40.0" w:type="dxa"/>
            </w:tcMar>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Highly positive outlook supported by dominant position in AI/compute market with Compute &amp; Networking segment showing explosive growth. Strong cash generation of $28,090M provides flexibility for R&amp;D and expansion. Robust balance sheet with $42,978M equity supports future investments. However, sustainability of 126% revenue growth rates and 72.72% gross margins may face pressure.</w:t>
            </w:r>
          </w:p>
        </w:tc>
        <w:tc>
          <w:tcPr>
            <w:tcBorders>
              <w:bottom w:color="9a9a9a" w:space="0" w:sz="8" w:val="single"/>
            </w:tcBorders>
            <w:shd w:fill="ffffff" w:val="clear"/>
            <w:tcMar>
              <w:top w:w="40.0" w:type="dxa"/>
              <w:left w:w="40.0" w:type="dxa"/>
              <w:bottom w:w="40.0" w:type="dxa"/>
              <w:right w:w="40.0" w:type="dxa"/>
            </w:tcMar>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Mixed outlook with stabilized revenue base but limited growth momentum. Positive operating cash flow of $5,641M provides foundation for recovery. Need to improve operational efficiency and capitalize on emerging AI opportunities. Tax benefits may not recur, requiring operational improvements for sustained profitability growth.</w:t>
            </w:r>
          </w:p>
        </w:tc>
      </w:tr>
    </w:tbl>
    <w:p w:rsidR="00000000" w:rsidDel="00000000" w:rsidP="00000000" w:rsidRDefault="00000000" w:rsidRPr="00000000" w14:paraId="00000140">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41">
      <w:pPr>
        <w:spacing w:after="180" w:before="180" w:lineRule="auto"/>
        <w:rPr>
          <w:b w:val="1"/>
          <w:sz w:val="31"/>
          <w:szCs w:val="31"/>
        </w:rPr>
      </w:pPr>
      <w:r w:rsidDel="00000000" w:rsidR="00000000" w:rsidRPr="00000000">
        <w:rPr>
          <w:b w:val="1"/>
          <w:sz w:val="31"/>
          <w:szCs w:val="31"/>
          <w:rtl w:val="0"/>
        </w:rPr>
        <w:t xml:space="preserve">S3.3: Business Competitiveness</w:t>
      </w:r>
    </w:p>
    <w:tbl>
      <w:tblPr>
        <w:tblStyle w:val="Table1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0"/>
        <w:gridCol w:w="2980"/>
        <w:gridCol w:w="2980"/>
        <w:tblGridChange w:id="0">
          <w:tblGrid>
            <w:gridCol w:w="2980"/>
            <w:gridCol w:w="2980"/>
            <w:gridCol w:w="2980"/>
          </w:tblGrid>
        </w:tblGridChange>
      </w:tblGrid>
      <w:tr>
        <w:trPr>
          <w:cantSplit w:val="0"/>
          <w:trHeight w:val="5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2">
            <w:pPr>
              <w:ind w:left="120" w:firstLine="0"/>
              <w:rPr>
                <w:b w:val="1"/>
                <w:sz w:val="20"/>
                <w:szCs w:val="20"/>
              </w:rPr>
            </w:pPr>
            <w:r w:rsidDel="00000000" w:rsidR="00000000" w:rsidRPr="00000000">
              <w:rPr>
                <w:b w:val="1"/>
                <w:sz w:val="20"/>
                <w:szCs w:val="20"/>
                <w:rtl w:val="0"/>
              </w:rPr>
              <w:t xml:space="preserve">Field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3">
            <w:pPr>
              <w:ind w:left="120" w:firstLine="0"/>
              <w:rPr>
                <w:b w:val="1"/>
                <w:sz w:val="20"/>
                <w:szCs w:val="20"/>
              </w:rPr>
            </w:pPr>
            <w:r w:rsidDel="00000000" w:rsidR="00000000" w:rsidRPr="00000000">
              <w:rPr>
                <w:b w:val="1"/>
                <w:sz w:val="20"/>
                <w:szCs w:val="20"/>
                <w:rtl w:val="0"/>
              </w:rPr>
              <w:t xml:space="preserve">2024 Report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4">
            <w:pPr>
              <w:ind w:left="120" w:firstLine="0"/>
              <w:rPr>
                <w:b w:val="1"/>
                <w:sz w:val="20"/>
                <w:szCs w:val="20"/>
              </w:rPr>
            </w:pPr>
            <w:r w:rsidDel="00000000" w:rsidR="00000000" w:rsidRPr="00000000">
              <w:rPr>
                <w:b w:val="1"/>
                <w:sz w:val="20"/>
                <w:szCs w:val="20"/>
                <w:rtl w:val="0"/>
              </w:rPr>
              <w:t xml:space="preserve">2023 Report</w:t>
            </w:r>
          </w:p>
        </w:tc>
      </w:tr>
      <w:tr>
        <w:trPr>
          <w:cantSplit w:val="0"/>
          <w:trHeight w:val="286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5">
            <w:pPr>
              <w:ind w:left="120" w:firstLine="0"/>
              <w:rPr>
                <w:sz w:val="20"/>
                <w:szCs w:val="20"/>
              </w:rPr>
            </w:pPr>
            <w:r w:rsidDel="00000000" w:rsidR="00000000" w:rsidRPr="00000000">
              <w:rPr>
                <w:sz w:val="20"/>
                <w:szCs w:val="20"/>
                <w:rtl w:val="0"/>
              </w:rPr>
              <w:t xml:space="preserve">Business Model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6">
            <w:pPr>
              <w:ind w:left="120" w:firstLine="0"/>
              <w:rPr>
                <w:sz w:val="20"/>
                <w:szCs w:val="20"/>
              </w:rPr>
            </w:pPr>
            <w:r w:rsidDel="00000000" w:rsidR="00000000" w:rsidRPr="00000000">
              <w:rPr>
                <w:sz w:val="20"/>
                <w:szCs w:val="20"/>
                <w:rtl w:val="0"/>
              </w:rPr>
              <w:t xml:space="preserve">Nvidia operates a full-stack computing platform business model, offering a combination of hardware, software, and services. This includes GPUs, DPUs, CPUs, and a comprehensive suite of software solutions like NVIDIA AI Enterprise and DGX Cloud.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7">
            <w:pPr>
              <w:ind w:left="120" w:firstLine="0"/>
              <w:rPr>
                <w:sz w:val="20"/>
                <w:szCs w:val="20"/>
              </w:rPr>
            </w:pPr>
            <w:r w:rsidDel="00000000" w:rsidR="00000000" w:rsidRPr="00000000">
              <w:rPr>
                <w:sz w:val="20"/>
                <w:szCs w:val="20"/>
                <w:rtl w:val="0"/>
              </w:rPr>
              <w:t xml:space="preserve">Nvidia's business model is centered around accelerated computing platforms, leveraging GPUs and software stacks to serve diverse markets such as Data Center, Gaming, Professional Visualization, and Automotive.</w:t>
            </w:r>
          </w:p>
        </w:tc>
      </w:tr>
      <w:tr>
        <w:trPr>
          <w:cantSplit w:val="0"/>
          <w:trHeight w:val="31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8">
            <w:pPr>
              <w:ind w:left="120" w:firstLine="0"/>
              <w:rPr>
                <w:sz w:val="20"/>
                <w:szCs w:val="20"/>
              </w:rPr>
            </w:pPr>
            <w:r w:rsidDel="00000000" w:rsidR="00000000" w:rsidRPr="00000000">
              <w:rPr>
                <w:sz w:val="20"/>
                <w:szCs w:val="20"/>
                <w:rtl w:val="0"/>
              </w:rPr>
              <w:t xml:space="preserve">Market Position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9">
            <w:pPr>
              <w:ind w:left="120" w:firstLine="0"/>
              <w:rPr>
                <w:sz w:val="20"/>
                <w:szCs w:val="20"/>
              </w:rPr>
            </w:pPr>
            <w:r w:rsidDel="00000000" w:rsidR="00000000" w:rsidRPr="00000000">
              <w:rPr>
                <w:sz w:val="20"/>
                <w:szCs w:val="20"/>
                <w:rtl w:val="0"/>
              </w:rPr>
              <w:t xml:space="preserve">Nvidia holds a leading position in the market, powering over 75% of the supercomputers on the global TOP500 list and 24 of the top 30 systems on the Green500 list. It is a leader in AI and gaming markets with a significant presence in data centers and professional visualization.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A">
            <w:pPr>
              <w:ind w:left="120" w:firstLine="0"/>
              <w:rPr>
                <w:sz w:val="20"/>
                <w:szCs w:val="20"/>
              </w:rPr>
            </w:pPr>
            <w:r w:rsidDel="00000000" w:rsidR="00000000" w:rsidRPr="00000000">
              <w:rPr>
                <w:sz w:val="20"/>
                <w:szCs w:val="20"/>
                <w:rtl w:val="0"/>
              </w:rPr>
              <w:t xml:space="preserve">Nvidia is a market leader in accelerated computing, with a strong presence in data centers, gaming, professional visualization, and automotive markets. It is recognized for its innovation in AI and deep learning technologies.</w:t>
            </w:r>
          </w:p>
        </w:tc>
      </w:tr>
    </w:tbl>
    <w:p w:rsidR="00000000" w:rsidDel="00000000" w:rsidP="00000000" w:rsidRDefault="00000000" w:rsidRPr="00000000" w14:paraId="0000014B">
      <w:pPr>
        <w:rPr>
          <w:sz w:val="20"/>
          <w:szCs w:val="20"/>
        </w:rPr>
      </w:pPr>
      <w:r w:rsidDel="00000000" w:rsidR="00000000" w:rsidRPr="00000000">
        <w:rPr>
          <w:sz w:val="20"/>
          <w:szCs w:val="20"/>
          <w:rtl w:val="0"/>
        </w:rPr>
        <w:br w:type="textWrapping"/>
      </w:r>
    </w:p>
    <w:p w:rsidR="00000000" w:rsidDel="00000000" w:rsidP="00000000" w:rsidRDefault="00000000" w:rsidRPr="00000000" w14:paraId="0000014C">
      <w:pPr>
        <w:pStyle w:val="Heading1"/>
        <w:rPr>
          <w:b w:val="0"/>
        </w:rPr>
      </w:pPr>
      <w:r w:rsidDel="00000000" w:rsidR="00000000" w:rsidRPr="00000000">
        <w:rPr>
          <w:rtl w:val="0"/>
        </w:rPr>
        <w:t xml:space="preserve">Section 4: Risk Factors</w:t>
      </w:r>
      <w:r w:rsidDel="00000000" w:rsidR="00000000" w:rsidRPr="00000000">
        <w:rPr>
          <w:rtl w:val="0"/>
        </w:rPr>
      </w:r>
    </w:p>
    <w:p w:rsidR="00000000" w:rsidDel="00000000" w:rsidP="00000000" w:rsidRDefault="00000000" w:rsidRPr="00000000" w14:paraId="0000014D">
      <w:pPr>
        <w:spacing w:after="180" w:before="180" w:lineRule="auto"/>
        <w:rPr>
          <w:b w:val="1"/>
          <w:sz w:val="31"/>
          <w:szCs w:val="31"/>
        </w:rPr>
      </w:pPr>
      <w:r w:rsidDel="00000000" w:rsidR="00000000" w:rsidRPr="00000000">
        <w:rPr>
          <w:b w:val="1"/>
          <w:sz w:val="31"/>
          <w:szCs w:val="31"/>
          <w:rtl w:val="0"/>
        </w:rPr>
        <w:t xml:space="preserve">S4.1: Risk Factors</w:t>
      </w:r>
    </w:p>
    <w:tbl>
      <w:tblPr>
        <w:tblStyle w:val="Table1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60"/>
        <w:gridCol w:w="3060"/>
        <w:tblGridChange w:id="0">
          <w:tblGrid>
            <w:gridCol w:w="3060"/>
            <w:gridCol w:w="3060"/>
            <w:gridCol w:w="3060"/>
          </w:tblGrid>
        </w:tblGridChange>
      </w:tblGrid>
      <w:tr>
        <w:trPr>
          <w:cantSplit w:val="0"/>
          <w:trHeight w:val="19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E">
            <w:pPr>
              <w:ind w:left="120" w:firstLine="0"/>
              <w:rPr>
                <w:b w:val="1"/>
                <w:sz w:val="20"/>
                <w:szCs w:val="20"/>
              </w:rPr>
            </w:pPr>
            <w:r w:rsidDel="00000000" w:rsidR="00000000" w:rsidRPr="00000000">
              <w:rPr>
                <w:b w:val="1"/>
                <w:sz w:val="20"/>
                <w:szCs w:val="20"/>
                <w:rtl w:val="0"/>
              </w:rPr>
              <w:t xml:space="preserve">Perspective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4F">
            <w:pPr>
              <w:ind w:left="120" w:firstLine="0"/>
              <w:rPr>
                <w:b w:val="1"/>
                <w:sz w:val="20"/>
                <w:szCs w:val="20"/>
              </w:rPr>
            </w:pPr>
            <w:r w:rsidDel="00000000" w:rsidR="00000000" w:rsidRPr="00000000">
              <w:rPr>
                <w:b w:val="1"/>
                <w:sz w:val="20"/>
                <w:szCs w:val="20"/>
                <w:rtl w:val="0"/>
              </w:rPr>
              <w:t xml:space="preserve">2024 Report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0">
            <w:pPr>
              <w:ind w:left="120" w:firstLine="0"/>
              <w:rPr>
                <w:b w:val="1"/>
                <w:sz w:val="20"/>
                <w:szCs w:val="20"/>
              </w:rPr>
            </w:pPr>
            <w:r w:rsidDel="00000000" w:rsidR="00000000" w:rsidRPr="00000000">
              <w:rPr>
                <w:b w:val="1"/>
                <w:sz w:val="20"/>
                <w:szCs w:val="20"/>
                <w:rtl w:val="0"/>
              </w:rPr>
              <w:t xml:space="preserve">2023 Report</w:t>
            </w:r>
          </w:p>
        </w:tc>
      </w:tr>
      <w:tr>
        <w:trPr>
          <w:cantSplit w:val="0"/>
          <w:trHeight w:val="29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1">
            <w:pPr>
              <w:ind w:left="120" w:firstLine="0"/>
              <w:rPr>
                <w:sz w:val="20"/>
                <w:szCs w:val="20"/>
              </w:rPr>
            </w:pPr>
            <w:r w:rsidDel="00000000" w:rsidR="00000000" w:rsidRPr="00000000">
              <w:rPr>
                <w:sz w:val="20"/>
                <w:szCs w:val="20"/>
                <w:rtl w:val="0"/>
              </w:rPr>
              <w:t xml:space="preserve">Market Risks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2">
            <w:pPr>
              <w:ind w:left="120" w:firstLine="0"/>
              <w:rPr>
                <w:sz w:val="20"/>
                <w:szCs w:val="20"/>
              </w:rPr>
            </w:pPr>
            <w:r w:rsidDel="00000000" w:rsidR="00000000" w:rsidRPr="00000000">
              <w:rPr>
                <w:sz w:val="20"/>
                <w:szCs w:val="20"/>
                <w:rtl w:val="0"/>
              </w:rPr>
              <w:t xml:space="preserve">The company faces market risks due to competition, rapid technological changes, and geopolitical tensions affecting demand and supply, particularly in China. The USG's export controls and licensing requirements could further harm Nvidia's competitive position and financial results.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3">
            <w:pPr>
              <w:ind w:left="120" w:firstLine="0"/>
              <w:rPr>
                <w:sz w:val="20"/>
                <w:szCs w:val="20"/>
              </w:rPr>
            </w:pPr>
            <w:r w:rsidDel="00000000" w:rsidR="00000000" w:rsidRPr="00000000">
              <w:rPr>
                <w:sz w:val="20"/>
                <w:szCs w:val="20"/>
                <w:rtl w:val="0"/>
              </w:rPr>
              <w:t xml:space="preserve">Nvidia's market risks include competition, rapid technological changes, and geopolitical tensions, particularly with the USG's export controls affecting sales in China. These factors could lead to reduced demand and market share.</w:t>
            </w:r>
          </w:p>
        </w:tc>
      </w:tr>
      <w:tr>
        <w:trPr>
          <w:cantSplit w:val="0"/>
          <w:trHeight w:val="23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4">
            <w:pPr>
              <w:ind w:left="120" w:firstLine="0"/>
              <w:rPr>
                <w:sz w:val="20"/>
                <w:szCs w:val="20"/>
              </w:rPr>
            </w:pPr>
            <w:r w:rsidDel="00000000" w:rsidR="00000000" w:rsidRPr="00000000">
              <w:rPr>
                <w:sz w:val="20"/>
                <w:szCs w:val="20"/>
                <w:rtl w:val="0"/>
              </w:rPr>
              <w:t xml:space="preserve">Operational Risks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5">
            <w:pPr>
              <w:ind w:left="120" w:firstLine="0"/>
              <w:rPr>
                <w:sz w:val="20"/>
                <w:szCs w:val="20"/>
              </w:rPr>
            </w:pPr>
            <w:r w:rsidDel="00000000" w:rsidR="00000000" w:rsidRPr="00000000">
              <w:rPr>
                <w:sz w:val="20"/>
                <w:szCs w:val="20"/>
                <w:rtl w:val="0"/>
              </w:rPr>
              <w:t xml:space="preserve">Nvidia's operational risks include supply chain complexities, product transitions, and the integration of new suppliers. The company also faces risks from climate change, which could disrupt operations and increase costs.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6">
            <w:pPr>
              <w:ind w:left="120" w:firstLine="0"/>
              <w:rPr>
                <w:sz w:val="20"/>
                <w:szCs w:val="20"/>
              </w:rPr>
            </w:pPr>
            <w:r w:rsidDel="00000000" w:rsidR="00000000" w:rsidRPr="00000000">
              <w:rPr>
                <w:sz w:val="20"/>
                <w:szCs w:val="20"/>
                <w:rtl w:val="0"/>
              </w:rPr>
              <w:t xml:space="preserve">Operational risks for Nvidia involve supply chain disruptions, product defects, and the impact of climate change on operations. The company also faces challenges in integrating acquisitions and managing product transitions.</w:t>
            </w:r>
          </w:p>
        </w:tc>
      </w:tr>
      <w:tr>
        <w:trPr>
          <w:cantSplit w:val="0"/>
          <w:trHeight w:val="22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7">
            <w:pPr>
              <w:ind w:left="120" w:firstLine="0"/>
              <w:rPr>
                <w:sz w:val="20"/>
                <w:szCs w:val="20"/>
              </w:rPr>
            </w:pPr>
            <w:r w:rsidDel="00000000" w:rsidR="00000000" w:rsidRPr="00000000">
              <w:rPr>
                <w:sz w:val="20"/>
                <w:szCs w:val="20"/>
                <w:rtl w:val="0"/>
              </w:rPr>
              <w:t xml:space="preserve">Financial Risks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8">
            <w:pPr>
              <w:ind w:left="120" w:firstLine="0"/>
              <w:rPr>
                <w:sz w:val="20"/>
                <w:szCs w:val="20"/>
              </w:rPr>
            </w:pPr>
            <w:r w:rsidDel="00000000" w:rsidR="00000000" w:rsidRPr="00000000">
              <w:rPr>
                <w:sz w:val="20"/>
                <w:szCs w:val="20"/>
                <w:rtl w:val="0"/>
              </w:rPr>
              <w:t xml:space="preserve">Financial risks include exposure to interest rate changes, tax liabilities, and the impact of macroeconomic factors like inflation and capital market volatility. Nvidia's indebtedness could also affect its financial position and cash flows.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9">
            <w:pPr>
              <w:ind w:left="120" w:firstLine="0"/>
              <w:rPr>
                <w:sz w:val="20"/>
                <w:szCs w:val="20"/>
              </w:rPr>
            </w:pPr>
            <w:r w:rsidDel="00000000" w:rsidR="00000000" w:rsidRPr="00000000">
              <w:rPr>
                <w:sz w:val="20"/>
                <w:szCs w:val="20"/>
                <w:rtl w:val="0"/>
              </w:rPr>
              <w:t xml:space="preserve">Nvidia faces financial risks from tax liabilities, interest rate changes, and macroeconomic factors such as inflation and capital market volatility. The company's indebtedness could impact its financial position and cash flows.</w:t>
            </w:r>
          </w:p>
        </w:tc>
      </w:tr>
      <w:tr>
        <w:trPr>
          <w:cantSplit w:val="0"/>
          <w:trHeight w:val="27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A">
            <w:pPr>
              <w:ind w:left="120" w:firstLine="0"/>
              <w:rPr>
                <w:sz w:val="20"/>
                <w:szCs w:val="20"/>
              </w:rPr>
            </w:pPr>
            <w:r w:rsidDel="00000000" w:rsidR="00000000" w:rsidRPr="00000000">
              <w:rPr>
                <w:sz w:val="20"/>
                <w:szCs w:val="20"/>
                <w:rtl w:val="0"/>
              </w:rPr>
              <w:t xml:space="preserve">Compliance Risks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B">
            <w:pPr>
              <w:ind w:left="120" w:firstLine="0"/>
              <w:rPr>
                <w:sz w:val="20"/>
                <w:szCs w:val="20"/>
              </w:rPr>
            </w:pPr>
            <w:r w:rsidDel="00000000" w:rsidR="00000000" w:rsidRPr="00000000">
              <w:rPr>
                <w:sz w:val="20"/>
                <w:szCs w:val="20"/>
                <w:rtl w:val="0"/>
              </w:rPr>
              <w:t xml:space="preserve">Compliance risks involve adhering to complex global regulations, including export controls, data privacy laws, and environmental regulations. Nvidia's operations could be affected by changes in these laws, impacting its competitive position and financial results.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5C">
            <w:pPr>
              <w:ind w:left="120" w:firstLine="0"/>
              <w:rPr>
                <w:sz w:val="20"/>
                <w:szCs w:val="20"/>
              </w:rPr>
            </w:pPr>
            <w:r w:rsidDel="00000000" w:rsidR="00000000" w:rsidRPr="00000000">
              <w:rPr>
                <w:sz w:val="20"/>
                <w:szCs w:val="20"/>
                <w:rtl w:val="0"/>
              </w:rPr>
              <w:t xml:space="preserve">Nvidia's compliance risks include adhering to complex global regulations, such as export controls, data privacy laws, and environmental regulations. Changes in these laws could impact the company's operations and financial results.</w:t>
            </w:r>
          </w:p>
        </w:tc>
      </w:tr>
    </w:tbl>
    <w:p w:rsidR="00000000" w:rsidDel="00000000" w:rsidP="00000000" w:rsidRDefault="00000000" w:rsidRPr="00000000" w14:paraId="0000015D">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5E">
      <w:pPr>
        <w:pStyle w:val="Heading1"/>
        <w:rPr>
          <w:b w:val="0"/>
        </w:rPr>
      </w:pPr>
      <w:r w:rsidDel="00000000" w:rsidR="00000000" w:rsidRPr="00000000">
        <w:rPr>
          <w:rtl w:val="0"/>
        </w:rPr>
        <w:t xml:space="preserve">Section 5: Corporate Governance</w:t>
      </w:r>
      <w:r w:rsidDel="00000000" w:rsidR="00000000" w:rsidRPr="00000000">
        <w:rPr>
          <w:rtl w:val="0"/>
        </w:rPr>
      </w:r>
    </w:p>
    <w:p w:rsidR="00000000" w:rsidDel="00000000" w:rsidP="00000000" w:rsidRDefault="00000000" w:rsidRPr="00000000" w14:paraId="0000015F">
      <w:pPr>
        <w:spacing w:after="180" w:before="180" w:lineRule="auto"/>
        <w:rPr>
          <w:sz w:val="20"/>
          <w:szCs w:val="20"/>
        </w:rPr>
      </w:pPr>
      <w:r w:rsidDel="00000000" w:rsidR="00000000" w:rsidRPr="00000000">
        <w:rPr>
          <w:b w:val="1"/>
          <w:sz w:val="31"/>
          <w:szCs w:val="31"/>
          <w:rtl w:val="0"/>
        </w:rPr>
        <w:t xml:space="preserve">S5.1: Board Composition</w:t>
      </w:r>
      <w:r w:rsidDel="00000000" w:rsidR="00000000" w:rsidRPr="00000000">
        <w:rPr>
          <w:rtl w:val="0"/>
        </w:rPr>
      </w:r>
    </w:p>
    <w:tbl>
      <w:tblPr>
        <w:tblStyle w:val="Table13"/>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645"/>
        <w:gridCol w:w="1335"/>
        <w:tblGridChange w:id="0">
          <w:tblGrid>
            <w:gridCol w:w="1545"/>
            <w:gridCol w:w="3645"/>
            <w:gridCol w:w="133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0">
            <w:pPr>
              <w:spacing w:line="300" w:lineRule="auto"/>
              <w:ind w:left="100" w:firstLine="0"/>
              <w:rPr>
                <w:b w:val="1"/>
                <w:sz w:val="20"/>
                <w:szCs w:val="20"/>
              </w:rPr>
            </w:pPr>
            <w:r w:rsidDel="00000000" w:rsidR="00000000" w:rsidRPr="00000000">
              <w:rPr>
                <w:b w:val="1"/>
                <w:sz w:val="20"/>
                <w:szCs w:val="20"/>
                <w:rtl w:val="0"/>
              </w:rPr>
              <w:t xml:space="preserve">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1">
            <w:pPr>
              <w:spacing w:line="300" w:lineRule="auto"/>
              <w:ind w:left="100" w:firstLine="0"/>
              <w:rPr>
                <w:b w:val="1"/>
                <w:sz w:val="20"/>
                <w:szCs w:val="20"/>
              </w:rPr>
            </w:pPr>
            <w:r w:rsidDel="00000000" w:rsidR="00000000" w:rsidRPr="00000000">
              <w:rPr>
                <w:b w:val="1"/>
                <w:sz w:val="20"/>
                <w:szCs w:val="20"/>
                <w:rtl w:val="0"/>
              </w:rPr>
              <w:t xml:space="preserve">Position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2">
            <w:pPr>
              <w:spacing w:line="300" w:lineRule="auto"/>
              <w:ind w:left="100" w:firstLine="0"/>
              <w:rPr>
                <w:b w:val="1"/>
                <w:sz w:val="20"/>
                <w:szCs w:val="20"/>
              </w:rPr>
            </w:pPr>
            <w:r w:rsidDel="00000000" w:rsidR="00000000" w:rsidRPr="00000000">
              <w:rPr>
                <w:b w:val="1"/>
                <w:sz w:val="20"/>
                <w:szCs w:val="20"/>
                <w:rtl w:val="0"/>
              </w:rPr>
              <w:t xml:space="preserve">Total Income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3">
            <w:pPr>
              <w:spacing w:line="300" w:lineRule="auto"/>
              <w:ind w:left="100" w:firstLine="0"/>
              <w:rPr>
                <w:sz w:val="20"/>
                <w:szCs w:val="20"/>
              </w:rPr>
            </w:pPr>
            <w:r w:rsidDel="00000000" w:rsidR="00000000" w:rsidRPr="00000000">
              <w:rPr>
                <w:sz w:val="20"/>
                <w:szCs w:val="20"/>
                <w:rtl w:val="0"/>
              </w:rPr>
              <w:t xml:space="preserve">Jen-Hsun Huang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4">
            <w:pPr>
              <w:spacing w:line="300" w:lineRule="auto"/>
              <w:ind w:left="100" w:firstLine="0"/>
              <w:rPr>
                <w:sz w:val="20"/>
                <w:szCs w:val="20"/>
              </w:rPr>
            </w:pPr>
            <w:r w:rsidDel="00000000" w:rsidR="00000000" w:rsidRPr="00000000">
              <w:rPr>
                <w:sz w:val="20"/>
                <w:szCs w:val="20"/>
                <w:rtl w:val="0"/>
              </w:rPr>
              <w:t xml:space="preserve">President and Chief Executive Officer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5">
            <w:pPr>
              <w:spacing w:line="300" w:lineRule="auto"/>
              <w:ind w:left="100" w:firstLine="0"/>
              <w:rPr>
                <w:sz w:val="20"/>
                <w:szCs w:val="20"/>
              </w:rPr>
            </w:pPr>
            <w:r w:rsidDel="00000000" w:rsidR="00000000" w:rsidRPr="00000000">
              <w:rPr>
                <w:sz w:val="20"/>
                <w:szCs w:val="20"/>
                <w:rtl w:val="0"/>
              </w:rPr>
              <w:t xml:space="preserve">N/A</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6">
            <w:pPr>
              <w:spacing w:line="300" w:lineRule="auto"/>
              <w:ind w:left="100" w:firstLine="0"/>
              <w:rPr>
                <w:sz w:val="20"/>
                <w:szCs w:val="20"/>
              </w:rPr>
            </w:pPr>
            <w:r w:rsidDel="00000000" w:rsidR="00000000" w:rsidRPr="00000000">
              <w:rPr>
                <w:sz w:val="20"/>
                <w:szCs w:val="20"/>
                <w:rtl w:val="0"/>
              </w:rPr>
              <w:t xml:space="preserve">Colette M. Kress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7">
            <w:pPr>
              <w:spacing w:line="300" w:lineRule="auto"/>
              <w:ind w:left="100" w:firstLine="0"/>
              <w:rPr>
                <w:sz w:val="20"/>
                <w:szCs w:val="20"/>
              </w:rPr>
            </w:pPr>
            <w:r w:rsidDel="00000000" w:rsidR="00000000" w:rsidRPr="00000000">
              <w:rPr>
                <w:sz w:val="20"/>
                <w:szCs w:val="20"/>
                <w:rtl w:val="0"/>
              </w:rPr>
              <w:t xml:space="preserve">Executive Vice President and Chief Financial Officer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8">
            <w:pPr>
              <w:spacing w:line="300" w:lineRule="auto"/>
              <w:ind w:left="100" w:firstLine="0"/>
              <w:rPr>
                <w:sz w:val="20"/>
                <w:szCs w:val="20"/>
              </w:rPr>
            </w:pPr>
            <w:r w:rsidDel="00000000" w:rsidR="00000000" w:rsidRPr="00000000">
              <w:rPr>
                <w:sz w:val="20"/>
                <w:szCs w:val="20"/>
                <w:rtl w:val="0"/>
              </w:rPr>
              <w:t xml:space="preserve">N/A</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9">
            <w:pPr>
              <w:spacing w:line="300" w:lineRule="auto"/>
              <w:ind w:left="100" w:firstLine="0"/>
              <w:rPr>
                <w:sz w:val="20"/>
                <w:szCs w:val="20"/>
              </w:rPr>
            </w:pPr>
            <w:r w:rsidDel="00000000" w:rsidR="00000000" w:rsidRPr="00000000">
              <w:rPr>
                <w:sz w:val="20"/>
                <w:szCs w:val="20"/>
                <w:rtl w:val="0"/>
              </w:rPr>
              <w:t xml:space="preserve">Ajay K. Puri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A">
            <w:pPr>
              <w:spacing w:line="300" w:lineRule="auto"/>
              <w:ind w:left="100" w:firstLine="0"/>
              <w:rPr>
                <w:sz w:val="20"/>
                <w:szCs w:val="20"/>
              </w:rPr>
            </w:pPr>
            <w:r w:rsidDel="00000000" w:rsidR="00000000" w:rsidRPr="00000000">
              <w:rPr>
                <w:sz w:val="20"/>
                <w:szCs w:val="20"/>
                <w:rtl w:val="0"/>
              </w:rPr>
              <w:t xml:space="preserve">Executive Vice President, Worldwide Field Operations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B">
            <w:pPr>
              <w:spacing w:line="300" w:lineRule="auto"/>
              <w:ind w:left="100" w:firstLine="0"/>
              <w:rPr>
                <w:sz w:val="20"/>
                <w:szCs w:val="20"/>
              </w:rPr>
            </w:pPr>
            <w:r w:rsidDel="00000000" w:rsidR="00000000" w:rsidRPr="00000000">
              <w:rPr>
                <w:sz w:val="20"/>
                <w:szCs w:val="20"/>
                <w:rtl w:val="0"/>
              </w:rPr>
              <w:t xml:space="preserve">N/A</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C">
            <w:pPr>
              <w:spacing w:line="300" w:lineRule="auto"/>
              <w:ind w:left="100" w:firstLine="0"/>
              <w:rPr>
                <w:sz w:val="20"/>
                <w:szCs w:val="20"/>
              </w:rPr>
            </w:pPr>
            <w:r w:rsidDel="00000000" w:rsidR="00000000" w:rsidRPr="00000000">
              <w:rPr>
                <w:sz w:val="20"/>
                <w:szCs w:val="20"/>
                <w:rtl w:val="0"/>
              </w:rPr>
              <w:t xml:space="preserve">Debora Shoquist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D">
            <w:pPr>
              <w:spacing w:line="300" w:lineRule="auto"/>
              <w:ind w:left="100" w:firstLine="0"/>
              <w:rPr>
                <w:sz w:val="20"/>
                <w:szCs w:val="20"/>
              </w:rPr>
            </w:pPr>
            <w:r w:rsidDel="00000000" w:rsidR="00000000" w:rsidRPr="00000000">
              <w:rPr>
                <w:sz w:val="20"/>
                <w:szCs w:val="20"/>
                <w:rtl w:val="0"/>
              </w:rPr>
              <w:t xml:space="preserve">Executive Vice President, Operations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E">
            <w:pPr>
              <w:spacing w:line="300" w:lineRule="auto"/>
              <w:ind w:left="100" w:firstLine="0"/>
              <w:rPr>
                <w:sz w:val="20"/>
                <w:szCs w:val="20"/>
              </w:rPr>
            </w:pPr>
            <w:r w:rsidDel="00000000" w:rsidR="00000000" w:rsidRPr="00000000">
              <w:rPr>
                <w:sz w:val="20"/>
                <w:szCs w:val="20"/>
                <w:rtl w:val="0"/>
              </w:rPr>
              <w:t xml:space="preserve">N/A</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6F">
            <w:pPr>
              <w:spacing w:line="300" w:lineRule="auto"/>
              <w:ind w:left="100" w:firstLine="0"/>
              <w:rPr>
                <w:sz w:val="20"/>
                <w:szCs w:val="20"/>
              </w:rPr>
            </w:pPr>
            <w:r w:rsidDel="00000000" w:rsidR="00000000" w:rsidRPr="00000000">
              <w:rPr>
                <w:sz w:val="20"/>
                <w:szCs w:val="20"/>
                <w:rtl w:val="0"/>
              </w:rPr>
              <w:t xml:space="preserve">Timothy S. Teter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70">
            <w:pPr>
              <w:spacing w:line="300" w:lineRule="auto"/>
              <w:ind w:left="100" w:firstLine="0"/>
              <w:rPr>
                <w:sz w:val="20"/>
                <w:szCs w:val="20"/>
              </w:rPr>
            </w:pPr>
            <w:r w:rsidDel="00000000" w:rsidR="00000000" w:rsidRPr="00000000">
              <w:rPr>
                <w:sz w:val="20"/>
                <w:szCs w:val="20"/>
                <w:rtl w:val="0"/>
              </w:rPr>
              <w:t xml:space="preserve">Executive Vice President and General Counsel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71">
            <w:pPr>
              <w:spacing w:line="300" w:lineRule="auto"/>
              <w:ind w:left="100" w:firstLine="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72">
      <w:pPr>
        <w:spacing w:after="180" w:before="180" w:lineRule="auto"/>
        <w:rPr>
          <w:sz w:val="20"/>
          <w:szCs w:val="20"/>
        </w:rPr>
      </w:pPr>
      <w:r w:rsidDel="00000000" w:rsidR="00000000" w:rsidRPr="00000000">
        <w:rPr>
          <w:rtl w:val="0"/>
        </w:rPr>
      </w:r>
    </w:p>
    <w:p w:rsidR="00000000" w:rsidDel="00000000" w:rsidP="00000000" w:rsidRDefault="00000000" w:rsidRPr="00000000" w14:paraId="00000173">
      <w:pPr>
        <w:spacing w:after="180" w:before="180" w:lineRule="auto"/>
        <w:rPr>
          <w:b w:val="1"/>
          <w:sz w:val="31"/>
          <w:szCs w:val="31"/>
        </w:rPr>
      </w:pPr>
      <w:r w:rsidDel="00000000" w:rsidR="00000000" w:rsidRPr="00000000">
        <w:rPr>
          <w:b w:val="1"/>
          <w:sz w:val="31"/>
          <w:szCs w:val="31"/>
          <w:rtl w:val="0"/>
        </w:rPr>
        <w:t xml:space="preserve">S5.2: Internal Controls</w:t>
      </w:r>
    </w:p>
    <w:tbl>
      <w:tblPr>
        <w:tblStyle w:val="Table14"/>
        <w:tblW w:w="92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4">
            <w:pPr>
              <w:ind w:left="120" w:firstLine="0"/>
              <w:rPr>
                <w:b w:val="1"/>
                <w:sz w:val="20"/>
                <w:szCs w:val="20"/>
              </w:rPr>
            </w:pPr>
            <w:r w:rsidDel="00000000" w:rsidR="00000000" w:rsidRPr="00000000">
              <w:rPr>
                <w:b w:val="1"/>
                <w:sz w:val="20"/>
                <w:szCs w:val="20"/>
                <w:rtl w:val="0"/>
              </w:rPr>
              <w:t xml:space="preserve">Perspective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5">
            <w:pPr>
              <w:ind w:left="120" w:firstLine="0"/>
              <w:rPr>
                <w:b w:val="1"/>
                <w:sz w:val="20"/>
                <w:szCs w:val="20"/>
              </w:rPr>
            </w:pPr>
            <w:r w:rsidDel="00000000" w:rsidR="00000000" w:rsidRPr="00000000">
              <w:rPr>
                <w:b w:val="1"/>
                <w:sz w:val="20"/>
                <w:szCs w:val="20"/>
                <w:rtl w:val="0"/>
              </w:rPr>
              <w:t xml:space="preserve">2024 Report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6">
            <w:pPr>
              <w:ind w:left="120" w:firstLine="0"/>
              <w:rPr>
                <w:b w:val="1"/>
                <w:sz w:val="20"/>
                <w:szCs w:val="20"/>
              </w:rPr>
            </w:pPr>
            <w:r w:rsidDel="00000000" w:rsidR="00000000" w:rsidRPr="00000000">
              <w:rPr>
                <w:b w:val="1"/>
                <w:sz w:val="20"/>
                <w:szCs w:val="20"/>
                <w:rtl w:val="0"/>
              </w:rPr>
              <w:t xml:space="preserve">2023 Report</w:t>
            </w:r>
          </w:p>
        </w:tc>
      </w:tr>
      <w:tr>
        <w:trPr>
          <w:cantSplit w:val="0"/>
          <w:trHeight w:val="141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7">
            <w:pPr>
              <w:ind w:left="120" w:firstLine="0"/>
              <w:rPr>
                <w:sz w:val="20"/>
                <w:szCs w:val="20"/>
              </w:rPr>
            </w:pPr>
            <w:r w:rsidDel="00000000" w:rsidR="00000000" w:rsidRPr="00000000">
              <w:rPr>
                <w:sz w:val="20"/>
                <w:szCs w:val="20"/>
                <w:rtl w:val="0"/>
              </w:rPr>
              <w:t xml:space="preserve">Risk assessment procedures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8">
            <w:pPr>
              <w:ind w:left="120" w:firstLine="0"/>
              <w:rPr>
                <w:sz w:val="20"/>
                <w:szCs w:val="20"/>
              </w:rPr>
            </w:pPr>
            <w:r w:rsidDel="00000000" w:rsidR="00000000" w:rsidRPr="00000000">
              <w:rPr>
                <w:sz w:val="20"/>
                <w:szCs w:val="20"/>
                <w:rtl w:val="0"/>
              </w:rPr>
              <w:t xml:space="preserve">The company conducts evaluations of its internal control over financial reporting based on the criteria set forth in the COSO framework.</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9">
            <w:pPr>
              <w:ind w:left="120" w:firstLine="0"/>
              <w:rPr>
                <w:sz w:val="20"/>
                <w:szCs w:val="20"/>
              </w:rPr>
            </w:pPr>
            <w:r w:rsidDel="00000000" w:rsidR="00000000" w:rsidRPr="00000000">
              <w:rPr>
                <w:sz w:val="20"/>
                <w:szCs w:val="20"/>
                <w:rtl w:val="0"/>
              </w:rPr>
              <w:t xml:space="preserve">The company assesses the risks of material misstatement of the consolidated financial statements, whether due to error or fraud, as part of its audit procedures.</w:t>
            </w:r>
          </w:p>
        </w:tc>
      </w:tr>
      <w:tr>
        <w:trPr>
          <w:cantSplit w:val="0"/>
          <w:trHeight w:val="126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A">
            <w:pPr>
              <w:ind w:left="120" w:firstLine="0"/>
              <w:rPr>
                <w:sz w:val="20"/>
                <w:szCs w:val="20"/>
              </w:rPr>
            </w:pPr>
            <w:r w:rsidDel="00000000" w:rsidR="00000000" w:rsidRPr="00000000">
              <w:rPr>
                <w:sz w:val="20"/>
                <w:szCs w:val="20"/>
                <w:rtl w:val="0"/>
              </w:rPr>
              <w:t xml:space="preserve">Control activities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B">
            <w:pPr>
              <w:ind w:left="120" w:firstLine="0"/>
              <w:rPr>
                <w:sz w:val="20"/>
                <w:szCs w:val="20"/>
              </w:rPr>
            </w:pPr>
            <w:r w:rsidDel="00000000" w:rsidR="00000000" w:rsidRPr="00000000">
              <w:rPr>
                <w:sz w:val="20"/>
                <w:szCs w:val="20"/>
                <w:rtl w:val="0"/>
              </w:rPr>
              <w:t xml:space="preserve">The company maintains effective internal control over financial reporting, as confirmed by an independent audit.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C">
            <w:pPr>
              <w:ind w:left="120" w:firstLine="0"/>
              <w:rPr>
                <w:sz w:val="20"/>
                <w:szCs w:val="20"/>
              </w:rPr>
            </w:pPr>
            <w:r w:rsidDel="00000000" w:rsidR="00000000" w:rsidRPr="00000000">
              <w:rPr>
                <w:sz w:val="20"/>
                <w:szCs w:val="20"/>
                <w:rtl w:val="0"/>
              </w:rPr>
              <w:t xml:space="preserve">The company has effective internal control over financial reporting, as confirmed by an independent audit.</w:t>
            </w:r>
          </w:p>
        </w:tc>
      </w:tr>
      <w:tr>
        <w:trPr>
          <w:cantSplit w:val="0"/>
          <w:trHeight w:val="136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D">
            <w:pPr>
              <w:ind w:left="120" w:firstLine="0"/>
              <w:rPr>
                <w:sz w:val="20"/>
                <w:szCs w:val="20"/>
              </w:rPr>
            </w:pPr>
            <w:r w:rsidDel="00000000" w:rsidR="00000000" w:rsidRPr="00000000">
              <w:rPr>
                <w:sz w:val="20"/>
                <w:szCs w:val="20"/>
                <w:rtl w:val="0"/>
              </w:rPr>
              <w:t xml:space="preserve">Monitoring mechanisms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E">
            <w:pPr>
              <w:ind w:left="120" w:firstLine="0"/>
              <w:rPr>
                <w:sz w:val="20"/>
                <w:szCs w:val="20"/>
              </w:rPr>
            </w:pPr>
            <w:r w:rsidDel="00000000" w:rsidR="00000000" w:rsidRPr="00000000">
              <w:rPr>
                <w:sz w:val="20"/>
                <w:szCs w:val="20"/>
                <w:rtl w:val="0"/>
              </w:rPr>
              <w:t xml:space="preserve">The effectiveness of internal control over financial reporting is audited by an independent registered public accounting firm.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7F">
            <w:pPr>
              <w:ind w:left="120" w:firstLine="0"/>
              <w:rPr>
                <w:sz w:val="20"/>
                <w:szCs w:val="20"/>
              </w:rPr>
            </w:pPr>
            <w:r w:rsidDel="00000000" w:rsidR="00000000" w:rsidRPr="00000000">
              <w:rPr>
                <w:sz w:val="20"/>
                <w:szCs w:val="20"/>
                <w:rtl w:val="0"/>
              </w:rPr>
              <w:t xml:space="preserve">The effectiveness of internal control over financial reporting is audited by an independent registered public accounting firm.</w:t>
            </w:r>
          </w:p>
        </w:tc>
      </w:tr>
      <w:tr>
        <w:trPr>
          <w:cantSplit w:val="0"/>
          <w:trHeight w:val="6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0">
            <w:pPr>
              <w:ind w:left="120" w:firstLine="0"/>
              <w:rPr>
                <w:sz w:val="20"/>
                <w:szCs w:val="20"/>
              </w:rPr>
            </w:pPr>
            <w:r w:rsidDel="00000000" w:rsidR="00000000" w:rsidRPr="00000000">
              <w:rPr>
                <w:sz w:val="20"/>
                <w:szCs w:val="20"/>
                <w:rtl w:val="0"/>
              </w:rPr>
              <w:t xml:space="preserve">Identified material weaknesses or deficiencies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1">
            <w:pPr>
              <w:ind w:left="120" w:firstLine="0"/>
              <w:rPr>
                <w:sz w:val="20"/>
                <w:szCs w:val="20"/>
              </w:rPr>
            </w:pPr>
            <w:r w:rsidDel="00000000" w:rsidR="00000000" w:rsidRPr="00000000">
              <w:rPr>
                <w:sz w:val="20"/>
                <w:szCs w:val="20"/>
                <w:rtl w:val="0"/>
              </w:rPr>
              <w:t xml:space="preserve">N/A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2">
            <w:pPr>
              <w:ind w:left="120" w:firstLine="0"/>
              <w:rPr>
                <w:sz w:val="20"/>
                <w:szCs w:val="20"/>
              </w:rPr>
            </w:pPr>
            <w:r w:rsidDel="00000000" w:rsidR="00000000" w:rsidRPr="00000000">
              <w:rPr>
                <w:sz w:val="20"/>
                <w:szCs w:val="20"/>
                <w:rtl w:val="0"/>
              </w:rPr>
              <w:t xml:space="preserve">N/A</w:t>
            </w:r>
          </w:p>
        </w:tc>
      </w:tr>
      <w:tr>
        <w:trPr>
          <w:cantSplit w:val="0"/>
          <w:trHeight w:val="46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3">
            <w:pPr>
              <w:ind w:left="120" w:firstLine="0"/>
              <w:rPr>
                <w:sz w:val="20"/>
                <w:szCs w:val="20"/>
              </w:rPr>
            </w:pPr>
            <w:r w:rsidDel="00000000" w:rsidR="00000000" w:rsidRPr="00000000">
              <w:rPr>
                <w:sz w:val="20"/>
                <w:szCs w:val="20"/>
                <w:rtl w:val="0"/>
              </w:rPr>
              <w:t xml:space="preserve">Effectiveness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4">
            <w:pPr>
              <w:ind w:left="120" w:firstLine="0"/>
              <w:rPr>
                <w:sz w:val="20"/>
                <w:szCs w:val="20"/>
              </w:rPr>
            </w:pPr>
            <w:r w:rsidDel="00000000" w:rsidR="00000000" w:rsidRPr="00000000">
              <w:rPr>
                <w:sz w:val="20"/>
                <w:szCs w:val="20"/>
                <w:rtl w:val="0"/>
              </w:rPr>
              <w:t xml:space="preserve">N/A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5">
            <w:pPr>
              <w:ind w:left="120" w:firstLine="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86">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87">
      <w:pPr>
        <w:rPr>
          <w:sz w:val="20"/>
          <w:szCs w:val="20"/>
        </w:rPr>
      </w:pPr>
      <w:r w:rsidDel="00000000" w:rsidR="00000000" w:rsidRPr="00000000">
        <w:rPr>
          <w:sz w:val="20"/>
          <w:szCs w:val="20"/>
          <w:rtl w:val="0"/>
        </w:rPr>
        <w:t xml:space="preserve">  </w:t>
      </w:r>
    </w:p>
    <w:p w:rsidR="00000000" w:rsidDel="00000000" w:rsidP="00000000" w:rsidRDefault="00000000" w:rsidRPr="00000000" w14:paraId="00000188">
      <w:pPr>
        <w:pStyle w:val="Heading1"/>
        <w:rPr>
          <w:b w:val="0"/>
        </w:rPr>
      </w:pPr>
      <w:r w:rsidDel="00000000" w:rsidR="00000000" w:rsidRPr="00000000">
        <w:rPr>
          <w:rtl w:val="0"/>
        </w:rPr>
        <w:t xml:space="preserve">Section 6: Future Outlook</w:t>
      </w:r>
      <w:r w:rsidDel="00000000" w:rsidR="00000000" w:rsidRPr="00000000">
        <w:rPr>
          <w:rtl w:val="0"/>
        </w:rPr>
      </w:r>
    </w:p>
    <w:p w:rsidR="00000000" w:rsidDel="00000000" w:rsidP="00000000" w:rsidRDefault="00000000" w:rsidRPr="00000000" w14:paraId="00000189">
      <w:pPr>
        <w:spacing w:after="180" w:before="180" w:lineRule="auto"/>
        <w:rPr>
          <w:b w:val="1"/>
          <w:sz w:val="31"/>
          <w:szCs w:val="31"/>
        </w:rPr>
      </w:pPr>
      <w:r w:rsidDel="00000000" w:rsidR="00000000" w:rsidRPr="00000000">
        <w:rPr>
          <w:b w:val="1"/>
          <w:sz w:val="31"/>
          <w:szCs w:val="31"/>
          <w:rtl w:val="0"/>
        </w:rPr>
        <w:t xml:space="preserve">S6.1: Strategic Direction</w:t>
      </w:r>
    </w:p>
    <w:tbl>
      <w:tblPr>
        <w:tblStyle w:val="Table15"/>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75"/>
        <w:gridCol w:w="3075"/>
        <w:tblGridChange w:id="0">
          <w:tblGrid>
            <w:gridCol w:w="3075"/>
            <w:gridCol w:w="3075"/>
            <w:gridCol w:w="3075"/>
          </w:tblGrid>
        </w:tblGridChange>
      </w:tblGrid>
      <w:tr>
        <w:trPr>
          <w:cantSplit w:val="0"/>
          <w:trHeight w:val="46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A">
            <w:pPr>
              <w:ind w:left="120" w:firstLine="0"/>
              <w:rPr>
                <w:b w:val="1"/>
                <w:sz w:val="20"/>
                <w:szCs w:val="20"/>
              </w:rPr>
            </w:pPr>
            <w:r w:rsidDel="00000000" w:rsidR="00000000" w:rsidRPr="00000000">
              <w:rPr>
                <w:b w:val="1"/>
                <w:sz w:val="20"/>
                <w:szCs w:val="20"/>
                <w:rtl w:val="0"/>
              </w:rPr>
              <w:t xml:space="preserve">Perspective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B">
            <w:pPr>
              <w:ind w:left="120" w:firstLine="0"/>
              <w:rPr>
                <w:b w:val="1"/>
                <w:sz w:val="20"/>
                <w:szCs w:val="20"/>
              </w:rPr>
            </w:pPr>
            <w:r w:rsidDel="00000000" w:rsidR="00000000" w:rsidRPr="00000000">
              <w:rPr>
                <w:b w:val="1"/>
                <w:sz w:val="20"/>
                <w:szCs w:val="20"/>
                <w:rtl w:val="0"/>
              </w:rPr>
              <w:t xml:space="preserve">2024 Report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C">
            <w:pPr>
              <w:ind w:left="120" w:firstLine="0"/>
              <w:rPr>
                <w:b w:val="1"/>
                <w:sz w:val="20"/>
                <w:szCs w:val="20"/>
              </w:rPr>
            </w:pPr>
            <w:r w:rsidDel="00000000" w:rsidR="00000000" w:rsidRPr="00000000">
              <w:rPr>
                <w:b w:val="1"/>
                <w:sz w:val="20"/>
                <w:szCs w:val="20"/>
                <w:rtl w:val="0"/>
              </w:rPr>
              <w:t xml:space="preserve">2023 Report</w:t>
            </w:r>
          </w:p>
        </w:tc>
      </w:tr>
      <w:tr>
        <w:trPr>
          <w:cantSplit w:val="0"/>
          <w:trHeight w:val="31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D">
            <w:pPr>
              <w:ind w:left="120" w:firstLine="0"/>
              <w:rPr>
                <w:sz w:val="20"/>
                <w:szCs w:val="20"/>
              </w:rPr>
            </w:pPr>
            <w:r w:rsidDel="00000000" w:rsidR="00000000" w:rsidRPr="00000000">
              <w:rPr>
                <w:sz w:val="20"/>
                <w:szCs w:val="20"/>
                <w:rtl w:val="0"/>
              </w:rPr>
              <w:t xml:space="preserve">Mergers and Acquisition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E">
            <w:pPr>
              <w:ind w:left="120" w:firstLine="0"/>
              <w:rPr>
                <w:sz w:val="20"/>
                <w:szCs w:val="20"/>
              </w:rPr>
            </w:pPr>
            <w:r w:rsidDel="00000000" w:rsidR="00000000" w:rsidRPr="00000000">
              <w:rPr>
                <w:sz w:val="20"/>
                <w:szCs w:val="20"/>
                <w:rtl w:val="0"/>
              </w:rPr>
              <w:t xml:space="preserve">Nvidia continues to pursue acquisitions and investments to expand or enhance its strategic objectives. However, these activities involve significant challenges and risks, such as integration difficulties and regulatory hurdles, which could impact financial results.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8F">
            <w:pPr>
              <w:ind w:left="120" w:firstLine="0"/>
              <w:rPr>
                <w:sz w:val="20"/>
                <w:szCs w:val="20"/>
              </w:rPr>
            </w:pPr>
            <w:r w:rsidDel="00000000" w:rsidR="00000000" w:rsidRPr="00000000">
              <w:rPr>
                <w:sz w:val="20"/>
                <w:szCs w:val="20"/>
                <w:rtl w:val="0"/>
              </w:rPr>
              <w:t xml:space="preserve">Nvidia has faced challenges in completing acquisitions due to regulatory hurdles, as seen in the termination of the Arm acquisition. The company continues to pursue acquisitions to enhance strategic objectives but faces risks such as integration difficulties and regulatory challenges.</w:t>
            </w:r>
          </w:p>
        </w:tc>
      </w:tr>
      <w:tr>
        <w:trPr>
          <w:cantSplit w:val="0"/>
          <w:trHeight w:val="32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0">
            <w:pPr>
              <w:ind w:left="120" w:firstLine="0"/>
              <w:rPr>
                <w:sz w:val="20"/>
                <w:szCs w:val="20"/>
              </w:rPr>
            </w:pPr>
            <w:r w:rsidDel="00000000" w:rsidR="00000000" w:rsidRPr="00000000">
              <w:rPr>
                <w:sz w:val="20"/>
                <w:szCs w:val="20"/>
                <w:rtl w:val="0"/>
              </w:rPr>
              <w:t xml:space="preserve">New technologies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1">
            <w:pPr>
              <w:ind w:left="120" w:firstLine="0"/>
              <w:rPr>
                <w:sz w:val="20"/>
                <w:szCs w:val="20"/>
              </w:rPr>
            </w:pPr>
            <w:r w:rsidDel="00000000" w:rsidR="00000000" w:rsidRPr="00000000">
              <w:rPr>
                <w:sz w:val="20"/>
                <w:szCs w:val="20"/>
                <w:rtl w:val="0"/>
              </w:rPr>
              <w:t xml:space="preserve">Nvidia is focused on developing and acquiring new products and technologies through investments in research and development. The company is launching new offerings with new business models, including software, services, and cloud solutions, to meet evolving customer and industry expectations.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2">
            <w:pPr>
              <w:ind w:left="120" w:firstLine="0"/>
              <w:rPr>
                <w:sz w:val="20"/>
                <w:szCs w:val="20"/>
              </w:rPr>
            </w:pPr>
            <w:r w:rsidDel="00000000" w:rsidR="00000000" w:rsidRPr="00000000">
              <w:rPr>
                <w:sz w:val="20"/>
                <w:szCs w:val="20"/>
                <w:rtl w:val="0"/>
              </w:rPr>
              <w:t xml:space="preserve">Nvidia is investing in research and development to develop new products and technologies. The company is launching new offerings with new business models, including standalone software and cloud solutions, to meet evolving market needs.</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3">
            <w:pPr>
              <w:ind w:left="120" w:firstLine="0"/>
              <w:rPr>
                <w:sz w:val="20"/>
                <w:szCs w:val="20"/>
              </w:rPr>
            </w:pPr>
            <w:r w:rsidDel="00000000" w:rsidR="00000000" w:rsidRPr="00000000">
              <w:rPr>
                <w:sz w:val="20"/>
                <w:szCs w:val="20"/>
                <w:rtl w:val="0"/>
              </w:rPr>
              <w:t xml:space="preserve">Organisational Restructuring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4">
            <w:pPr>
              <w:ind w:left="120" w:firstLine="0"/>
              <w:rPr>
                <w:sz w:val="20"/>
                <w:szCs w:val="20"/>
              </w:rPr>
            </w:pPr>
            <w:r w:rsidDel="00000000" w:rsidR="00000000" w:rsidRPr="00000000">
              <w:rPr>
                <w:sz w:val="20"/>
                <w:szCs w:val="20"/>
                <w:rtl w:val="0"/>
              </w:rPr>
              <w:t xml:space="preserve">N/A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5">
            <w:pPr>
              <w:ind w:left="120" w:firstLine="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96">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97">
      <w:pPr>
        <w:spacing w:after="180" w:before="180" w:lineRule="auto"/>
        <w:rPr>
          <w:b w:val="1"/>
          <w:sz w:val="31"/>
          <w:szCs w:val="31"/>
        </w:rPr>
      </w:pPr>
      <w:r w:rsidDel="00000000" w:rsidR="00000000" w:rsidRPr="00000000">
        <w:rPr>
          <w:b w:val="1"/>
          <w:sz w:val="31"/>
          <w:szCs w:val="31"/>
          <w:rtl w:val="0"/>
        </w:rPr>
        <w:t xml:space="preserve">S6.2: Challenges and Uncertainties</w:t>
      </w:r>
    </w:p>
    <w:tbl>
      <w:tblPr>
        <w:tblStyle w:val="Table16"/>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060"/>
        <w:gridCol w:w="3120"/>
        <w:tblGridChange w:id="0">
          <w:tblGrid>
            <w:gridCol w:w="3090"/>
            <w:gridCol w:w="3060"/>
            <w:gridCol w:w="3120"/>
          </w:tblGrid>
        </w:tblGridChange>
      </w:tblGrid>
      <w:tr>
        <w:trPr>
          <w:cantSplit w:val="0"/>
          <w:trHeight w:val="5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8">
            <w:pPr>
              <w:ind w:left="120" w:firstLine="0"/>
              <w:rPr>
                <w:b w:val="1"/>
                <w:sz w:val="20"/>
                <w:szCs w:val="20"/>
              </w:rPr>
            </w:pPr>
            <w:r w:rsidDel="00000000" w:rsidR="00000000" w:rsidRPr="00000000">
              <w:rPr>
                <w:b w:val="1"/>
                <w:sz w:val="20"/>
                <w:szCs w:val="20"/>
                <w:rtl w:val="0"/>
              </w:rPr>
              <w:t xml:space="preserve">Perspective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9">
            <w:pPr>
              <w:ind w:left="120" w:firstLine="0"/>
              <w:rPr>
                <w:b w:val="1"/>
                <w:sz w:val="20"/>
                <w:szCs w:val="20"/>
              </w:rPr>
            </w:pPr>
            <w:r w:rsidDel="00000000" w:rsidR="00000000" w:rsidRPr="00000000">
              <w:rPr>
                <w:b w:val="1"/>
                <w:sz w:val="20"/>
                <w:szCs w:val="20"/>
                <w:rtl w:val="0"/>
              </w:rPr>
              <w:t xml:space="preserve">2024 Report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A">
            <w:pPr>
              <w:ind w:left="120" w:firstLine="0"/>
              <w:rPr>
                <w:b w:val="1"/>
                <w:sz w:val="20"/>
                <w:szCs w:val="20"/>
              </w:rPr>
            </w:pPr>
            <w:r w:rsidDel="00000000" w:rsidR="00000000" w:rsidRPr="00000000">
              <w:rPr>
                <w:b w:val="1"/>
                <w:sz w:val="20"/>
                <w:szCs w:val="20"/>
                <w:rtl w:val="0"/>
              </w:rPr>
              <w:t xml:space="preserve">2023 Report</w:t>
            </w:r>
          </w:p>
        </w:tc>
      </w:tr>
      <w:tr>
        <w:trPr>
          <w:cantSplit w:val="0"/>
          <w:trHeight w:val="32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B">
            <w:pPr>
              <w:ind w:left="120" w:firstLine="0"/>
              <w:rPr>
                <w:sz w:val="20"/>
                <w:szCs w:val="20"/>
              </w:rPr>
            </w:pPr>
            <w:r w:rsidDel="00000000" w:rsidR="00000000" w:rsidRPr="00000000">
              <w:rPr>
                <w:sz w:val="20"/>
                <w:szCs w:val="20"/>
                <w:rtl w:val="0"/>
              </w:rPr>
              <w:t xml:space="preserve">Economic challenges such as inflation, recession risks, and shifting consumer behavior that could impact revenue and profitability.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C">
            <w:pPr>
              <w:ind w:left="120" w:firstLine="0"/>
              <w:rPr>
                <w:sz w:val="20"/>
                <w:szCs w:val="20"/>
              </w:rPr>
            </w:pPr>
            <w:r w:rsidDel="00000000" w:rsidR="00000000" w:rsidRPr="00000000">
              <w:rPr>
                <w:sz w:val="20"/>
                <w:szCs w:val="20"/>
                <w:rtl w:val="0"/>
              </w:rPr>
              <w:t xml:space="preserve">The report highlights that economic and industry uncertainty, including inflation, recession risks, and changes in consumer behavior, could adversely affect the company's business and financial results. These factors could lead to increased costs, decreased demand, and challenges in forecasting operating results.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D">
            <w:pPr>
              <w:ind w:left="120" w:firstLine="0"/>
              <w:rPr>
                <w:sz w:val="20"/>
                <w:szCs w:val="20"/>
              </w:rPr>
            </w:pPr>
            <w:r w:rsidDel="00000000" w:rsidR="00000000" w:rsidRPr="00000000">
              <w:rPr>
                <w:sz w:val="20"/>
                <w:szCs w:val="20"/>
                <w:rtl w:val="0"/>
              </w:rPr>
              <w:t xml:space="preserve">The report discusses how economic and industry uncertainty, including inflation and recession risks, could negatively impact the company's business and financial results. It mentions increased costs, decreased demand, and challenges in forecasting operating results as potential impacts.</w:t>
            </w:r>
          </w:p>
        </w:tc>
      </w:tr>
      <w:tr>
        <w:trPr>
          <w:cantSplit w:val="0"/>
          <w:trHeight w:val="28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E">
            <w:pPr>
              <w:ind w:left="120" w:firstLine="0"/>
              <w:rPr>
                <w:sz w:val="20"/>
                <w:szCs w:val="20"/>
              </w:rPr>
            </w:pPr>
            <w:r w:rsidDel="00000000" w:rsidR="00000000" w:rsidRPr="00000000">
              <w:rPr>
                <w:sz w:val="20"/>
                <w:szCs w:val="20"/>
                <w:rtl w:val="0"/>
              </w:rPr>
              <w:t xml:space="preserve">Competitive pressures from both established industry players and new, disruptive market entrants that the company faces.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9F">
            <w:pPr>
              <w:ind w:left="120" w:firstLine="0"/>
              <w:rPr>
                <w:sz w:val="20"/>
                <w:szCs w:val="20"/>
              </w:rPr>
            </w:pPr>
            <w:r w:rsidDel="00000000" w:rsidR="00000000" w:rsidRPr="00000000">
              <w:rPr>
                <w:sz w:val="20"/>
                <w:szCs w:val="20"/>
                <w:rtl w:val="0"/>
              </w:rPr>
              <w:t xml:space="preserve">The report notes that the market for NVIDIA's products is intensely competitive, with rapid technological changes and evolving industry standards. It highlights competition from both existing competitors and new market entrants, which could impact NVIDIA's market share and financial results.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0">
            <w:pPr>
              <w:ind w:left="120" w:firstLine="0"/>
              <w:rPr>
                <w:sz w:val="20"/>
                <w:szCs w:val="20"/>
              </w:rPr>
            </w:pPr>
            <w:r w:rsidDel="00000000" w:rsidR="00000000" w:rsidRPr="00000000">
              <w:rPr>
                <w:sz w:val="20"/>
                <w:szCs w:val="20"/>
                <w:rtl w:val="0"/>
              </w:rPr>
              <w:t xml:space="preserve">The report emphasizes the competitive pressures NVIDIA faces from both established industry players and new entrants. It mentions the need to anticipate customer demands and deliver products at competitive prices to maintain market share.</w:t>
            </w:r>
          </w:p>
        </w:tc>
      </w:tr>
    </w:tbl>
    <w:p w:rsidR="00000000" w:rsidDel="00000000" w:rsidP="00000000" w:rsidRDefault="00000000" w:rsidRPr="00000000" w14:paraId="000001A1">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A2">
      <w:pPr>
        <w:spacing w:after="180" w:before="180" w:lineRule="auto"/>
        <w:rPr>
          <w:b w:val="1"/>
          <w:sz w:val="31"/>
          <w:szCs w:val="31"/>
        </w:rPr>
      </w:pPr>
      <w:r w:rsidDel="00000000" w:rsidR="00000000" w:rsidRPr="00000000">
        <w:rPr>
          <w:b w:val="1"/>
          <w:sz w:val="31"/>
          <w:szCs w:val="31"/>
          <w:rtl w:val="0"/>
        </w:rPr>
        <w:t xml:space="preserve">S6.3: Innovation and Development Plans</w:t>
      </w:r>
    </w:p>
    <w:tbl>
      <w:tblPr>
        <w:tblStyle w:val="Table17"/>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10"/>
        <w:gridCol w:w="2910"/>
        <w:tblGridChange w:id="0">
          <w:tblGrid>
            <w:gridCol w:w="2910"/>
            <w:gridCol w:w="2910"/>
            <w:gridCol w:w="2910"/>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3">
            <w:pPr>
              <w:ind w:left="120" w:firstLine="0"/>
              <w:rPr>
                <w:b w:val="1"/>
                <w:sz w:val="20"/>
                <w:szCs w:val="20"/>
              </w:rPr>
            </w:pPr>
            <w:r w:rsidDel="00000000" w:rsidR="00000000" w:rsidRPr="00000000">
              <w:rPr>
                <w:b w:val="1"/>
                <w:sz w:val="20"/>
                <w:szCs w:val="20"/>
                <w:rtl w:val="0"/>
              </w:rPr>
              <w:t xml:space="preserve">Perspective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4">
            <w:pPr>
              <w:ind w:left="120" w:firstLine="0"/>
              <w:rPr>
                <w:b w:val="1"/>
                <w:sz w:val="20"/>
                <w:szCs w:val="20"/>
              </w:rPr>
            </w:pPr>
            <w:r w:rsidDel="00000000" w:rsidR="00000000" w:rsidRPr="00000000">
              <w:rPr>
                <w:b w:val="1"/>
                <w:sz w:val="20"/>
                <w:szCs w:val="20"/>
                <w:rtl w:val="0"/>
              </w:rPr>
              <w:t xml:space="preserve">2024 Report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5">
            <w:pPr>
              <w:ind w:left="120" w:firstLine="0"/>
              <w:rPr>
                <w:b w:val="1"/>
                <w:sz w:val="20"/>
                <w:szCs w:val="20"/>
              </w:rPr>
            </w:pPr>
            <w:r w:rsidDel="00000000" w:rsidR="00000000" w:rsidRPr="00000000">
              <w:rPr>
                <w:b w:val="1"/>
                <w:sz w:val="20"/>
                <w:szCs w:val="20"/>
                <w:rtl w:val="0"/>
              </w:rPr>
              <w:t xml:space="preserve">2023 Report</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6">
            <w:pPr>
              <w:ind w:left="120" w:firstLine="0"/>
              <w:rPr>
                <w:sz w:val="20"/>
                <w:szCs w:val="20"/>
              </w:rPr>
            </w:pPr>
            <w:r w:rsidDel="00000000" w:rsidR="00000000" w:rsidRPr="00000000">
              <w:rPr>
                <w:sz w:val="20"/>
                <w:szCs w:val="20"/>
                <w:rtl w:val="0"/>
              </w:rPr>
              <w:t xml:space="preserve">R&amp;D investments, with a focus on advancing technology, improving products, and creating new solutions to cater to market trends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7">
            <w:pPr>
              <w:ind w:left="120" w:firstLine="0"/>
              <w:rPr>
                <w:sz w:val="20"/>
                <w:szCs w:val="20"/>
              </w:rPr>
            </w:pPr>
            <w:r w:rsidDel="00000000" w:rsidR="00000000" w:rsidRPr="00000000">
              <w:rPr>
                <w:sz w:val="20"/>
                <w:szCs w:val="20"/>
                <w:rtl w:val="0"/>
              </w:rPr>
              <w:t xml:space="preserve">Nvidia continues to invest in R&amp;D to advance its technology and improve products, focusing on AI, accelerated computing, and new solutions like the Omniverse platform. The company aims to address market trends by leveraging its GPU architecture and expanding into new computational fields.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8">
            <w:pPr>
              <w:ind w:left="120" w:firstLine="0"/>
              <w:rPr>
                <w:sz w:val="20"/>
                <w:szCs w:val="20"/>
              </w:rPr>
            </w:pPr>
            <w:r w:rsidDel="00000000" w:rsidR="00000000" w:rsidRPr="00000000">
              <w:rPr>
                <w:sz w:val="20"/>
                <w:szCs w:val="20"/>
                <w:rtl w:val="0"/>
              </w:rPr>
              <w:t xml:space="preserve">Nvidia emphasizes its commitment to R&amp;D investments to drive innovation in AI, accelerated computing, and other computationally intensive fields. The company focuses on leveraging its GPU architecture to create platforms for various applications, including AI and scientific computing.</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9">
            <w:pPr>
              <w:ind w:left="120" w:firstLine="0"/>
              <w:rPr>
                <w:sz w:val="20"/>
                <w:szCs w:val="20"/>
              </w:rPr>
            </w:pPr>
            <w:r w:rsidDel="00000000" w:rsidR="00000000" w:rsidRPr="00000000">
              <w:rPr>
                <w:sz w:val="20"/>
                <w:szCs w:val="20"/>
                <w:rtl w:val="0"/>
              </w:rPr>
              <w:t xml:space="preserve">New product launches, emphasizing the company’s commitment to continuously introducing differentiated products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A">
            <w:pPr>
              <w:ind w:left="120" w:firstLine="0"/>
              <w:rPr>
                <w:sz w:val="20"/>
                <w:szCs w:val="20"/>
              </w:rPr>
            </w:pPr>
            <w:r w:rsidDel="00000000" w:rsidR="00000000" w:rsidRPr="00000000">
              <w:rPr>
                <w:sz w:val="20"/>
                <w:szCs w:val="20"/>
                <w:rtl w:val="0"/>
              </w:rPr>
              <w:t xml:space="preserve">Nvidia is committed to launching new products, such as the NVIDIA DGX Cloud and new AI solutions, to maintain its competitive edge. The company focuses on differentiated offerings in AI, gaming, and professional visualization to meet evolving market demands.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1AB">
            <w:pPr>
              <w:ind w:left="120" w:firstLine="0"/>
              <w:rPr>
                <w:sz w:val="20"/>
                <w:szCs w:val="20"/>
              </w:rPr>
            </w:pPr>
            <w:r w:rsidDel="00000000" w:rsidR="00000000" w:rsidRPr="00000000">
              <w:rPr>
                <w:sz w:val="20"/>
                <w:szCs w:val="20"/>
                <w:rtl w:val="0"/>
              </w:rPr>
              <w:t xml:space="preserve">Nvidia continues to introduce new products, including the GeForce RTX 40 Series and advancements in AI and gaming technologies. The company aims to differentiate its offerings by leveraging its GPU architecture and software innovations.</w:t>
            </w:r>
          </w:p>
        </w:tc>
      </w:tr>
    </w:tbl>
    <w:p w:rsidR="00000000" w:rsidDel="00000000" w:rsidP="00000000" w:rsidRDefault="00000000" w:rsidRPr="00000000" w14:paraId="000001AC">
      <w:pPr>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1AD">
      <w:pPr>
        <w:rP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60" w:before="160" w:lineRule="auto"/>
    </w:pPr>
    <w:rPr>
      <w:b w:val="1"/>
      <w:sz w:val="42"/>
      <w:szCs w:val="4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q6+xUtD5BFzQJXvvC+e+6Gyb0g==">CgMxLjAyDmguNW4wemN5dGFzc2JtOAByITFkMTItdjRFWEIxUDBKOEZpOWJQb0NPQ3NVRnVaeDhvVA==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2025-08-15T11:20:00Z</dcterms:created>
</cp:coreProperties>
</file>