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1" w:before="161" w:lineRule="auto"/>
        <w:ind w:left="0" w:firstLine="0"/>
        <w:jc w:val="left"/>
        <w:rPr/>
      </w:pPr>
      <w:r w:rsidDel="00000000" w:rsidR="00000000" w:rsidRPr="00000000">
        <w:rPr>
          <w:b w:val="1"/>
          <w:i w:val="0"/>
          <w:color w:val="000000"/>
          <w:sz w:val="44"/>
          <w:szCs w:val="44"/>
          <w:rtl w:val="0"/>
        </w:rPr>
        <w:t xml:space="preserve">Section 1: Company Overview</w:t>
      </w:r>
      <w:r w:rsidDel="00000000" w:rsidR="00000000" w:rsidRPr="00000000">
        <w:rPr>
          <w:rtl w:val="0"/>
        </w:rPr>
      </w:r>
    </w:p>
    <w:p w:rsidR="00000000" w:rsidDel="00000000" w:rsidP="00000000" w:rsidRDefault="00000000" w:rsidRPr="00000000" w14:paraId="00000002">
      <w:pPr>
        <w:spacing w:after="180" w:before="180" w:lineRule="auto"/>
        <w:ind w:left="0" w:firstLine="0"/>
        <w:jc w:val="left"/>
        <w:rPr/>
      </w:pPr>
      <w:r w:rsidDel="00000000" w:rsidR="00000000" w:rsidRPr="00000000">
        <w:rPr>
          <w:b w:val="1"/>
          <w:i w:val="0"/>
          <w:color w:val="000000"/>
          <w:sz w:val="33"/>
          <w:szCs w:val="33"/>
          <w:rtl w:val="0"/>
        </w:rPr>
        <w:t xml:space="preserve">S1.1: Basic Information</w:t>
      </w:r>
      <w:r w:rsidDel="00000000" w:rsidR="00000000" w:rsidRPr="00000000">
        <w:rPr>
          <w:rtl w:val="0"/>
        </w:rPr>
      </w:r>
    </w:p>
    <w:tbl>
      <w:tblPr>
        <w:tblStyle w:val="Table1"/>
        <w:tblW w:w="7815.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700"/>
        <w:gridCol w:w="5115"/>
        <w:tblGridChange w:id="0">
          <w:tblGrid>
            <w:gridCol w:w="2700"/>
            <w:gridCol w:w="51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3">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4">
            <w:pPr>
              <w:spacing w:after="0" w:before="0" w:lineRule="auto"/>
              <w:ind w:left="0" w:firstLine="0"/>
              <w:jc w:val="left"/>
              <w:rPr/>
            </w:pPr>
            <w:r w:rsidDel="00000000" w:rsidR="00000000" w:rsidRPr="00000000">
              <w:rPr>
                <w:b w:val="1"/>
                <w:i w:val="0"/>
                <w:color w:val="000000"/>
                <w:sz w:val="22"/>
                <w:szCs w:val="22"/>
                <w:rtl w:val="0"/>
              </w:rPr>
              <w:t xml:space="preserve">Value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5">
            <w:pPr>
              <w:spacing w:after="0" w:before="0" w:lineRule="auto"/>
              <w:ind w:left="0" w:firstLine="0"/>
              <w:jc w:val="left"/>
              <w:rPr/>
            </w:pPr>
            <w:r w:rsidDel="00000000" w:rsidR="00000000" w:rsidRPr="00000000">
              <w:rPr>
                <w:b w:val="0"/>
                <w:i w:val="0"/>
                <w:color w:val="000000"/>
                <w:sz w:val="22"/>
                <w:szCs w:val="22"/>
                <w:rtl w:val="0"/>
              </w:rPr>
              <w:t xml:space="preserve">Company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6">
            <w:pPr>
              <w:spacing w:after="0" w:before="0" w:lineRule="auto"/>
              <w:ind w:left="0" w:firstLine="0"/>
              <w:jc w:val="left"/>
              <w:rPr/>
            </w:pPr>
            <w:sdt>
              <w:sdtPr>
                <w:id w:val="1563817070"/>
                <w:tag w:val="goog_rdk_0"/>
              </w:sdtPr>
              <w:sdtContent>
                <w:r w:rsidDel="00000000" w:rsidR="00000000" w:rsidRPr="00000000">
                  <w:rPr>
                    <w:rFonts w:ascii="Gungsuh" w:cs="Gungsuh" w:eastAsia="Gungsuh" w:hAnsi="Gungsuh"/>
                    <w:b w:val="0"/>
                    <w:i w:val="0"/>
                    <w:color w:val="000000"/>
                    <w:sz w:val="22"/>
                    <w:szCs w:val="22"/>
                    <w:rtl w:val="0"/>
                  </w:rPr>
                  <w:t xml:space="preserve">宁德时代新能源科技股份有限公司</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7">
            <w:pPr>
              <w:spacing w:after="0" w:before="0" w:lineRule="auto"/>
              <w:ind w:left="0" w:firstLine="0"/>
              <w:jc w:val="left"/>
              <w:rPr/>
            </w:pPr>
            <w:r w:rsidDel="00000000" w:rsidR="00000000" w:rsidRPr="00000000">
              <w:rPr>
                <w:b w:val="0"/>
                <w:i w:val="0"/>
                <w:color w:val="000000"/>
                <w:sz w:val="22"/>
                <w:szCs w:val="22"/>
                <w:rtl w:val="0"/>
              </w:rPr>
              <w:t xml:space="preserve">Establishment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8">
            <w:pPr>
              <w:spacing w:after="0" w:before="0" w:lineRule="auto"/>
              <w:ind w:left="0" w:firstLine="0"/>
              <w:jc w:val="left"/>
              <w:rPr/>
            </w:pPr>
            <w:sdt>
              <w:sdtPr>
                <w:id w:val="-1191546888"/>
                <w:tag w:val="goog_rdk_1"/>
              </w:sdtPr>
              <w:sdtContent>
                <w:r w:rsidDel="00000000" w:rsidR="00000000" w:rsidRPr="00000000">
                  <w:rPr>
                    <w:rFonts w:ascii="Gungsuh" w:cs="Gungsuh" w:eastAsia="Gungsuh" w:hAnsi="Gungsuh"/>
                    <w:b w:val="0"/>
                    <w:i w:val="0"/>
                    <w:color w:val="000000"/>
                    <w:sz w:val="22"/>
                    <w:szCs w:val="22"/>
                    <w:rtl w:val="0"/>
                  </w:rPr>
                  <w:t xml:space="preserve">2011年</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9">
            <w:pPr>
              <w:spacing w:after="0" w:before="0" w:lineRule="auto"/>
              <w:ind w:left="0" w:firstLine="0"/>
              <w:jc w:val="left"/>
              <w:rPr/>
            </w:pPr>
            <w:r w:rsidDel="00000000" w:rsidR="00000000" w:rsidRPr="00000000">
              <w:rPr>
                <w:b w:val="0"/>
                <w:i w:val="0"/>
                <w:color w:val="000000"/>
                <w:sz w:val="22"/>
                <w:szCs w:val="22"/>
                <w:rtl w:val="0"/>
              </w:rPr>
              <w:t xml:space="preserve">Headquarters Location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A">
            <w:pPr>
              <w:spacing w:after="0" w:before="0" w:lineRule="auto"/>
              <w:ind w:left="0" w:firstLine="0"/>
              <w:jc w:val="left"/>
              <w:rPr/>
            </w:pPr>
            <w:sdt>
              <w:sdtPr>
                <w:id w:val="-1951514654"/>
                <w:tag w:val="goog_rdk_2"/>
              </w:sdtPr>
              <w:sdtContent>
                <w:r w:rsidDel="00000000" w:rsidR="00000000" w:rsidRPr="00000000">
                  <w:rPr>
                    <w:rFonts w:ascii="Gungsuh" w:cs="Gungsuh" w:eastAsia="Gungsuh" w:hAnsi="Gungsuh"/>
                    <w:b w:val="0"/>
                    <w:i w:val="0"/>
                    <w:color w:val="000000"/>
                    <w:sz w:val="22"/>
                    <w:szCs w:val="22"/>
                    <w:rtl w:val="0"/>
                  </w:rPr>
                  <w:t xml:space="preserve">中国福建省宁德市</w:t>
                </w:r>
              </w:sdtContent>
            </w:sdt>
            <w:r w:rsidDel="00000000" w:rsidR="00000000" w:rsidRPr="00000000">
              <w:rPr>
                <w:rtl w:val="0"/>
              </w:rPr>
            </w:r>
          </w:p>
        </w:tc>
      </w:tr>
    </w:tbl>
    <w:p w:rsidR="00000000" w:rsidDel="00000000" w:rsidP="00000000" w:rsidRDefault="00000000" w:rsidRPr="00000000" w14:paraId="0000000B">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0C">
      <w:pPr>
        <w:spacing w:after="180" w:before="180" w:lineRule="auto"/>
        <w:ind w:left="0" w:firstLine="0"/>
        <w:jc w:val="left"/>
        <w:rPr/>
      </w:pPr>
      <w:r w:rsidDel="00000000" w:rsidR="00000000" w:rsidRPr="00000000">
        <w:rPr>
          <w:b w:val="1"/>
          <w:i w:val="0"/>
          <w:color w:val="000000"/>
          <w:sz w:val="33"/>
          <w:szCs w:val="33"/>
          <w:rtl w:val="0"/>
        </w:rPr>
        <w:t xml:space="preserve">S1.2 : Core Competencies</w:t>
      </w:r>
      <w:r w:rsidDel="00000000" w:rsidR="00000000" w:rsidRPr="00000000">
        <w:rPr>
          <w:rtl w:val="0"/>
        </w:rPr>
      </w:r>
    </w:p>
    <w:tbl>
      <w:tblPr>
        <w:tblStyle w:val="Table2"/>
        <w:tblW w:w="10265.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625"/>
        <w:gridCol w:w="4320"/>
        <w:gridCol w:w="4320"/>
        <w:tblGridChange w:id="0">
          <w:tblGrid>
            <w:gridCol w:w="1625"/>
            <w:gridCol w:w="4320"/>
            <w:gridCol w:w="43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D">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E">
            <w:pPr>
              <w:spacing w:after="0" w:before="0" w:lineRule="auto"/>
              <w:ind w:left="0" w:firstLine="0"/>
              <w:jc w:val="left"/>
              <w:rPr/>
            </w:pPr>
            <w:sdt>
              <w:sdtPr>
                <w:id w:val="-1173450550"/>
                <w:tag w:val="goog_rdk_3"/>
              </w:sdtPr>
              <w:sdtContent>
                <w:r w:rsidDel="00000000" w:rsidR="00000000" w:rsidRPr="00000000">
                  <w:rPr>
                    <w:rFonts w:ascii="Gungsuh" w:cs="Gungsuh" w:eastAsia="Gungsuh" w:hAnsi="Gungsuh"/>
                    <w:b w:val="1"/>
                    <w:i w:val="0"/>
                    <w:color w:val="000000"/>
                    <w:sz w:val="22"/>
                    <w:szCs w:val="22"/>
                    <w:rtl w:val="0"/>
                  </w:rPr>
                  <w:t xml:space="preserve">宁德时代新能源科技股份有限公司2024年年度报告</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F">
            <w:pPr>
              <w:spacing w:after="0" w:before="0" w:lineRule="auto"/>
              <w:ind w:left="0" w:firstLine="0"/>
              <w:jc w:val="left"/>
              <w:rPr/>
            </w:pPr>
            <w:sdt>
              <w:sdtPr>
                <w:id w:val="-2046335036"/>
                <w:tag w:val="goog_rdk_4"/>
              </w:sdtPr>
              <w:sdtContent>
                <w:r w:rsidDel="00000000" w:rsidR="00000000" w:rsidRPr="00000000">
                  <w:rPr>
                    <w:rFonts w:ascii="Gungsuh" w:cs="Gungsuh" w:eastAsia="Gungsuh" w:hAnsi="Gungsuh"/>
                    <w:b w:val="1"/>
                    <w:i w:val="0"/>
                    <w:color w:val="000000"/>
                    <w:sz w:val="22"/>
                    <w:szCs w:val="22"/>
                    <w:rtl w:val="0"/>
                  </w:rPr>
                  <w:t xml:space="preserve">宁德时代新能源科技股份有限公司2023年年度报告</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0">
            <w:pPr>
              <w:spacing w:after="0" w:before="0" w:lineRule="auto"/>
              <w:ind w:left="0" w:firstLine="0"/>
              <w:jc w:val="left"/>
              <w:rPr/>
            </w:pPr>
            <w:r w:rsidDel="00000000" w:rsidR="00000000" w:rsidRPr="00000000">
              <w:rPr>
                <w:b w:val="0"/>
                <w:i w:val="0"/>
                <w:color w:val="000000"/>
                <w:sz w:val="22"/>
                <w:szCs w:val="22"/>
                <w:rtl w:val="0"/>
              </w:rPr>
              <w:t xml:space="preserve">Innovation Advantages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1">
            <w:pPr>
              <w:spacing w:after="0" w:before="0" w:lineRule="auto"/>
              <w:ind w:left="0" w:firstLine="0"/>
              <w:jc w:val="left"/>
              <w:rPr/>
            </w:pPr>
            <w:sdt>
              <w:sdtPr>
                <w:id w:val="1001209103"/>
                <w:tag w:val="goog_rdk_5"/>
              </w:sdtPr>
              <w:sdtContent>
                <w:r w:rsidDel="00000000" w:rsidR="00000000" w:rsidRPr="00000000">
                  <w:rPr>
                    <w:rFonts w:ascii="Gungsuh" w:cs="Gungsuh" w:eastAsia="Gungsuh" w:hAnsi="Gungsuh"/>
                    <w:b w:val="0"/>
                    <w:i w:val="0"/>
                    <w:color w:val="000000"/>
                    <w:sz w:val="22"/>
                    <w:szCs w:val="22"/>
                    <w:rtl w:val="0"/>
                  </w:rPr>
                  <w:t xml:space="preserve">公司持续以创新为核心驱动力，构建了“材料及材料体系创新”、“系统结构创新”、“绿色极限制造创新”和“商业模式创新”四大创新体系，拥有六大研发中心，研发人员超2万人，专利及专利申请合计达43,354项。公司通过高通量材料集成计算、智能化电芯设计等平台，推动新技术和新产品持续落地，保持行业技术领先。</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2">
            <w:pPr>
              <w:spacing w:after="0" w:before="0" w:lineRule="auto"/>
              <w:ind w:left="0" w:firstLine="0"/>
              <w:jc w:val="left"/>
              <w:rPr/>
            </w:pPr>
            <w:sdt>
              <w:sdtPr>
                <w:id w:val="-978920767"/>
                <w:tag w:val="goog_rdk_6"/>
              </w:sdtPr>
              <w:sdtContent>
                <w:r w:rsidDel="00000000" w:rsidR="00000000" w:rsidRPr="00000000">
                  <w:rPr>
                    <w:rFonts w:ascii="Gungsuh" w:cs="Gungsuh" w:eastAsia="Gungsuh" w:hAnsi="Gungsuh"/>
                    <w:b w:val="0"/>
                    <w:i w:val="0"/>
                    <w:color w:val="000000"/>
                    <w:sz w:val="22"/>
                    <w:szCs w:val="22"/>
                    <w:rtl w:val="0"/>
                  </w:rPr>
                  <w:t xml:space="preserve">公司持续加大研发投入，构建了高通量材料集成计算平台、智能化研发平台等，拥有20,604名研发技术人员，专利及专利申请合计超19,500项。公司在材料、系统结构、极限制造等方面持续创新，引领行业技术发展。</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3">
            <w:pPr>
              <w:spacing w:after="0" w:before="0" w:lineRule="auto"/>
              <w:ind w:left="0" w:firstLine="0"/>
              <w:jc w:val="left"/>
              <w:rPr/>
            </w:pPr>
            <w:r w:rsidDel="00000000" w:rsidR="00000000" w:rsidRPr="00000000">
              <w:rPr>
                <w:b w:val="0"/>
                <w:i w:val="0"/>
                <w:color w:val="000000"/>
                <w:sz w:val="22"/>
                <w:szCs w:val="22"/>
                <w:rtl w:val="0"/>
              </w:rPr>
              <w:t xml:space="preserve">Product Advantages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4">
            <w:pPr>
              <w:spacing w:after="0" w:before="0" w:lineRule="auto"/>
              <w:ind w:left="0" w:firstLine="0"/>
              <w:jc w:val="left"/>
              <w:rPr/>
            </w:pPr>
            <w:sdt>
              <w:sdtPr>
                <w:id w:val="933409725"/>
                <w:tag w:val="goog_rdk_7"/>
              </w:sdtPr>
              <w:sdtContent>
                <w:r w:rsidDel="00000000" w:rsidR="00000000" w:rsidRPr="00000000">
                  <w:rPr>
                    <w:rFonts w:ascii="Gungsuh" w:cs="Gungsuh" w:eastAsia="Gungsuh" w:hAnsi="Gungsuh"/>
                    <w:b w:val="0"/>
                    <w:i w:val="0"/>
                    <w:color w:val="000000"/>
                    <w:sz w:val="22"/>
                    <w:szCs w:val="22"/>
                    <w:rtl w:val="0"/>
                  </w:rPr>
                  <w:t xml:space="preserve">公司打造了最全面、最先进的产品矩阵，产品具备高能量密度、长寿命、高充电倍率、宽温度适应性、高安全性等优势，广泛应用于乘用车、商用车、储能及新兴领域。推出麒麟电池、神行电池、骁遥电池、天行电池、天恒储能系统等创新产品，满足多元化需求。</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5">
            <w:pPr>
              <w:spacing w:after="0" w:before="0" w:lineRule="auto"/>
              <w:ind w:left="0" w:firstLine="0"/>
              <w:jc w:val="left"/>
              <w:rPr/>
            </w:pPr>
            <w:sdt>
              <w:sdtPr>
                <w:id w:val="-1281630527"/>
                <w:tag w:val="goog_rdk_8"/>
              </w:sdtPr>
              <w:sdtContent>
                <w:r w:rsidDel="00000000" w:rsidR="00000000" w:rsidRPr="00000000">
                  <w:rPr>
                    <w:rFonts w:ascii="Gungsuh" w:cs="Gungsuh" w:eastAsia="Gungsuh" w:hAnsi="Gungsuh"/>
                    <w:b w:val="0"/>
                    <w:i w:val="0"/>
                    <w:color w:val="000000"/>
                    <w:sz w:val="22"/>
                    <w:szCs w:val="22"/>
                    <w:rtl w:val="0"/>
                  </w:rPr>
                  <w:t xml:space="preserve">公司产品矩阵全面，具备高比能、超快充、高安全、长寿命等优势，广泛应用于乘用车、商用车、储能等领域。推出麒麟电池、神行电池、M3P电池、零辅源光储直流耦合解决方案等，持续满足客户多样化需求。</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6">
            <w:pPr>
              <w:spacing w:after="0" w:before="0" w:lineRule="auto"/>
              <w:ind w:left="0" w:firstLine="0"/>
              <w:jc w:val="left"/>
              <w:rPr/>
            </w:pPr>
            <w:r w:rsidDel="00000000" w:rsidR="00000000" w:rsidRPr="00000000">
              <w:rPr>
                <w:b w:val="0"/>
                <w:i w:val="0"/>
                <w:color w:val="000000"/>
                <w:sz w:val="22"/>
                <w:szCs w:val="22"/>
                <w:rtl w:val="0"/>
              </w:rPr>
              <w:t xml:space="preserve">Brand Recognition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7">
            <w:pPr>
              <w:spacing w:after="0" w:before="0" w:lineRule="auto"/>
              <w:ind w:left="0" w:firstLine="0"/>
              <w:jc w:val="left"/>
              <w:rPr/>
            </w:pPr>
            <w:sdt>
              <w:sdtPr>
                <w:id w:val="1461610484"/>
                <w:tag w:val="goog_rdk_9"/>
              </w:sdtPr>
              <w:sdtContent>
                <w:r w:rsidDel="00000000" w:rsidR="00000000" w:rsidRPr="00000000">
                  <w:rPr>
                    <w:rFonts w:ascii="Gungsuh" w:cs="Gungsuh" w:eastAsia="Gungsuh" w:hAnsi="Gungsuh"/>
                    <w:b w:val="0"/>
                    <w:i w:val="0"/>
                    <w:color w:val="000000"/>
                    <w:sz w:val="22"/>
                    <w:szCs w:val="22"/>
                    <w:rtl w:val="0"/>
                  </w:rPr>
                  <w:t xml:space="preserve">公司与全球知名车企、储能系统集成商等建立长期深度合作，客户包括BMW、Mercedes-Benz、Stellantis、Volkswagen、Ford、Toyota等国际主流车企，以及国内主流新能源车企和储能客户。通过参股、合资、技术授权等方式深化合作，品牌影响力持续提升。</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8">
            <w:pPr>
              <w:spacing w:after="0" w:before="0" w:lineRule="auto"/>
              <w:ind w:left="0" w:firstLine="0"/>
              <w:jc w:val="left"/>
              <w:rPr/>
            </w:pPr>
            <w:sdt>
              <w:sdtPr>
                <w:id w:val="-590040212"/>
                <w:tag w:val="goog_rdk_10"/>
              </w:sdtPr>
              <w:sdtContent>
                <w:r w:rsidDel="00000000" w:rsidR="00000000" w:rsidRPr="00000000">
                  <w:rPr>
                    <w:rFonts w:ascii="Gungsuh" w:cs="Gungsuh" w:eastAsia="Gungsuh" w:hAnsi="Gungsuh"/>
                    <w:b w:val="0"/>
                    <w:i w:val="0"/>
                    <w:color w:val="000000"/>
                    <w:sz w:val="22"/>
                    <w:szCs w:val="22"/>
                    <w:rtl w:val="0"/>
                  </w:rPr>
                  <w:t xml:space="preserve">公司拥有最广泛的客户群体覆盖，动力电池客户包括BMW、Daimler、Stellantis、VW、Ford、Hyundai、Honda、Volvo等海外车企，以及上汽、吉利、蔚来、理想等国内车企。储能客户涵盖Fluence、Wärtsilä等国际企业及国内能源集团，品牌影响力和市场认可度持续提升。</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9">
            <w:pPr>
              <w:spacing w:after="0" w:before="0" w:lineRule="auto"/>
              <w:ind w:left="0" w:firstLine="0"/>
              <w:jc w:val="left"/>
              <w:rPr/>
            </w:pPr>
            <w:r w:rsidDel="00000000" w:rsidR="00000000" w:rsidRPr="00000000">
              <w:rPr>
                <w:b w:val="0"/>
                <w:i w:val="0"/>
                <w:color w:val="000000"/>
                <w:sz w:val="22"/>
                <w:szCs w:val="22"/>
                <w:rtl w:val="0"/>
              </w:rPr>
              <w:t xml:space="preserve">Reputation Ratings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A">
            <w:pPr>
              <w:spacing w:after="0" w:before="0" w:lineRule="auto"/>
              <w:ind w:left="0" w:firstLine="0"/>
              <w:jc w:val="left"/>
              <w:rPr/>
            </w:pPr>
            <w:sdt>
              <w:sdtPr>
                <w:id w:val="493029702"/>
                <w:tag w:val="goog_rdk_11"/>
              </w:sdtPr>
              <w:sdtContent>
                <w:r w:rsidDel="00000000" w:rsidR="00000000" w:rsidRPr="00000000">
                  <w:rPr>
                    <w:rFonts w:ascii="Gungsuh" w:cs="Gungsuh" w:eastAsia="Gungsuh" w:hAnsi="Gungsuh"/>
                    <w:b w:val="0"/>
                    <w:i w:val="0"/>
                    <w:color w:val="000000"/>
                    <w:sz w:val="22"/>
                    <w:szCs w:val="22"/>
                    <w:rtl w:val="0"/>
                  </w:rPr>
                  <w:t xml:space="preserve">公司ESG治理表现行业领先，MSCI ESG评级</w:t>
                </w:r>
              </w:sdtContent>
            </w:sdt>
            <w:r w:rsidDel="00000000" w:rsidR="00000000" w:rsidRPr="00000000">
              <w:rPr>
                <w:rtl w:val="0"/>
              </w:rPr>
              <w:t xml:space="preserve">AA</w:t>
            </w:r>
            <w:sdt>
              <w:sdtPr>
                <w:id w:val="2114964484"/>
                <w:tag w:val="goog_rdk_12"/>
              </w:sdtPr>
              <w:sdtContent>
                <w:r w:rsidDel="00000000" w:rsidR="00000000" w:rsidRPr="00000000">
                  <w:rPr>
                    <w:rFonts w:ascii="Gungsuh" w:cs="Gungsuh" w:eastAsia="Gungsuh" w:hAnsi="Gungsuh"/>
                    <w:b w:val="0"/>
                    <w:i w:val="0"/>
                    <w:color w:val="000000"/>
                    <w:sz w:val="22"/>
                    <w:szCs w:val="22"/>
                    <w:rtl w:val="0"/>
                  </w:rPr>
                  <w:t xml:space="preserve">，S&amp;P ESG分数持续提升。主体信用评级获穆迪A3、标普A-、惠誉A-、联合资信AAA等高评级，连续五年获深交所信息披露考核A级，入选中国上市公司协会多项最佳实践案例。</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B">
            <w:pPr>
              <w:spacing w:after="0" w:before="0" w:lineRule="auto"/>
              <w:ind w:left="0" w:firstLine="0"/>
              <w:jc w:val="left"/>
              <w:rPr/>
            </w:pPr>
            <w:sdt>
              <w:sdtPr>
                <w:id w:val="-1082512890"/>
                <w:tag w:val="goog_rdk_13"/>
              </w:sdtPr>
              <w:sdtContent>
                <w:r w:rsidDel="00000000" w:rsidR="00000000" w:rsidRPr="00000000">
                  <w:rPr>
                    <w:rFonts w:ascii="Gungsuh" w:cs="Gungsuh" w:eastAsia="Gungsuh" w:hAnsi="Gungsuh"/>
                    <w:b w:val="0"/>
                    <w:i w:val="0"/>
                    <w:color w:val="000000"/>
                    <w:sz w:val="22"/>
                    <w:szCs w:val="22"/>
                    <w:rtl w:val="0"/>
                  </w:rPr>
                  <w:t xml:space="preserve">公司ESG治理表现行业前列，MSCI ESG评级A，S&amp;P ESG分数持续提升，Sustainalytics评估为低风险。连续四年获深交所信息披露考核A级，入选中国上市公司协会多项最佳实践案例。</w:t>
                </w:r>
              </w:sdtContent>
            </w:sdt>
            <w:r w:rsidDel="00000000" w:rsidR="00000000" w:rsidRPr="00000000">
              <w:rPr>
                <w:rtl w:val="0"/>
              </w:rPr>
            </w:r>
          </w:p>
        </w:tc>
      </w:tr>
    </w:tbl>
    <w:p w:rsidR="00000000" w:rsidDel="00000000" w:rsidP="00000000" w:rsidRDefault="00000000" w:rsidRPr="00000000" w14:paraId="0000001C">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1D">
      <w:pPr>
        <w:spacing w:after="180" w:before="180" w:lineRule="auto"/>
        <w:ind w:left="0" w:firstLine="0"/>
        <w:jc w:val="left"/>
        <w:rPr/>
      </w:pPr>
      <w:r w:rsidDel="00000000" w:rsidR="00000000" w:rsidRPr="00000000">
        <w:rPr>
          <w:b w:val="1"/>
          <w:i w:val="0"/>
          <w:color w:val="000000"/>
          <w:sz w:val="33"/>
          <w:szCs w:val="33"/>
          <w:rtl w:val="0"/>
        </w:rPr>
        <w:t xml:space="preserve">S1.3 : Mission &amp; Vision</w:t>
      </w:r>
      <w:r w:rsidDel="00000000" w:rsidR="00000000" w:rsidRPr="00000000">
        <w:rPr>
          <w:rtl w:val="0"/>
        </w:rPr>
      </w:r>
    </w:p>
    <w:tbl>
      <w:tblPr>
        <w:tblStyle w:val="Table3"/>
        <w:tblW w:w="7242.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4987"/>
        <w:gridCol w:w="2255"/>
        <w:tblGridChange w:id="0">
          <w:tblGrid>
            <w:gridCol w:w="4987"/>
            <w:gridCol w:w="225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spacing w:after="0" w:before="0" w:lineRule="auto"/>
              <w:ind w:left="0" w:firstLine="0"/>
              <w:jc w:val="left"/>
              <w:rPr/>
            </w:pPr>
            <w:r w:rsidDel="00000000" w:rsidR="00000000" w:rsidRPr="00000000">
              <w:rPr>
                <w:b w:val="1"/>
                <w:i w:val="0"/>
                <w:color w:val="000000"/>
                <w:sz w:val="22"/>
                <w:szCs w:val="22"/>
                <w:rtl w:val="0"/>
              </w:rPr>
              <w:t xml:space="preserve">Answer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spacing w:after="0" w:before="0" w:lineRule="auto"/>
              <w:ind w:left="0" w:firstLine="0"/>
              <w:jc w:val="left"/>
              <w:rPr/>
            </w:pPr>
            <w:r w:rsidDel="00000000" w:rsidR="00000000" w:rsidRPr="00000000">
              <w:rPr>
                <w:b w:val="0"/>
                <w:i w:val="0"/>
                <w:color w:val="000000"/>
                <w:sz w:val="22"/>
                <w:szCs w:val="22"/>
                <w:rtl w:val="0"/>
              </w:rPr>
              <w:t xml:space="preserve">Mission Statement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spacing w:after="0" w:lineRule="auto"/>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2">
            <w:pPr>
              <w:spacing w:after="0" w:before="0" w:lineRule="auto"/>
              <w:ind w:left="0" w:firstLine="0"/>
              <w:jc w:val="left"/>
              <w:rPr/>
            </w:pPr>
            <w:r w:rsidDel="00000000" w:rsidR="00000000" w:rsidRPr="00000000">
              <w:rPr>
                <w:b w:val="0"/>
                <w:i w:val="0"/>
                <w:color w:val="000000"/>
                <w:sz w:val="22"/>
                <w:szCs w:val="22"/>
                <w:rtl w:val="0"/>
              </w:rPr>
              <w:t xml:space="preserve">Vision Statement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3">
            <w:pPr>
              <w:spacing w:after="0" w:lineRule="auto"/>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spacing w:after="0" w:before="0" w:lineRule="auto"/>
              <w:ind w:left="0" w:firstLine="0"/>
              <w:jc w:val="left"/>
              <w:rPr/>
            </w:pPr>
            <w:r w:rsidDel="00000000" w:rsidR="00000000" w:rsidRPr="00000000">
              <w:rPr>
                <w:b w:val="0"/>
                <w:i w:val="0"/>
                <w:color w:val="000000"/>
                <w:sz w:val="22"/>
                <w:szCs w:val="22"/>
                <w:rtl w:val="0"/>
              </w:rPr>
              <w:t xml:space="preserve">Core Values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spacing w:after="0" w:before="0" w:lineRule="auto"/>
              <w:ind w:left="0" w:firstLine="0"/>
              <w:jc w:val="left"/>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026">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27">
      <w:pPr>
        <w:spacing w:after="161" w:before="161" w:lineRule="auto"/>
        <w:ind w:left="0" w:firstLine="0"/>
        <w:jc w:val="left"/>
        <w:rPr/>
      </w:pPr>
      <w:r w:rsidDel="00000000" w:rsidR="00000000" w:rsidRPr="00000000">
        <w:rPr>
          <w:b w:val="1"/>
          <w:i w:val="0"/>
          <w:color w:val="000000"/>
          <w:sz w:val="44"/>
          <w:szCs w:val="44"/>
          <w:rtl w:val="0"/>
        </w:rPr>
        <w:t xml:space="preserve">Section 2: Financial Performance</w:t>
      </w:r>
      <w:r w:rsidDel="00000000" w:rsidR="00000000" w:rsidRPr="00000000">
        <w:rPr>
          <w:rtl w:val="0"/>
        </w:rPr>
      </w:r>
    </w:p>
    <w:p w:rsidR="00000000" w:rsidDel="00000000" w:rsidP="00000000" w:rsidRDefault="00000000" w:rsidRPr="00000000" w14:paraId="00000028">
      <w:pPr>
        <w:spacing w:after="180" w:before="180" w:lineRule="auto"/>
        <w:ind w:left="0" w:firstLine="0"/>
        <w:jc w:val="left"/>
        <w:rPr/>
      </w:pPr>
      <w:r w:rsidDel="00000000" w:rsidR="00000000" w:rsidRPr="00000000">
        <w:rPr>
          <w:b w:val="1"/>
          <w:i w:val="0"/>
          <w:color w:val="000000"/>
          <w:sz w:val="33"/>
          <w:szCs w:val="33"/>
          <w:rtl w:val="0"/>
        </w:rPr>
        <w:t xml:space="preserve">S2.1: Income Statement</w:t>
      </w:r>
      <w:r w:rsidDel="00000000" w:rsidR="00000000" w:rsidRPr="00000000">
        <w:rPr>
          <w:rtl w:val="0"/>
        </w:rPr>
      </w:r>
    </w:p>
    <w:tbl>
      <w:tblPr>
        <w:tblStyle w:val="Table4"/>
        <w:tblW w:w="9675.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115"/>
        <w:gridCol w:w="1605"/>
        <w:gridCol w:w="1605"/>
        <w:gridCol w:w="1605"/>
        <w:gridCol w:w="1410"/>
        <w:gridCol w:w="1335"/>
        <w:tblGridChange w:id="0">
          <w:tblGrid>
            <w:gridCol w:w="2115"/>
            <w:gridCol w:w="1605"/>
            <w:gridCol w:w="1605"/>
            <w:gridCol w:w="1605"/>
            <w:gridCol w:w="1410"/>
            <w:gridCol w:w="133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spacing w:after="0" w:before="0" w:lineRule="auto"/>
              <w:ind w:left="0" w:firstLine="0"/>
              <w:jc w:val="left"/>
              <w:rPr/>
            </w:pPr>
            <w:r w:rsidDel="00000000" w:rsidR="00000000" w:rsidRPr="00000000">
              <w:rPr>
                <w:b w:val="1"/>
                <w:i w:val="0"/>
                <w:color w:val="000000"/>
                <w:sz w:val="22"/>
                <w:szCs w:val="22"/>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spacing w:after="0" w:before="0" w:lineRule="auto"/>
              <w:ind w:left="0" w:firstLine="0"/>
              <w:jc w:val="left"/>
              <w:rPr/>
            </w:pPr>
            <w:r w:rsidDel="00000000" w:rsidR="00000000" w:rsidRPr="00000000">
              <w:rPr>
                <w:b w:val="1"/>
                <w:i w:val="0"/>
                <w:color w:val="000000"/>
                <w:sz w:val="22"/>
                <w:szCs w:val="22"/>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spacing w:after="0" w:before="0" w:lineRule="auto"/>
              <w:ind w:left="0" w:firstLine="0"/>
              <w:jc w:val="left"/>
              <w:rPr/>
            </w:pPr>
            <w:r w:rsidDel="00000000" w:rsidR="00000000" w:rsidRPr="00000000">
              <w:rPr>
                <w:b w:val="1"/>
                <w:i w:val="0"/>
                <w:color w:val="000000"/>
                <w:sz w:val="22"/>
                <w:szCs w:val="22"/>
                <w:rtl w:val="0"/>
              </w:rPr>
              <w:t xml:space="preserve">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spacing w:after="0" w:before="0" w:lineRule="auto"/>
              <w:ind w:left="0" w:firstLine="0"/>
              <w:jc w:val="left"/>
              <w:rPr/>
            </w:pPr>
            <w:r w:rsidDel="00000000" w:rsidR="00000000" w:rsidRPr="00000000">
              <w:rPr>
                <w:b w:val="1"/>
                <w:i w:val="0"/>
                <w:color w:val="000000"/>
                <w:sz w:val="22"/>
                <w:szCs w:val="22"/>
                <w:rtl w:val="0"/>
              </w:rPr>
              <w:t xml:space="preserve">Multiplier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spacing w:after="0" w:before="0" w:lineRule="auto"/>
              <w:ind w:left="0" w:firstLine="0"/>
              <w:jc w:val="left"/>
              <w:rPr/>
            </w:pPr>
            <w:r w:rsidDel="00000000" w:rsidR="00000000" w:rsidRPr="00000000">
              <w:rPr>
                <w:b w:val="1"/>
                <w:i w:val="0"/>
                <w:color w:val="000000"/>
                <w:sz w:val="22"/>
                <w:szCs w:val="22"/>
                <w:rtl w:val="0"/>
              </w:rPr>
              <w:t xml:space="preserve">Currency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spacing w:after="0" w:before="0" w:lineRule="auto"/>
              <w:ind w:left="0" w:firstLine="0"/>
              <w:jc w:val="left"/>
              <w:rPr/>
            </w:pPr>
            <w:r w:rsidDel="00000000" w:rsidR="00000000" w:rsidRPr="00000000">
              <w:rPr>
                <w:b w:val="0"/>
                <w:i w:val="0"/>
                <w:color w:val="000000"/>
                <w:sz w:val="22"/>
                <w:szCs w:val="22"/>
                <w:rtl w:val="0"/>
              </w:rPr>
              <w:t xml:space="preserve">Revenue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spacing w:after="0" w:before="0" w:lineRule="auto"/>
              <w:ind w:left="0" w:firstLine="0"/>
              <w:jc w:val="left"/>
              <w:rPr/>
            </w:pPr>
            <w:r w:rsidDel="00000000" w:rsidR="00000000" w:rsidRPr="00000000">
              <w:rPr>
                <w:b w:val="0"/>
                <w:i w:val="0"/>
                <w:color w:val="000000"/>
                <w:sz w:val="22"/>
                <w:szCs w:val="22"/>
                <w:rtl w:val="0"/>
              </w:rPr>
              <w:t xml:space="preserve">362,012,554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spacing w:after="0" w:before="0" w:lineRule="auto"/>
              <w:ind w:left="0" w:firstLine="0"/>
              <w:jc w:val="left"/>
              <w:rPr/>
            </w:pPr>
            <w:r w:rsidDel="00000000" w:rsidR="00000000" w:rsidRPr="00000000">
              <w:rPr>
                <w:b w:val="0"/>
                <w:i w:val="0"/>
                <w:color w:val="000000"/>
                <w:sz w:val="22"/>
                <w:szCs w:val="22"/>
                <w:rtl w:val="0"/>
              </w:rPr>
              <w:t xml:space="preserve">400,917,045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spacing w:after="0" w:before="0" w:lineRule="auto"/>
              <w:ind w:left="0" w:firstLine="0"/>
              <w:jc w:val="left"/>
              <w:rPr/>
            </w:pPr>
            <w:r w:rsidDel="00000000" w:rsidR="00000000" w:rsidRPr="00000000">
              <w:rPr>
                <w:b w:val="0"/>
                <w:i w:val="0"/>
                <w:color w:val="000000"/>
                <w:sz w:val="22"/>
                <w:szCs w:val="22"/>
                <w:rtl w:val="0"/>
              </w:rPr>
              <w:t xml:space="preserve">328,593,987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spacing w:after="0" w:before="0" w:lineRule="auto"/>
              <w:ind w:left="0" w:firstLine="0"/>
              <w:jc w:val="left"/>
              <w:rPr/>
            </w:pPr>
            <w:r w:rsidDel="00000000" w:rsidR="00000000" w:rsidRPr="00000000">
              <w:rPr>
                <w:b w:val="0"/>
                <w:i w:val="0"/>
                <w:color w:val="000000"/>
                <w:sz w:val="22"/>
                <w:szCs w:val="22"/>
                <w:rtl w:val="0"/>
              </w:rPr>
              <w:t xml:space="preserve">Cost of Goods Sold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after="0" w:before="0" w:lineRule="auto"/>
              <w:ind w:left="0" w:firstLine="0"/>
              <w:jc w:val="left"/>
              <w:rPr/>
            </w:pPr>
            <w:r w:rsidDel="00000000" w:rsidR="00000000" w:rsidRPr="00000000">
              <w:rPr>
                <w:rtl w:val="0"/>
              </w:rPr>
              <w:t xml:space="preserve">273,518,959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after="0" w:lineRule="auto"/>
              <w:rPr/>
            </w:pPr>
            <w:r w:rsidDel="00000000" w:rsidR="00000000" w:rsidRPr="00000000">
              <w:rPr>
                <w:rtl w:val="0"/>
              </w:rPr>
              <w:t xml:space="preserve">323,982,130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spacing w:after="0" w:before="0" w:lineRule="auto"/>
              <w:ind w:left="0" w:firstLine="0"/>
              <w:jc w:val="left"/>
              <w:rPr/>
            </w:pPr>
            <w:r w:rsidDel="00000000" w:rsidR="00000000" w:rsidRPr="00000000">
              <w:rPr>
                <w:rtl w:val="0"/>
              </w:rPr>
              <w:t xml:space="preserve">262,049,609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spacing w:after="0" w:before="0" w:lineRule="auto"/>
              <w:ind w:left="0" w:firstLine="0"/>
              <w:jc w:val="left"/>
              <w:rPr/>
            </w:pPr>
            <w:r w:rsidDel="00000000" w:rsidR="00000000" w:rsidRPr="00000000">
              <w:rPr>
                <w:b w:val="0"/>
                <w:i w:val="0"/>
                <w:color w:val="000000"/>
                <w:sz w:val="22"/>
                <w:szCs w:val="22"/>
                <w:rtl w:val="0"/>
              </w:rPr>
              <w:t xml:space="preserve">Gross Profit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88,493,595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76,934,915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34,848,355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after="0" w:before="0" w:lineRule="auto"/>
              <w:ind w:left="0" w:firstLine="0"/>
              <w:jc w:val="left"/>
              <w:rPr/>
            </w:pPr>
            <w:r w:rsidDel="00000000" w:rsidR="00000000" w:rsidRPr="00000000">
              <w:rPr>
                <w:b w:val="0"/>
                <w:i w:val="0"/>
                <w:color w:val="000000"/>
                <w:sz w:val="22"/>
                <w:szCs w:val="22"/>
                <w:rtl w:val="0"/>
              </w:rPr>
              <w:t xml:space="preserve">Operating Expense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spacing w:after="0" w:before="0" w:lineRule="auto"/>
              <w:ind w:left="0" w:firstLine="0"/>
              <w:jc w:val="left"/>
              <w:rPr/>
            </w:pPr>
            <w:r w:rsidDel="00000000" w:rsidR="00000000" w:rsidRPr="00000000">
              <w:rPr>
                <w:rtl w:val="0"/>
              </w:rPr>
              <w:t xml:space="preserve">31,859,392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spacing w:after="0" w:before="0" w:lineRule="auto"/>
              <w:ind w:left="0" w:firstLine="0"/>
              <w:jc w:val="left"/>
              <w:rPr/>
            </w:pPr>
            <w:r w:rsidDel="00000000" w:rsidR="00000000" w:rsidRPr="00000000">
              <w:rPr>
                <w:rtl w:val="0"/>
              </w:rPr>
              <w:t xml:space="preserve">13,200,076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after="0" w:before="0" w:lineRule="auto"/>
              <w:ind w:left="0" w:firstLine="0"/>
              <w:jc w:val="left"/>
              <w:rPr/>
            </w:pPr>
            <w:r w:rsidDel="00000000" w:rsidR="00000000" w:rsidRPr="00000000">
              <w:rPr>
                <w:rtl w:val="0"/>
              </w:rPr>
              <w:t xml:space="preserve">33,588,524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spacing w:after="0" w:before="0" w:lineRule="auto"/>
              <w:ind w:left="0" w:firstLine="0"/>
              <w:jc w:val="left"/>
              <w:rPr/>
            </w:pPr>
            <w:r w:rsidDel="00000000" w:rsidR="00000000" w:rsidRPr="00000000">
              <w:rPr>
                <w:b w:val="0"/>
                <w:i w:val="0"/>
                <w:color w:val="000000"/>
                <w:sz w:val="22"/>
                <w:szCs w:val="22"/>
                <w:rtl w:val="0"/>
              </w:rPr>
              <w:t xml:space="preserve">Operating income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8">
            <w:pPr>
              <w:spacing w:after="0" w:before="0" w:lineRule="auto"/>
              <w:ind w:left="0" w:firstLine="0"/>
              <w:jc w:val="left"/>
              <w:rPr/>
            </w:pPr>
            <w:r w:rsidDel="00000000" w:rsidR="00000000" w:rsidRPr="00000000">
              <w:rPr>
                <w:b w:val="0"/>
                <w:i w:val="0"/>
                <w:color w:val="000000"/>
                <w:sz w:val="22"/>
                <w:szCs w:val="22"/>
                <w:rtl w:val="0"/>
              </w:rPr>
              <w:t xml:space="preserve">64,051,799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9">
            <w:pPr>
              <w:spacing w:after="0" w:before="0" w:lineRule="auto"/>
              <w:ind w:left="0" w:firstLine="0"/>
              <w:jc w:val="left"/>
              <w:rPr/>
            </w:pPr>
            <w:r w:rsidDel="00000000" w:rsidR="00000000" w:rsidRPr="00000000">
              <w:rPr>
                <w:b w:val="0"/>
                <w:i w:val="0"/>
                <w:color w:val="000000"/>
                <w:sz w:val="22"/>
                <w:szCs w:val="22"/>
                <w:rtl w:val="0"/>
              </w:rPr>
              <w:t xml:space="preserve">53,718,302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after="0" w:before="0" w:lineRule="auto"/>
              <w:ind w:left="0" w:firstLine="0"/>
              <w:jc w:val="left"/>
              <w:rPr/>
            </w:pPr>
            <w:r w:rsidDel="00000000" w:rsidR="00000000" w:rsidRPr="00000000">
              <w:rPr>
                <w:b w:val="0"/>
                <w:i w:val="0"/>
                <w:color w:val="000000"/>
                <w:sz w:val="22"/>
                <w:szCs w:val="22"/>
                <w:rtl w:val="0"/>
              </w:rPr>
              <w:t xml:space="preserve">36,821,983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after="0" w:before="0" w:lineRule="auto"/>
              <w:ind w:left="0" w:firstLine="0"/>
              <w:jc w:val="left"/>
              <w:rPr/>
            </w:pPr>
            <w:r w:rsidDel="00000000" w:rsidR="00000000" w:rsidRPr="00000000">
              <w:rPr>
                <w:b w:val="0"/>
                <w:i w:val="0"/>
                <w:color w:val="000000"/>
                <w:sz w:val="22"/>
                <w:szCs w:val="22"/>
                <w:rtl w:val="0"/>
              </w:rPr>
              <w:t xml:space="preserve">Net Profit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after="0" w:before="0" w:lineRule="auto"/>
              <w:ind w:left="0" w:firstLine="0"/>
              <w:jc w:val="left"/>
              <w:rPr/>
            </w:pPr>
            <w:r w:rsidDel="00000000" w:rsidR="00000000" w:rsidRPr="00000000">
              <w:rPr>
                <w:b w:val="0"/>
                <w:i w:val="0"/>
                <w:color w:val="000000"/>
                <w:sz w:val="22"/>
                <w:szCs w:val="22"/>
                <w:rtl w:val="0"/>
              </w:rPr>
              <w:t xml:space="preserve">54,006,794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spacing w:after="0" w:before="0" w:lineRule="auto"/>
              <w:ind w:left="0" w:firstLine="0"/>
              <w:jc w:val="left"/>
              <w:rPr/>
            </w:pPr>
            <w:r w:rsidDel="00000000" w:rsidR="00000000" w:rsidRPr="00000000">
              <w:rPr>
                <w:b w:val="0"/>
                <w:i w:val="0"/>
                <w:color w:val="000000"/>
                <w:sz w:val="22"/>
                <w:szCs w:val="22"/>
                <w:rtl w:val="0"/>
              </w:rPr>
              <w:t xml:space="preserve">46,761,034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after="0" w:before="0" w:lineRule="auto"/>
              <w:ind w:left="0" w:firstLine="0"/>
              <w:jc w:val="left"/>
              <w:rPr/>
            </w:pPr>
            <w:r w:rsidDel="00000000" w:rsidR="00000000" w:rsidRPr="00000000">
              <w:rPr>
                <w:rtl w:val="0"/>
              </w:rPr>
              <w:t xml:space="preserve">33,457,144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after="0" w:before="0" w:lineRule="auto"/>
              <w:ind w:left="0" w:firstLine="0"/>
              <w:jc w:val="left"/>
              <w:rPr/>
            </w:pPr>
            <w:r w:rsidDel="00000000" w:rsidR="00000000" w:rsidRPr="00000000">
              <w:rPr>
                <w:b w:val="0"/>
                <w:i w:val="0"/>
                <w:color w:val="000000"/>
                <w:sz w:val="22"/>
                <w:szCs w:val="22"/>
                <w:rtl w:val="0"/>
              </w:rPr>
              <w:t xml:space="preserve">Income before income taxes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spacing w:after="0" w:before="0" w:lineRule="auto"/>
              <w:ind w:left="0" w:firstLine="0"/>
              <w:jc w:val="left"/>
              <w:rPr/>
            </w:pPr>
            <w:r w:rsidDel="00000000" w:rsidR="00000000" w:rsidRPr="00000000">
              <w:rPr>
                <w:b w:val="0"/>
                <w:i w:val="0"/>
                <w:color w:val="000000"/>
                <w:sz w:val="22"/>
                <w:szCs w:val="22"/>
                <w:rtl w:val="0"/>
              </w:rPr>
              <w:t xml:space="preserve">63,182,039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spacing w:after="0" w:before="0" w:lineRule="auto"/>
              <w:ind w:left="0" w:firstLine="0"/>
              <w:jc w:val="left"/>
              <w:rPr/>
            </w:pPr>
            <w:r w:rsidDel="00000000" w:rsidR="00000000" w:rsidRPr="00000000">
              <w:rPr>
                <w:b w:val="0"/>
                <w:i w:val="0"/>
                <w:color w:val="000000"/>
                <w:sz w:val="22"/>
                <w:szCs w:val="22"/>
                <w:rtl w:val="0"/>
              </w:rPr>
              <w:t xml:space="preserve">53,914,053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spacing w:after="0" w:before="0" w:lineRule="auto"/>
              <w:ind w:left="0" w:firstLine="0"/>
              <w:jc w:val="left"/>
              <w:rPr/>
            </w:pPr>
            <w:r w:rsidDel="00000000" w:rsidR="00000000" w:rsidRPr="00000000">
              <w:rPr>
                <w:b w:val="0"/>
                <w:i w:val="0"/>
                <w:color w:val="000000"/>
                <w:sz w:val="22"/>
                <w:szCs w:val="22"/>
                <w:rtl w:val="0"/>
              </w:rPr>
              <w:t xml:space="preserve">36,672,856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spacing w:after="0" w:before="0" w:lineRule="auto"/>
              <w:ind w:left="0" w:firstLine="0"/>
              <w:jc w:val="left"/>
              <w:rPr/>
            </w:pPr>
            <w:r w:rsidDel="00000000" w:rsidR="00000000" w:rsidRPr="00000000">
              <w:rPr>
                <w:b w:val="0"/>
                <w:i w:val="0"/>
                <w:color w:val="000000"/>
                <w:sz w:val="22"/>
                <w:szCs w:val="22"/>
                <w:rtl w:val="0"/>
              </w:rPr>
              <w:t xml:space="preserve">Income tax expense(benefit)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spacing w:after="0" w:before="0" w:lineRule="auto"/>
              <w:ind w:left="0" w:firstLine="0"/>
              <w:jc w:val="left"/>
              <w:rPr/>
            </w:pPr>
            <w:r w:rsidDel="00000000" w:rsidR="00000000" w:rsidRPr="00000000">
              <w:rPr>
                <w:b w:val="0"/>
                <w:i w:val="0"/>
                <w:color w:val="000000"/>
                <w:sz w:val="22"/>
                <w:szCs w:val="22"/>
                <w:rtl w:val="0"/>
              </w:rPr>
              <w:t xml:space="preserve">9,175,245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spacing w:after="0" w:before="0" w:lineRule="auto"/>
              <w:ind w:left="0" w:firstLine="0"/>
              <w:jc w:val="left"/>
              <w:rPr/>
            </w:pPr>
            <w:r w:rsidDel="00000000" w:rsidR="00000000" w:rsidRPr="00000000">
              <w:rPr>
                <w:b w:val="0"/>
                <w:i w:val="0"/>
                <w:color w:val="000000"/>
                <w:sz w:val="22"/>
                <w:szCs w:val="22"/>
                <w:rtl w:val="0"/>
              </w:rPr>
              <w:t xml:space="preserve">7,153,019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C">
            <w:pPr>
              <w:spacing w:after="0" w:before="0" w:lineRule="auto"/>
              <w:ind w:left="0" w:firstLine="0"/>
              <w:jc w:val="left"/>
              <w:rPr/>
            </w:pPr>
            <w:r w:rsidDel="00000000" w:rsidR="00000000" w:rsidRPr="00000000">
              <w:rPr>
                <w:b w:val="0"/>
                <w:i w:val="0"/>
                <w:color w:val="000000"/>
                <w:sz w:val="22"/>
                <w:szCs w:val="22"/>
                <w:rtl w:val="0"/>
              </w:rPr>
              <w:t xml:space="preserve">3,215,713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spacing w:after="0" w:before="0" w:lineRule="auto"/>
              <w:ind w:left="0" w:firstLine="0"/>
              <w:jc w:val="left"/>
              <w:rPr/>
            </w:pPr>
            <w:r w:rsidDel="00000000" w:rsidR="00000000" w:rsidRPr="00000000">
              <w:rPr>
                <w:b w:val="0"/>
                <w:i w:val="0"/>
                <w:color w:val="000000"/>
                <w:sz w:val="22"/>
                <w:szCs w:val="22"/>
                <w:rtl w:val="0"/>
              </w:rPr>
              <w:t xml:space="preserve">Interest Expense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spacing w:after="0" w:before="0" w:lineRule="auto"/>
              <w:ind w:left="0" w:firstLine="0"/>
              <w:jc w:val="left"/>
              <w:rPr/>
            </w:pPr>
            <w:r w:rsidDel="00000000" w:rsidR="00000000" w:rsidRPr="00000000">
              <w:rPr>
                <w:b w:val="0"/>
                <w:i w:val="0"/>
                <w:color w:val="000000"/>
                <w:sz w:val="22"/>
                <w:szCs w:val="22"/>
                <w:rtl w:val="0"/>
              </w:rPr>
              <w:t xml:space="preserve">3,879,076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spacing w:after="0" w:before="0" w:lineRule="auto"/>
              <w:ind w:left="0" w:firstLine="0"/>
              <w:jc w:val="left"/>
              <w:rPr/>
            </w:pPr>
            <w:r w:rsidDel="00000000" w:rsidR="00000000" w:rsidRPr="00000000">
              <w:rPr>
                <w:b w:val="0"/>
                <w:i w:val="0"/>
                <w:color w:val="000000"/>
                <w:sz w:val="22"/>
                <w:szCs w:val="22"/>
                <w:rtl w:val="0"/>
              </w:rPr>
              <w:t xml:space="preserve">3,446,516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spacing w:after="0" w:before="0" w:lineRule="auto"/>
              <w:ind w:left="0" w:firstLine="0"/>
              <w:jc w:val="left"/>
              <w:rPr/>
            </w:pPr>
            <w:r w:rsidDel="00000000" w:rsidR="00000000" w:rsidRPr="00000000">
              <w:rPr>
                <w:b w:val="0"/>
                <w:i w:val="0"/>
                <w:color w:val="000000"/>
                <w:sz w:val="22"/>
                <w:szCs w:val="22"/>
                <w:rtl w:val="0"/>
              </w:rPr>
              <w:t xml:space="preserve">2,132,375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bl>
    <w:p w:rsidR="00000000" w:rsidDel="00000000" w:rsidP="00000000" w:rsidRDefault="00000000" w:rsidRPr="00000000" w14:paraId="00000065">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66">
      <w:pPr>
        <w:spacing w:after="180" w:before="180" w:lineRule="auto"/>
        <w:ind w:left="0" w:firstLine="0"/>
        <w:jc w:val="left"/>
        <w:rPr/>
      </w:pPr>
      <w:r w:rsidDel="00000000" w:rsidR="00000000" w:rsidRPr="00000000">
        <w:rPr>
          <w:b w:val="1"/>
          <w:i w:val="0"/>
          <w:color w:val="000000"/>
          <w:sz w:val="33"/>
          <w:szCs w:val="33"/>
          <w:rtl w:val="0"/>
        </w:rPr>
        <w:t xml:space="preserve">S2.2: Balance Sheet</w:t>
      </w:r>
      <w:r w:rsidDel="00000000" w:rsidR="00000000" w:rsidRPr="00000000">
        <w:rPr>
          <w:rtl w:val="0"/>
        </w:rPr>
      </w:r>
    </w:p>
    <w:tbl>
      <w:tblPr>
        <w:tblStyle w:val="Table5"/>
        <w:tblW w:w="1009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789"/>
        <w:gridCol w:w="1660"/>
        <w:gridCol w:w="1900"/>
        <w:gridCol w:w="1900"/>
        <w:gridCol w:w="1465"/>
        <w:gridCol w:w="1376"/>
        <w:tblGridChange w:id="0">
          <w:tblGrid>
            <w:gridCol w:w="1789"/>
            <w:gridCol w:w="1660"/>
            <w:gridCol w:w="1900"/>
            <w:gridCol w:w="1900"/>
            <w:gridCol w:w="1465"/>
            <w:gridCol w:w="137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spacing w:after="0" w:before="0" w:lineRule="auto"/>
              <w:ind w:left="0" w:firstLine="0"/>
              <w:jc w:val="left"/>
              <w:rPr/>
            </w:pPr>
            <w:r w:rsidDel="00000000" w:rsidR="00000000" w:rsidRPr="00000000">
              <w:rPr>
                <w:b w:val="1"/>
                <w:i w:val="0"/>
                <w:color w:val="000000"/>
                <w:sz w:val="22"/>
                <w:szCs w:val="22"/>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spacing w:after="0" w:before="0" w:lineRule="auto"/>
              <w:ind w:left="0" w:firstLine="0"/>
              <w:jc w:val="left"/>
              <w:rPr/>
            </w:pPr>
            <w:r w:rsidDel="00000000" w:rsidR="00000000" w:rsidRPr="00000000">
              <w:rPr>
                <w:b w:val="1"/>
                <w:i w:val="0"/>
                <w:color w:val="000000"/>
                <w:sz w:val="22"/>
                <w:szCs w:val="22"/>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spacing w:after="0" w:before="0" w:lineRule="auto"/>
              <w:ind w:left="0" w:firstLine="0"/>
              <w:jc w:val="left"/>
              <w:rPr/>
            </w:pPr>
            <w:r w:rsidDel="00000000" w:rsidR="00000000" w:rsidRPr="00000000">
              <w:rPr>
                <w:b w:val="1"/>
                <w:i w:val="0"/>
                <w:color w:val="000000"/>
                <w:sz w:val="22"/>
                <w:szCs w:val="22"/>
                <w:rtl w:val="0"/>
              </w:rPr>
              <w:t xml:space="preserve">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spacing w:after="0" w:before="0" w:lineRule="auto"/>
              <w:ind w:left="0" w:firstLine="0"/>
              <w:jc w:val="left"/>
              <w:rPr/>
            </w:pPr>
            <w:r w:rsidDel="00000000" w:rsidR="00000000" w:rsidRPr="00000000">
              <w:rPr>
                <w:b w:val="1"/>
                <w:i w:val="0"/>
                <w:color w:val="000000"/>
                <w:sz w:val="22"/>
                <w:szCs w:val="22"/>
                <w:rtl w:val="0"/>
              </w:rPr>
              <w:t xml:space="preserve">Multiplier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spacing w:after="0" w:before="0" w:lineRule="auto"/>
              <w:ind w:left="0" w:firstLine="0"/>
              <w:jc w:val="left"/>
              <w:rPr/>
            </w:pPr>
            <w:r w:rsidDel="00000000" w:rsidR="00000000" w:rsidRPr="00000000">
              <w:rPr>
                <w:b w:val="1"/>
                <w:i w:val="0"/>
                <w:color w:val="000000"/>
                <w:sz w:val="22"/>
                <w:szCs w:val="22"/>
                <w:rtl w:val="0"/>
              </w:rPr>
              <w:t xml:space="preserve">Currency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spacing w:after="0" w:before="0" w:lineRule="auto"/>
              <w:ind w:left="0" w:firstLine="0"/>
              <w:jc w:val="left"/>
              <w:rPr/>
            </w:pPr>
            <w:r w:rsidDel="00000000" w:rsidR="00000000" w:rsidRPr="00000000">
              <w:rPr>
                <w:b w:val="0"/>
                <w:i w:val="0"/>
                <w:color w:val="000000"/>
                <w:sz w:val="22"/>
                <w:szCs w:val="22"/>
                <w:rtl w:val="0"/>
              </w:rPr>
              <w:t xml:space="preserve">Total Assets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spacing w:after="0" w:before="0" w:lineRule="auto"/>
              <w:ind w:left="0" w:firstLine="0"/>
              <w:jc w:val="left"/>
              <w:rPr/>
            </w:pPr>
            <w:r w:rsidDel="00000000" w:rsidR="00000000" w:rsidRPr="00000000">
              <w:rPr>
                <w:b w:val="0"/>
                <w:i w:val="0"/>
                <w:color w:val="000000"/>
                <w:sz w:val="22"/>
                <w:szCs w:val="22"/>
                <w:rtl w:val="0"/>
              </w:rPr>
              <w:t xml:space="preserve">786,658,123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spacing w:after="0" w:before="0" w:lineRule="auto"/>
              <w:ind w:left="0" w:firstLine="0"/>
              <w:jc w:val="left"/>
              <w:rPr/>
            </w:pPr>
            <w:r w:rsidDel="00000000" w:rsidR="00000000" w:rsidRPr="00000000">
              <w:rPr>
                <w:rtl w:val="0"/>
              </w:rPr>
              <w:t xml:space="preserve">717,168,041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spacing w:after="0" w:before="0" w:lineRule="auto"/>
              <w:ind w:left="0" w:firstLine="0"/>
              <w:jc w:val="left"/>
              <w:rPr/>
            </w:pPr>
            <w:r w:rsidDel="00000000" w:rsidR="00000000" w:rsidRPr="00000000">
              <w:rPr>
                <w:rtl w:val="0"/>
              </w:rPr>
              <w:t xml:space="preserve">600,952,352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spacing w:after="0" w:before="0" w:lineRule="auto"/>
              <w:ind w:left="0" w:firstLine="0"/>
              <w:jc w:val="left"/>
              <w:rPr/>
            </w:pPr>
            <w:r w:rsidDel="00000000" w:rsidR="00000000" w:rsidRPr="00000000">
              <w:rPr>
                <w:b w:val="0"/>
                <w:i w:val="0"/>
                <w:color w:val="000000"/>
                <w:sz w:val="22"/>
                <w:szCs w:val="22"/>
                <w:rtl w:val="0"/>
              </w:rPr>
              <w:t xml:space="preserve">Current Assets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spacing w:after="0" w:before="0" w:lineRule="auto"/>
              <w:ind w:left="0" w:firstLine="0"/>
              <w:jc w:val="left"/>
              <w:rPr/>
            </w:pPr>
            <w:r w:rsidDel="00000000" w:rsidR="00000000" w:rsidRPr="00000000">
              <w:rPr>
                <w:b w:val="0"/>
                <w:i w:val="0"/>
                <w:color w:val="000000"/>
                <w:sz w:val="22"/>
                <w:szCs w:val="22"/>
                <w:rtl w:val="0"/>
              </w:rPr>
              <w:t xml:space="preserve">510,142,089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spacing w:after="0" w:before="0" w:lineRule="auto"/>
              <w:ind w:left="0" w:firstLine="0"/>
              <w:jc w:val="left"/>
              <w:rPr/>
            </w:pPr>
            <w:r w:rsidDel="00000000" w:rsidR="00000000" w:rsidRPr="00000000">
              <w:rPr>
                <w:b w:val="0"/>
                <w:i w:val="0"/>
                <w:color w:val="000000"/>
                <w:sz w:val="22"/>
                <w:szCs w:val="22"/>
                <w:rtl w:val="0"/>
              </w:rPr>
              <w:t xml:space="preserve">449,788,00</w:t>
            </w: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spacing w:after="0" w:lineRule="auto"/>
              <w:rPr/>
            </w:pPr>
            <w:r w:rsidDel="00000000" w:rsidR="00000000" w:rsidRPr="00000000">
              <w:rPr>
                <w:rtl w:val="0"/>
              </w:rPr>
              <w:t xml:space="preserve">387,734,857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spacing w:after="0" w:before="0" w:lineRule="auto"/>
              <w:ind w:left="0" w:firstLine="0"/>
              <w:jc w:val="left"/>
              <w:rPr/>
            </w:pPr>
            <w:r w:rsidDel="00000000" w:rsidR="00000000" w:rsidRPr="00000000">
              <w:rPr>
                <w:b w:val="0"/>
                <w:i w:val="0"/>
                <w:color w:val="000000"/>
                <w:sz w:val="22"/>
                <w:szCs w:val="22"/>
                <w:rtl w:val="0"/>
              </w:rPr>
              <w:t xml:space="preserve">Non-Current Assets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spacing w:after="0" w:before="0" w:lineRule="auto"/>
              <w:ind w:left="0" w:firstLine="0"/>
              <w:jc w:val="left"/>
              <w:rPr/>
            </w:pPr>
            <w:r w:rsidDel="00000000" w:rsidR="00000000" w:rsidRPr="00000000">
              <w:rPr>
                <w:b w:val="0"/>
                <w:i w:val="0"/>
                <w:color w:val="000000"/>
                <w:sz w:val="22"/>
                <w:szCs w:val="22"/>
                <w:rtl w:val="0"/>
              </w:rPr>
              <w:t xml:space="preserve">276,516,035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spacing w:after="0" w:before="0" w:lineRule="auto"/>
              <w:ind w:left="0" w:firstLine="0"/>
              <w:jc w:val="left"/>
              <w:rPr/>
            </w:pPr>
            <w:r w:rsidDel="00000000" w:rsidR="00000000" w:rsidRPr="00000000">
              <w:rPr>
                <w:rtl w:val="0"/>
              </w:rPr>
              <w:t xml:space="preserve">267,380,039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spacing w:after="0" w:before="0" w:lineRule="auto"/>
              <w:ind w:left="0" w:firstLine="0"/>
              <w:jc w:val="left"/>
              <w:rPr/>
            </w:pPr>
            <w:r w:rsidDel="00000000" w:rsidR="00000000" w:rsidRPr="00000000">
              <w:rPr>
                <w:rtl w:val="0"/>
              </w:rPr>
              <w:t xml:space="preserve">213,217,494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spacing w:after="0" w:before="0" w:lineRule="auto"/>
              <w:ind w:left="0" w:firstLine="0"/>
              <w:jc w:val="left"/>
              <w:rPr/>
            </w:pPr>
            <w:r w:rsidDel="00000000" w:rsidR="00000000" w:rsidRPr="00000000">
              <w:rPr>
                <w:b w:val="0"/>
                <w:i w:val="0"/>
                <w:color w:val="000000"/>
                <w:sz w:val="22"/>
                <w:szCs w:val="22"/>
                <w:rtl w:val="0"/>
              </w:rPr>
              <w:t xml:space="preserve">Total Liabilities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spacing w:after="0" w:before="0" w:lineRule="auto"/>
              <w:ind w:left="0" w:firstLine="0"/>
              <w:jc w:val="left"/>
              <w:rPr/>
            </w:pPr>
            <w:r w:rsidDel="00000000" w:rsidR="00000000" w:rsidRPr="00000000">
              <w:rPr>
                <w:b w:val="0"/>
                <w:i w:val="0"/>
                <w:color w:val="000000"/>
                <w:sz w:val="22"/>
                <w:szCs w:val="22"/>
                <w:rtl w:val="0"/>
              </w:rPr>
              <w:t xml:space="preserve">513,201,949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spacing w:after="0" w:before="0" w:lineRule="auto"/>
              <w:ind w:left="0" w:firstLine="0"/>
              <w:jc w:val="left"/>
              <w:rPr/>
            </w:pPr>
            <w:r w:rsidDel="00000000" w:rsidR="00000000" w:rsidRPr="00000000">
              <w:rPr>
                <w:rtl w:val="0"/>
              </w:rPr>
              <w:t xml:space="preserve">497,284,890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spacing w:after="0" w:before="0" w:lineRule="auto"/>
              <w:ind w:left="0" w:firstLine="0"/>
              <w:jc w:val="left"/>
              <w:rPr/>
            </w:pPr>
            <w:r w:rsidDel="00000000" w:rsidR="00000000" w:rsidRPr="00000000">
              <w:rPr>
                <w:rtl w:val="0"/>
              </w:rPr>
              <w:t xml:space="preserve">424,043,190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spacing w:after="0" w:before="0" w:lineRule="auto"/>
              <w:ind w:left="0" w:firstLine="0"/>
              <w:jc w:val="left"/>
              <w:rPr/>
            </w:pPr>
            <w:r w:rsidDel="00000000" w:rsidR="00000000" w:rsidRPr="00000000">
              <w:rPr>
                <w:b w:val="0"/>
                <w:i w:val="0"/>
                <w:color w:val="000000"/>
                <w:sz w:val="22"/>
                <w:szCs w:val="22"/>
                <w:rtl w:val="0"/>
              </w:rPr>
              <w:t xml:space="preserve">Current Liabilities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spacing w:after="0" w:before="0" w:lineRule="auto"/>
              <w:ind w:left="0" w:firstLine="0"/>
              <w:jc w:val="left"/>
              <w:rPr/>
            </w:pPr>
            <w:r w:rsidDel="00000000" w:rsidR="00000000" w:rsidRPr="00000000">
              <w:rPr>
                <w:b w:val="0"/>
                <w:i w:val="0"/>
                <w:color w:val="000000"/>
                <w:sz w:val="22"/>
                <w:szCs w:val="22"/>
                <w:rtl w:val="0"/>
              </w:rPr>
              <w:t xml:space="preserve">317,171,534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spacing w:after="0" w:before="0" w:lineRule="auto"/>
              <w:ind w:left="0" w:firstLine="0"/>
              <w:jc w:val="left"/>
              <w:rPr/>
            </w:pPr>
            <w:r w:rsidDel="00000000" w:rsidR="00000000" w:rsidRPr="00000000">
              <w:rPr>
                <w:rtl w:val="0"/>
              </w:rPr>
              <w:t xml:space="preserve">287,001,069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spacing w:after="0" w:before="0" w:lineRule="auto"/>
              <w:ind w:left="0" w:firstLine="0"/>
              <w:jc w:val="left"/>
              <w:rPr/>
            </w:pPr>
            <w:r w:rsidDel="00000000" w:rsidR="00000000" w:rsidRPr="00000000">
              <w:rPr>
                <w:rtl w:val="0"/>
              </w:rPr>
              <w:t xml:space="preserve">295,761,419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spacing w:after="0" w:before="0" w:lineRule="auto"/>
              <w:ind w:left="0" w:firstLine="0"/>
              <w:jc w:val="left"/>
              <w:rPr/>
            </w:pPr>
            <w:r w:rsidDel="00000000" w:rsidR="00000000" w:rsidRPr="00000000">
              <w:rPr>
                <w:b w:val="0"/>
                <w:i w:val="0"/>
                <w:color w:val="000000"/>
                <w:sz w:val="22"/>
                <w:szCs w:val="22"/>
                <w:rtl w:val="0"/>
              </w:rPr>
              <w:t xml:space="preserve">Non-Current Liabilities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spacing w:after="0" w:before="0" w:lineRule="auto"/>
              <w:ind w:left="0" w:firstLine="0"/>
              <w:jc w:val="left"/>
              <w:rPr/>
            </w:pPr>
            <w:r w:rsidDel="00000000" w:rsidR="00000000" w:rsidRPr="00000000">
              <w:rPr>
                <w:b w:val="0"/>
                <w:i w:val="0"/>
                <w:color w:val="000000"/>
                <w:sz w:val="22"/>
                <w:szCs w:val="22"/>
                <w:rtl w:val="0"/>
              </w:rPr>
              <w:t xml:space="preserve">196,030,416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spacing w:after="0" w:before="0" w:lineRule="auto"/>
              <w:ind w:left="0" w:firstLine="0"/>
              <w:jc w:val="left"/>
              <w:rPr/>
            </w:pPr>
            <w:r w:rsidDel="00000000" w:rsidR="00000000" w:rsidRPr="00000000">
              <w:rPr>
                <w:rtl w:val="0"/>
              </w:rPr>
              <w:t xml:space="preserve">210,283,821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spacing w:after="0" w:before="0" w:lineRule="auto"/>
              <w:ind w:left="0" w:firstLine="0"/>
              <w:jc w:val="left"/>
              <w:rPr/>
            </w:pPr>
            <w:r w:rsidDel="00000000" w:rsidR="00000000" w:rsidRPr="00000000">
              <w:rPr>
                <w:rtl w:val="0"/>
              </w:rPr>
              <w:t xml:space="preserve">128,281,771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spacing w:after="0" w:before="0" w:lineRule="auto"/>
              <w:ind w:left="0" w:firstLine="0"/>
              <w:jc w:val="left"/>
              <w:rPr/>
            </w:pPr>
            <w:r w:rsidDel="00000000" w:rsidR="00000000" w:rsidRPr="00000000">
              <w:rPr>
                <w:b w:val="0"/>
                <w:i w:val="0"/>
                <w:color w:val="000000"/>
                <w:sz w:val="22"/>
                <w:szCs w:val="22"/>
                <w:rtl w:val="0"/>
              </w:rPr>
              <w:t xml:space="preserve">Shareholders' Equity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spacing w:after="0" w:before="0" w:lineRule="auto"/>
              <w:ind w:left="0" w:firstLine="0"/>
              <w:jc w:val="left"/>
              <w:rPr/>
            </w:pPr>
            <w:r w:rsidDel="00000000" w:rsidR="00000000" w:rsidRPr="00000000">
              <w:rPr>
                <w:b w:val="0"/>
                <w:i w:val="0"/>
                <w:color w:val="000000"/>
                <w:sz w:val="22"/>
                <w:szCs w:val="22"/>
                <w:rtl w:val="0"/>
              </w:rPr>
              <w:t xml:space="preserve">273,456,174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3">
            <w:pPr>
              <w:spacing w:after="0" w:before="0" w:lineRule="auto"/>
              <w:ind w:left="0" w:firstLine="0"/>
              <w:jc w:val="left"/>
              <w:rPr/>
            </w:pPr>
            <w:r w:rsidDel="00000000" w:rsidR="00000000" w:rsidRPr="00000000">
              <w:rPr>
                <w:rtl w:val="0"/>
              </w:rPr>
              <w:t xml:space="preserve">219,883,151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4">
            <w:pPr>
              <w:spacing w:after="0" w:before="0" w:lineRule="auto"/>
              <w:ind w:left="0" w:firstLine="0"/>
              <w:jc w:val="left"/>
              <w:rPr/>
            </w:pPr>
            <w:r w:rsidDel="00000000" w:rsidR="00000000" w:rsidRPr="00000000">
              <w:rPr>
                <w:rtl w:val="0"/>
              </w:rPr>
              <w:t xml:space="preserve">176,909,162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5">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6">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7">
            <w:pPr>
              <w:spacing w:after="0" w:before="0" w:lineRule="auto"/>
              <w:ind w:left="0" w:firstLine="0"/>
              <w:jc w:val="left"/>
              <w:rPr/>
            </w:pPr>
            <w:r w:rsidDel="00000000" w:rsidR="00000000" w:rsidRPr="00000000">
              <w:rPr>
                <w:b w:val="0"/>
                <w:i w:val="0"/>
                <w:color w:val="000000"/>
                <w:sz w:val="22"/>
                <w:szCs w:val="22"/>
                <w:rtl w:val="0"/>
              </w:rPr>
              <w:t xml:space="preserve">Retained Earnings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8">
            <w:pPr>
              <w:spacing w:after="0" w:before="0" w:lineRule="auto"/>
              <w:ind w:left="0" w:firstLine="0"/>
              <w:jc w:val="left"/>
              <w:rPr/>
            </w:pPr>
            <w:r w:rsidDel="00000000" w:rsidR="00000000" w:rsidRPr="00000000">
              <w:rPr>
                <w:b w:val="0"/>
                <w:i w:val="0"/>
                <w:color w:val="000000"/>
                <w:sz w:val="22"/>
                <w:szCs w:val="22"/>
                <w:rtl w:val="0"/>
              </w:rPr>
              <w:t xml:space="preserve">126,601,541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9">
            <w:pPr>
              <w:spacing w:after="0" w:line="276" w:lineRule="auto"/>
              <w:rPr/>
            </w:pPr>
            <w:r w:rsidDel="00000000" w:rsidR="00000000" w:rsidRPr="00000000">
              <w:rPr>
                <w:rtl w:val="0"/>
              </w:rPr>
              <w:t xml:space="preserve">103,244,626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A">
            <w:pPr>
              <w:spacing w:after="0" w:before="0" w:lineRule="auto"/>
              <w:ind w:left="0" w:firstLine="0"/>
              <w:jc w:val="left"/>
              <w:rPr/>
            </w:pPr>
            <w:r w:rsidDel="00000000" w:rsidR="00000000" w:rsidRPr="00000000">
              <w:rPr>
                <w:rtl w:val="0"/>
              </w:rPr>
              <w:t xml:space="preserve">63,242,753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B">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C">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D">
            <w:pPr>
              <w:spacing w:after="0" w:before="0" w:lineRule="auto"/>
              <w:ind w:left="0" w:firstLine="0"/>
              <w:jc w:val="left"/>
              <w:rPr/>
            </w:pPr>
            <w:r w:rsidDel="00000000" w:rsidR="00000000" w:rsidRPr="00000000">
              <w:rPr>
                <w:b w:val="0"/>
                <w:i w:val="0"/>
                <w:color w:val="000000"/>
                <w:sz w:val="22"/>
                <w:szCs w:val="22"/>
                <w:rtl w:val="0"/>
              </w:rPr>
              <w:t xml:space="preserve">Total Equity and Liabilities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E">
            <w:pPr>
              <w:spacing w:after="0" w:before="0" w:lineRule="auto"/>
              <w:ind w:left="0" w:firstLine="0"/>
              <w:jc w:val="left"/>
              <w:rPr/>
            </w:pPr>
            <w:r w:rsidDel="00000000" w:rsidR="00000000" w:rsidRPr="00000000">
              <w:rPr>
                <w:b w:val="0"/>
                <w:i w:val="0"/>
                <w:color w:val="000000"/>
                <w:sz w:val="22"/>
                <w:szCs w:val="22"/>
                <w:rtl w:val="0"/>
              </w:rPr>
              <w:t xml:space="preserve">786,658,123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F">
            <w:pPr>
              <w:spacing w:after="0" w:lineRule="auto"/>
              <w:rPr/>
            </w:pPr>
            <w:r w:rsidDel="00000000" w:rsidR="00000000" w:rsidRPr="00000000">
              <w:rPr>
                <w:rtl w:val="0"/>
              </w:rPr>
              <w:t xml:space="preserve">717,168,041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0">
            <w:pPr>
              <w:spacing w:after="0" w:before="0" w:lineRule="auto"/>
              <w:ind w:left="0" w:firstLine="0"/>
              <w:jc w:val="left"/>
              <w:rPr/>
            </w:pPr>
            <w:r w:rsidDel="00000000" w:rsidR="00000000" w:rsidRPr="00000000">
              <w:rPr>
                <w:rtl w:val="0"/>
              </w:rPr>
              <w:t xml:space="preserve">600,952,352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1">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2">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3">
            <w:pPr>
              <w:spacing w:after="0" w:before="0" w:lineRule="auto"/>
              <w:ind w:left="0" w:firstLine="0"/>
              <w:jc w:val="left"/>
              <w:rPr/>
            </w:pPr>
            <w:r w:rsidDel="00000000" w:rsidR="00000000" w:rsidRPr="00000000">
              <w:rPr>
                <w:b w:val="0"/>
                <w:i w:val="0"/>
                <w:color w:val="000000"/>
                <w:sz w:val="22"/>
                <w:szCs w:val="22"/>
                <w:rtl w:val="0"/>
              </w:rPr>
              <w:t xml:space="preserve">Inventories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4">
            <w:pPr>
              <w:spacing w:after="0" w:before="0" w:lineRule="auto"/>
              <w:ind w:left="0" w:firstLine="0"/>
              <w:jc w:val="left"/>
              <w:rPr/>
            </w:pPr>
            <w:r w:rsidDel="00000000" w:rsidR="00000000" w:rsidRPr="00000000">
              <w:rPr>
                <w:b w:val="0"/>
                <w:i w:val="0"/>
                <w:color w:val="000000"/>
                <w:sz w:val="22"/>
                <w:szCs w:val="22"/>
                <w:rtl w:val="0"/>
              </w:rPr>
              <w:t xml:space="preserve">59,835,533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5">
            <w:pPr>
              <w:spacing w:after="0" w:before="0" w:lineRule="auto"/>
              <w:ind w:left="0" w:firstLine="0"/>
              <w:jc w:val="left"/>
              <w:rPr/>
            </w:pPr>
            <w:r w:rsidDel="00000000" w:rsidR="00000000" w:rsidRPr="00000000">
              <w:rPr>
                <w:rtl w:val="0"/>
              </w:rPr>
              <w:t xml:space="preserve">45,433,890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6">
            <w:pPr>
              <w:spacing w:after="0" w:before="0" w:lineRule="auto"/>
              <w:ind w:left="0" w:firstLine="0"/>
              <w:jc w:val="left"/>
              <w:rPr/>
            </w:pPr>
            <w:r w:rsidDel="00000000" w:rsidR="00000000" w:rsidRPr="00000000">
              <w:rPr>
                <w:rtl w:val="0"/>
              </w:rPr>
              <w:t xml:space="preserve">76,668,899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7">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8">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9">
            <w:pPr>
              <w:spacing w:after="0" w:before="0" w:lineRule="auto"/>
              <w:ind w:left="0" w:firstLine="0"/>
              <w:jc w:val="left"/>
              <w:rPr/>
            </w:pPr>
            <w:r w:rsidDel="00000000" w:rsidR="00000000" w:rsidRPr="00000000">
              <w:rPr>
                <w:b w:val="0"/>
                <w:i w:val="0"/>
                <w:color w:val="000000"/>
                <w:sz w:val="22"/>
                <w:szCs w:val="22"/>
                <w:rtl w:val="0"/>
              </w:rPr>
              <w:t xml:space="preserve">Prepaid Expenses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A">
            <w:pPr>
              <w:spacing w:after="0" w:before="0" w:lineRule="auto"/>
              <w:ind w:left="0" w:firstLine="0"/>
              <w:jc w:val="left"/>
              <w:rPr/>
            </w:pPr>
            <w:r w:rsidDel="00000000" w:rsidR="00000000" w:rsidRPr="00000000">
              <w:rPr>
                <w:b w:val="0"/>
                <w:i w:val="0"/>
                <w:color w:val="000000"/>
                <w:sz w:val="22"/>
                <w:szCs w:val="22"/>
                <w:rtl w:val="0"/>
              </w:rPr>
              <w:t xml:space="preserve">5,969,685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B">
            <w:pPr>
              <w:spacing w:after="0" w:before="0" w:lineRule="auto"/>
              <w:ind w:left="0" w:firstLine="0"/>
              <w:jc w:val="left"/>
              <w:rPr/>
            </w:pPr>
            <w:r w:rsidDel="00000000" w:rsidR="00000000" w:rsidRPr="00000000">
              <w:rPr>
                <w:rtl w:val="0"/>
              </w:rPr>
              <w:t xml:space="preserve">6,962,873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C">
            <w:pPr>
              <w:spacing w:after="0" w:before="0" w:lineRule="auto"/>
              <w:ind w:left="0" w:firstLine="0"/>
              <w:jc w:val="left"/>
              <w:rPr/>
            </w:pPr>
            <w:r w:rsidDel="00000000" w:rsidR="00000000" w:rsidRPr="00000000">
              <w:rPr>
                <w:rtl w:val="0"/>
              </w:rPr>
              <w:t xml:space="preserve">15,843,284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D">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E">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bl>
    <w:p w:rsidR="00000000" w:rsidDel="00000000" w:rsidP="00000000" w:rsidRDefault="00000000" w:rsidRPr="00000000" w14:paraId="000000AF">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B0">
      <w:pPr>
        <w:spacing w:after="180" w:before="180" w:lineRule="auto"/>
        <w:ind w:left="0" w:firstLine="0"/>
        <w:jc w:val="left"/>
        <w:rPr/>
      </w:pPr>
      <w:r w:rsidDel="00000000" w:rsidR="00000000" w:rsidRPr="00000000">
        <w:rPr>
          <w:b w:val="1"/>
          <w:i w:val="0"/>
          <w:color w:val="000000"/>
          <w:sz w:val="33"/>
          <w:szCs w:val="33"/>
          <w:rtl w:val="0"/>
        </w:rPr>
        <w:t xml:space="preserve">S2.3: Cash Flow Statement</w:t>
      </w:r>
      <w:r w:rsidDel="00000000" w:rsidR="00000000" w:rsidRPr="00000000">
        <w:rPr>
          <w:rtl w:val="0"/>
        </w:rPr>
      </w:r>
    </w:p>
    <w:tbl>
      <w:tblPr>
        <w:tblStyle w:val="Table6"/>
        <w:tblW w:w="10050.000000000002"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388"/>
        <w:gridCol w:w="1607"/>
        <w:gridCol w:w="1607"/>
        <w:gridCol w:w="1607"/>
        <w:gridCol w:w="1465"/>
        <w:gridCol w:w="1376"/>
        <w:tblGridChange w:id="0">
          <w:tblGrid>
            <w:gridCol w:w="2388"/>
            <w:gridCol w:w="1607"/>
            <w:gridCol w:w="1607"/>
            <w:gridCol w:w="1607"/>
            <w:gridCol w:w="1465"/>
            <w:gridCol w:w="137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1">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2">
            <w:pPr>
              <w:spacing w:after="0" w:before="0" w:lineRule="auto"/>
              <w:ind w:left="0" w:firstLine="0"/>
              <w:jc w:val="left"/>
              <w:rPr/>
            </w:pPr>
            <w:r w:rsidDel="00000000" w:rsidR="00000000" w:rsidRPr="00000000">
              <w:rPr>
                <w:b w:val="1"/>
                <w:i w:val="0"/>
                <w:color w:val="000000"/>
                <w:sz w:val="22"/>
                <w:szCs w:val="22"/>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3">
            <w:pPr>
              <w:spacing w:after="0" w:before="0" w:lineRule="auto"/>
              <w:ind w:left="0" w:firstLine="0"/>
              <w:jc w:val="left"/>
              <w:rPr/>
            </w:pPr>
            <w:r w:rsidDel="00000000" w:rsidR="00000000" w:rsidRPr="00000000">
              <w:rPr>
                <w:b w:val="1"/>
                <w:i w:val="0"/>
                <w:color w:val="000000"/>
                <w:sz w:val="22"/>
                <w:szCs w:val="22"/>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4">
            <w:pPr>
              <w:spacing w:after="0" w:before="0" w:lineRule="auto"/>
              <w:ind w:left="0" w:firstLine="0"/>
              <w:jc w:val="left"/>
              <w:rPr/>
            </w:pPr>
            <w:r w:rsidDel="00000000" w:rsidR="00000000" w:rsidRPr="00000000">
              <w:rPr>
                <w:b w:val="1"/>
                <w:i w:val="0"/>
                <w:color w:val="000000"/>
                <w:sz w:val="22"/>
                <w:szCs w:val="22"/>
                <w:rtl w:val="0"/>
              </w:rPr>
              <w:t xml:space="preserve">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5">
            <w:pPr>
              <w:spacing w:after="0" w:before="0" w:lineRule="auto"/>
              <w:ind w:left="0" w:firstLine="0"/>
              <w:jc w:val="left"/>
              <w:rPr/>
            </w:pPr>
            <w:r w:rsidDel="00000000" w:rsidR="00000000" w:rsidRPr="00000000">
              <w:rPr>
                <w:b w:val="1"/>
                <w:i w:val="0"/>
                <w:color w:val="000000"/>
                <w:sz w:val="22"/>
                <w:szCs w:val="22"/>
                <w:rtl w:val="0"/>
              </w:rPr>
              <w:t xml:space="preserve">Multiplier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6">
            <w:pPr>
              <w:spacing w:after="0" w:before="0" w:lineRule="auto"/>
              <w:ind w:left="0" w:firstLine="0"/>
              <w:jc w:val="left"/>
              <w:rPr/>
            </w:pPr>
            <w:r w:rsidDel="00000000" w:rsidR="00000000" w:rsidRPr="00000000">
              <w:rPr>
                <w:b w:val="1"/>
                <w:i w:val="0"/>
                <w:color w:val="000000"/>
                <w:sz w:val="22"/>
                <w:szCs w:val="22"/>
                <w:rtl w:val="0"/>
              </w:rPr>
              <w:t xml:space="preserve">Currency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7">
            <w:pPr>
              <w:spacing w:after="0" w:before="0" w:lineRule="auto"/>
              <w:ind w:left="0" w:firstLine="0"/>
              <w:jc w:val="left"/>
              <w:rPr/>
            </w:pPr>
            <w:r w:rsidDel="00000000" w:rsidR="00000000" w:rsidRPr="00000000">
              <w:rPr>
                <w:b w:val="0"/>
                <w:i w:val="0"/>
                <w:color w:val="000000"/>
                <w:sz w:val="22"/>
                <w:szCs w:val="22"/>
                <w:rtl w:val="0"/>
              </w:rPr>
              <w:t xml:space="preserve">Net Cash Flow from Operations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8">
            <w:pPr>
              <w:spacing w:after="0" w:before="0" w:lineRule="auto"/>
              <w:ind w:left="0" w:firstLine="0"/>
              <w:jc w:val="left"/>
              <w:rPr/>
            </w:pPr>
            <w:r w:rsidDel="00000000" w:rsidR="00000000" w:rsidRPr="00000000">
              <w:rPr>
                <w:b w:val="0"/>
                <w:i w:val="0"/>
                <w:color w:val="000000"/>
                <w:sz w:val="22"/>
                <w:szCs w:val="22"/>
                <w:rtl w:val="0"/>
              </w:rPr>
              <w:t xml:space="preserve">96,990,345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9">
            <w:pPr>
              <w:spacing w:after="0" w:before="0" w:lineRule="auto"/>
              <w:ind w:left="0" w:firstLine="0"/>
              <w:jc w:val="left"/>
              <w:rPr/>
            </w:pPr>
            <w:r w:rsidDel="00000000" w:rsidR="00000000" w:rsidRPr="00000000">
              <w:rPr>
                <w:b w:val="0"/>
                <w:i w:val="0"/>
                <w:color w:val="000000"/>
                <w:sz w:val="22"/>
                <w:szCs w:val="22"/>
                <w:rtl w:val="0"/>
              </w:rPr>
              <w:t xml:space="preserve">92,826,124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A">
            <w:pPr>
              <w:spacing w:after="0" w:before="0" w:lineRule="auto"/>
              <w:ind w:left="0" w:firstLine="0"/>
              <w:jc w:val="left"/>
              <w:rPr/>
            </w:pPr>
            <w:r w:rsidDel="00000000" w:rsidR="00000000" w:rsidRPr="00000000">
              <w:rPr>
                <w:b w:val="0"/>
                <w:i w:val="0"/>
                <w:color w:val="000000"/>
                <w:sz w:val="22"/>
                <w:szCs w:val="22"/>
                <w:rtl w:val="0"/>
              </w:rPr>
              <w:t xml:space="preserve">61,208,843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B">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C">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D">
            <w:pPr>
              <w:spacing w:after="0" w:before="0" w:lineRule="auto"/>
              <w:ind w:left="0" w:firstLine="0"/>
              <w:jc w:val="left"/>
              <w:rPr/>
            </w:pPr>
            <w:r w:rsidDel="00000000" w:rsidR="00000000" w:rsidRPr="00000000">
              <w:rPr>
                <w:b w:val="0"/>
                <w:i w:val="0"/>
                <w:color w:val="000000"/>
                <w:sz w:val="22"/>
                <w:szCs w:val="22"/>
                <w:rtl w:val="0"/>
              </w:rPr>
              <w:t xml:space="preserve">Net Cash Flow from Investing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E">
            <w:pPr>
              <w:spacing w:after="0" w:before="0" w:lineRule="auto"/>
              <w:ind w:left="0" w:firstLine="0"/>
              <w:jc w:val="left"/>
              <w:rPr/>
            </w:pPr>
            <w:r w:rsidDel="00000000" w:rsidR="00000000" w:rsidRPr="00000000">
              <w:rPr>
                <w:b w:val="0"/>
                <w:i w:val="0"/>
                <w:color w:val="000000"/>
                <w:sz w:val="22"/>
                <w:szCs w:val="22"/>
                <w:rtl w:val="0"/>
              </w:rPr>
              <w:t xml:space="preserve">-48,875,311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F">
            <w:pPr>
              <w:spacing w:after="0" w:before="0" w:lineRule="auto"/>
              <w:ind w:left="0" w:firstLine="0"/>
              <w:jc w:val="left"/>
              <w:rPr/>
            </w:pPr>
            <w:r w:rsidDel="00000000" w:rsidR="00000000" w:rsidRPr="00000000">
              <w:rPr>
                <w:b w:val="0"/>
                <w:i w:val="0"/>
                <w:color w:val="000000"/>
                <w:sz w:val="22"/>
                <w:szCs w:val="22"/>
                <w:rtl w:val="0"/>
              </w:rPr>
              <w:t xml:space="preserve">-29,187,764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0">
            <w:pPr>
              <w:spacing w:after="0" w:before="0" w:lineRule="auto"/>
              <w:ind w:left="0" w:firstLine="0"/>
              <w:jc w:val="left"/>
              <w:rPr/>
            </w:pPr>
            <w:r w:rsidDel="00000000" w:rsidR="00000000" w:rsidRPr="00000000">
              <w:rPr>
                <w:b w:val="0"/>
                <w:i w:val="0"/>
                <w:color w:val="000000"/>
                <w:sz w:val="22"/>
                <w:szCs w:val="22"/>
                <w:rtl w:val="0"/>
              </w:rPr>
              <w:t xml:space="preserve">-64,139,841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1">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2">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3">
            <w:pPr>
              <w:spacing w:after="0" w:before="0" w:lineRule="auto"/>
              <w:ind w:left="0" w:firstLine="0"/>
              <w:jc w:val="left"/>
              <w:rPr/>
            </w:pPr>
            <w:r w:rsidDel="00000000" w:rsidR="00000000" w:rsidRPr="00000000">
              <w:rPr>
                <w:b w:val="0"/>
                <w:i w:val="0"/>
                <w:color w:val="000000"/>
                <w:sz w:val="22"/>
                <w:szCs w:val="22"/>
                <w:rtl w:val="0"/>
              </w:rPr>
              <w:t xml:space="preserve">Net Cash Flow from Financing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4">
            <w:pPr>
              <w:spacing w:after="0" w:before="0" w:lineRule="auto"/>
              <w:ind w:left="0" w:firstLine="0"/>
              <w:jc w:val="left"/>
              <w:rPr/>
            </w:pPr>
            <w:r w:rsidDel="00000000" w:rsidR="00000000" w:rsidRPr="00000000">
              <w:rPr>
                <w:b w:val="0"/>
                <w:i w:val="0"/>
                <w:color w:val="000000"/>
                <w:sz w:val="22"/>
                <w:szCs w:val="22"/>
                <w:rtl w:val="0"/>
              </w:rPr>
              <w:t xml:space="preserve">-14,524,236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5">
            <w:pPr>
              <w:spacing w:after="0" w:before="0" w:lineRule="auto"/>
              <w:ind w:left="0" w:firstLine="0"/>
              <w:jc w:val="left"/>
              <w:rPr/>
            </w:pPr>
            <w:r w:rsidDel="00000000" w:rsidR="00000000" w:rsidRPr="00000000">
              <w:rPr>
                <w:b w:val="0"/>
                <w:i w:val="0"/>
                <w:color w:val="000000"/>
                <w:sz w:val="22"/>
                <w:szCs w:val="22"/>
                <w:rtl w:val="0"/>
              </w:rPr>
              <w:t xml:space="preserve">14,716,363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6">
            <w:pPr>
              <w:spacing w:after="0" w:before="0" w:lineRule="auto"/>
              <w:ind w:left="0" w:firstLine="0"/>
              <w:jc w:val="left"/>
              <w:rPr/>
            </w:pPr>
            <w:r w:rsidDel="00000000" w:rsidR="00000000" w:rsidRPr="00000000">
              <w:rPr>
                <w:b w:val="0"/>
                <w:i w:val="0"/>
                <w:color w:val="000000"/>
                <w:sz w:val="22"/>
                <w:szCs w:val="22"/>
                <w:rtl w:val="0"/>
              </w:rPr>
              <w:t xml:space="preserve">82,266,431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7">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8">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9">
            <w:pPr>
              <w:spacing w:after="0" w:before="0" w:lineRule="auto"/>
              <w:ind w:left="0" w:firstLine="0"/>
              <w:jc w:val="left"/>
              <w:rPr/>
            </w:pPr>
            <w:r w:rsidDel="00000000" w:rsidR="00000000" w:rsidRPr="00000000">
              <w:rPr>
                <w:b w:val="0"/>
                <w:i w:val="0"/>
                <w:color w:val="000000"/>
                <w:sz w:val="22"/>
                <w:szCs w:val="22"/>
                <w:rtl w:val="0"/>
              </w:rPr>
              <w:t xml:space="preserve">Net Increase/Decrease in Cash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A">
            <w:pPr>
              <w:spacing w:after="0" w:before="0" w:lineRule="auto"/>
              <w:ind w:left="0" w:firstLine="0"/>
              <w:jc w:val="left"/>
              <w:rPr/>
            </w:pPr>
            <w:r w:rsidDel="00000000" w:rsidR="00000000" w:rsidRPr="00000000">
              <w:rPr>
                <w:b w:val="0"/>
                <w:i w:val="0"/>
                <w:color w:val="000000"/>
                <w:sz w:val="22"/>
                <w:szCs w:val="22"/>
                <w:rtl w:val="0"/>
              </w:rPr>
              <w:t xml:space="preserve">31,994,247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B">
            <w:pPr>
              <w:spacing w:after="0" w:before="0" w:lineRule="auto"/>
              <w:ind w:left="0" w:firstLine="0"/>
              <w:jc w:val="left"/>
              <w:rPr/>
            </w:pPr>
            <w:r w:rsidDel="00000000" w:rsidR="00000000" w:rsidRPr="00000000">
              <w:rPr>
                <w:b w:val="0"/>
                <w:i w:val="0"/>
                <w:color w:val="000000"/>
                <w:sz w:val="22"/>
                <w:szCs w:val="22"/>
                <w:rtl w:val="0"/>
              </w:rPr>
              <w:t xml:space="preserve">80,536,170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C">
            <w:pPr>
              <w:spacing w:after="0" w:before="0" w:lineRule="auto"/>
              <w:ind w:left="0" w:firstLine="0"/>
              <w:jc w:val="left"/>
              <w:rPr/>
            </w:pPr>
            <w:r w:rsidDel="00000000" w:rsidR="00000000" w:rsidRPr="00000000">
              <w:rPr>
                <w:b w:val="0"/>
                <w:i w:val="0"/>
                <w:color w:val="000000"/>
                <w:sz w:val="22"/>
                <w:szCs w:val="22"/>
                <w:rtl w:val="0"/>
              </w:rPr>
              <w:t xml:space="preserve">82,123,582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D">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E">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F">
            <w:pPr>
              <w:spacing w:after="0" w:before="0" w:lineRule="auto"/>
              <w:ind w:left="0" w:firstLine="0"/>
              <w:jc w:val="left"/>
              <w:rPr/>
            </w:pPr>
            <w:r w:rsidDel="00000000" w:rsidR="00000000" w:rsidRPr="00000000">
              <w:rPr>
                <w:b w:val="0"/>
                <w:i w:val="0"/>
                <w:color w:val="000000"/>
                <w:sz w:val="22"/>
                <w:szCs w:val="22"/>
                <w:rtl w:val="0"/>
              </w:rPr>
              <w:t xml:space="preserve">Dividends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0">
            <w:pPr>
              <w:spacing w:after="0" w:before="0" w:lineRule="auto"/>
              <w:ind w:left="0" w:firstLine="0"/>
              <w:jc w:val="left"/>
              <w:rPr/>
            </w:pPr>
            <w:r w:rsidDel="00000000" w:rsidR="00000000" w:rsidRPr="00000000">
              <w:rPr>
                <w:b w:val="0"/>
                <w:i w:val="0"/>
                <w:color w:val="000000"/>
                <w:sz w:val="22"/>
                <w:szCs w:val="22"/>
                <w:rtl w:val="0"/>
              </w:rPr>
              <w:t xml:space="preserve">25,807,432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1">
            <w:pPr>
              <w:spacing w:after="0" w:before="0" w:lineRule="auto"/>
              <w:ind w:left="0" w:firstLine="0"/>
              <w:jc w:val="left"/>
              <w:rPr/>
            </w:pPr>
            <w:r w:rsidDel="00000000" w:rsidR="00000000" w:rsidRPr="00000000">
              <w:rPr>
                <w:rtl w:val="0"/>
              </w:rPr>
              <w:t xml:space="preserve">9,481,093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2">
            <w:pPr>
              <w:spacing w:after="0" w:lineRule="auto"/>
              <w:rPr/>
            </w:pPr>
            <w:r w:rsidDel="00000000" w:rsidR="00000000" w:rsidRPr="00000000">
              <w:rPr>
                <w:rtl w:val="0"/>
              </w:rPr>
              <w:t xml:space="preserve">3,551,469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3">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4">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bl>
    <w:p w:rsidR="00000000" w:rsidDel="00000000" w:rsidP="00000000" w:rsidRDefault="00000000" w:rsidRPr="00000000" w14:paraId="000000D5">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D6">
      <w:pPr>
        <w:spacing w:after="180" w:before="180" w:lineRule="auto"/>
        <w:ind w:left="0" w:firstLine="0"/>
        <w:jc w:val="left"/>
        <w:rPr/>
      </w:pPr>
      <w:r w:rsidDel="00000000" w:rsidR="00000000" w:rsidRPr="00000000">
        <w:rPr>
          <w:b w:val="1"/>
          <w:i w:val="0"/>
          <w:color w:val="000000"/>
          <w:sz w:val="33"/>
          <w:szCs w:val="33"/>
          <w:rtl w:val="0"/>
        </w:rPr>
        <w:t xml:space="preserve">S2.4: Key Financial Metrics</w:t>
      </w:r>
      <w:r w:rsidDel="00000000" w:rsidR="00000000" w:rsidRPr="00000000">
        <w:rPr>
          <w:rtl w:val="0"/>
        </w:rPr>
      </w:r>
    </w:p>
    <w:tbl>
      <w:tblPr>
        <w:tblStyle w:val="Table7"/>
        <w:tblW w:w="5859.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998"/>
        <w:gridCol w:w="1287"/>
        <w:gridCol w:w="1287"/>
        <w:gridCol w:w="1287"/>
        <w:tblGridChange w:id="0">
          <w:tblGrid>
            <w:gridCol w:w="1998"/>
            <w:gridCol w:w="1287"/>
            <w:gridCol w:w="1287"/>
            <w:gridCol w:w="128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7">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8">
            <w:pPr>
              <w:spacing w:after="0" w:before="0" w:lineRule="auto"/>
              <w:ind w:left="0" w:firstLine="0"/>
              <w:jc w:val="left"/>
              <w:rPr/>
            </w:pPr>
            <w:r w:rsidDel="00000000" w:rsidR="00000000" w:rsidRPr="00000000">
              <w:rPr>
                <w:b w:val="1"/>
                <w:i w:val="0"/>
                <w:color w:val="000000"/>
                <w:sz w:val="22"/>
                <w:szCs w:val="22"/>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9">
            <w:pPr>
              <w:spacing w:after="0" w:before="0" w:lineRule="auto"/>
              <w:ind w:left="0" w:firstLine="0"/>
              <w:jc w:val="left"/>
              <w:rPr/>
            </w:pPr>
            <w:r w:rsidDel="00000000" w:rsidR="00000000" w:rsidRPr="00000000">
              <w:rPr>
                <w:b w:val="1"/>
                <w:i w:val="0"/>
                <w:color w:val="000000"/>
                <w:sz w:val="22"/>
                <w:szCs w:val="22"/>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A">
            <w:pPr>
              <w:spacing w:after="0" w:before="0" w:lineRule="auto"/>
              <w:ind w:left="0" w:firstLine="0"/>
              <w:jc w:val="left"/>
              <w:rPr/>
            </w:pPr>
            <w:r w:rsidDel="00000000" w:rsidR="00000000" w:rsidRPr="00000000">
              <w:rPr>
                <w:b w:val="1"/>
                <w:i w:val="0"/>
                <w:color w:val="000000"/>
                <w:sz w:val="22"/>
                <w:szCs w:val="22"/>
                <w:rtl w:val="0"/>
              </w:rPr>
              <w:t xml:space="preserve">2022</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B">
            <w:pPr>
              <w:spacing w:after="0" w:before="0" w:lineRule="auto"/>
              <w:ind w:left="0" w:firstLine="0"/>
              <w:jc w:val="left"/>
              <w:rPr/>
            </w:pPr>
            <w:r w:rsidDel="00000000" w:rsidR="00000000" w:rsidRPr="00000000">
              <w:rPr>
                <w:b w:val="0"/>
                <w:i w:val="0"/>
                <w:color w:val="000000"/>
                <w:sz w:val="22"/>
                <w:szCs w:val="22"/>
                <w:rtl w:val="0"/>
              </w:rPr>
              <w:t xml:space="preserve">Gross Margin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C">
            <w:pPr>
              <w:spacing w:after="0" w:before="0" w:lineRule="auto"/>
              <w:ind w:left="0" w:firstLine="0"/>
              <w:jc w:val="left"/>
              <w:rPr/>
            </w:pPr>
            <w:r w:rsidDel="00000000" w:rsidR="00000000" w:rsidRPr="00000000">
              <w:rPr>
                <w:rtl w:val="0"/>
              </w:rPr>
              <w:t xml:space="preserve">24.44%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D">
            <w:pPr>
              <w:spacing w:after="0" w:before="0" w:lineRule="auto"/>
              <w:ind w:left="0" w:firstLine="0"/>
              <w:jc w:val="left"/>
              <w:rPr/>
            </w:pPr>
            <w:r w:rsidDel="00000000" w:rsidR="00000000" w:rsidRPr="00000000">
              <w:rPr>
                <w:rtl w:val="0"/>
              </w:rPr>
              <w:t xml:space="preserve">19.19%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E">
            <w:pPr>
              <w:spacing w:after="0" w:before="0" w:lineRule="auto"/>
              <w:ind w:left="0" w:firstLine="0"/>
              <w:jc w:val="left"/>
              <w:rPr/>
            </w:pPr>
            <w:r w:rsidDel="00000000" w:rsidR="00000000" w:rsidRPr="00000000">
              <w:rPr>
                <w:rtl w:val="0"/>
              </w:rPr>
              <w:t xml:space="preserve">20.25%</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F">
            <w:pPr>
              <w:spacing w:after="0" w:before="0" w:lineRule="auto"/>
              <w:ind w:left="0" w:firstLine="0"/>
              <w:jc w:val="left"/>
              <w:rPr/>
            </w:pPr>
            <w:r w:rsidDel="00000000" w:rsidR="00000000" w:rsidRPr="00000000">
              <w:rPr>
                <w:b w:val="0"/>
                <w:i w:val="0"/>
                <w:color w:val="000000"/>
                <w:sz w:val="22"/>
                <w:szCs w:val="22"/>
                <w:rtl w:val="0"/>
              </w:rPr>
              <w:t xml:space="preserve">Operating Margin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0">
            <w:pPr>
              <w:spacing w:after="0" w:before="0" w:lineRule="auto"/>
              <w:ind w:left="0" w:firstLine="0"/>
              <w:jc w:val="left"/>
              <w:rPr/>
            </w:pPr>
            <w:r w:rsidDel="00000000" w:rsidR="00000000" w:rsidRPr="00000000">
              <w:rPr>
                <w:b w:val="0"/>
                <w:i w:val="0"/>
                <w:color w:val="000000"/>
                <w:sz w:val="22"/>
                <w:szCs w:val="22"/>
                <w:rtl w:val="0"/>
              </w:rPr>
              <w:t xml:space="preserve">17.70%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1">
            <w:pPr>
              <w:spacing w:after="0" w:before="0" w:lineRule="auto"/>
              <w:ind w:left="0" w:firstLine="0"/>
              <w:jc w:val="left"/>
              <w:rPr/>
            </w:pPr>
            <w:r w:rsidDel="00000000" w:rsidR="00000000" w:rsidRPr="00000000">
              <w:rPr>
                <w:b w:val="0"/>
                <w:i w:val="0"/>
                <w:color w:val="000000"/>
                <w:sz w:val="22"/>
                <w:szCs w:val="22"/>
                <w:rtl w:val="0"/>
              </w:rPr>
              <w:t xml:space="preserve">13.40%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2">
            <w:pPr>
              <w:spacing w:after="0" w:before="0" w:lineRule="auto"/>
              <w:ind w:left="0" w:firstLine="0"/>
              <w:jc w:val="left"/>
              <w:rPr/>
            </w:pPr>
            <w:r w:rsidDel="00000000" w:rsidR="00000000" w:rsidRPr="00000000">
              <w:rPr>
                <w:b w:val="0"/>
                <w:i w:val="0"/>
                <w:color w:val="000000"/>
                <w:sz w:val="22"/>
                <w:szCs w:val="22"/>
                <w:rtl w:val="0"/>
              </w:rPr>
              <w:t xml:space="preserve">1</w:t>
            </w:r>
            <w:r w:rsidDel="00000000" w:rsidR="00000000" w:rsidRPr="00000000">
              <w:rPr>
                <w:rtl w:val="0"/>
              </w:rPr>
              <w:t xml:space="preserve">1</w:t>
            </w:r>
            <w:r w:rsidDel="00000000" w:rsidR="00000000" w:rsidRPr="00000000">
              <w:rPr>
                <w:b w:val="0"/>
                <w:i w:val="0"/>
                <w:color w:val="000000"/>
                <w:sz w:val="22"/>
                <w:szCs w:val="22"/>
                <w:rtl w:val="0"/>
              </w:rPr>
              <w:t xml:space="preserve">.</w:t>
            </w:r>
            <w:r w:rsidDel="00000000" w:rsidR="00000000" w:rsidRPr="00000000">
              <w:rPr>
                <w:rtl w:val="0"/>
              </w:rPr>
              <w:t xml:space="preserve">21</w:t>
            </w:r>
            <w:r w:rsidDel="00000000" w:rsidR="00000000" w:rsidRPr="00000000">
              <w:rPr>
                <w:b w:val="0"/>
                <w:i w:val="0"/>
                <w:color w:val="000000"/>
                <w:sz w:val="22"/>
                <w:szCs w:val="22"/>
                <w:rtl w:val="0"/>
              </w:rPr>
              <w:t xml:space="preserv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3">
            <w:pPr>
              <w:spacing w:after="0" w:before="0" w:lineRule="auto"/>
              <w:ind w:left="0" w:firstLine="0"/>
              <w:jc w:val="left"/>
              <w:rPr/>
            </w:pPr>
            <w:r w:rsidDel="00000000" w:rsidR="00000000" w:rsidRPr="00000000">
              <w:rPr>
                <w:b w:val="0"/>
                <w:i w:val="0"/>
                <w:color w:val="000000"/>
                <w:sz w:val="22"/>
                <w:szCs w:val="22"/>
                <w:rtl w:val="0"/>
              </w:rPr>
              <w:t xml:space="preserve">Net Profit Margin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4">
            <w:pPr>
              <w:spacing w:after="0" w:before="0" w:lineRule="auto"/>
              <w:ind w:left="0" w:firstLine="0"/>
              <w:jc w:val="left"/>
              <w:rPr/>
            </w:pPr>
            <w:r w:rsidDel="00000000" w:rsidR="00000000" w:rsidRPr="00000000">
              <w:rPr>
                <w:b w:val="0"/>
                <w:i w:val="0"/>
                <w:color w:val="000000"/>
                <w:sz w:val="22"/>
                <w:szCs w:val="22"/>
                <w:rtl w:val="0"/>
              </w:rPr>
              <w:t xml:space="preserve">14.93%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5">
            <w:pPr>
              <w:spacing w:after="0" w:before="0" w:lineRule="auto"/>
              <w:ind w:left="0" w:firstLine="0"/>
              <w:jc w:val="left"/>
              <w:rPr/>
            </w:pPr>
            <w:r w:rsidDel="00000000" w:rsidR="00000000" w:rsidRPr="00000000">
              <w:rPr>
                <w:b w:val="0"/>
                <w:i w:val="0"/>
                <w:color w:val="000000"/>
                <w:sz w:val="22"/>
                <w:szCs w:val="22"/>
                <w:rtl w:val="0"/>
              </w:rPr>
              <w:t xml:space="preserve">11.67%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6">
            <w:pPr>
              <w:spacing w:after="0" w:before="0" w:lineRule="auto"/>
              <w:ind w:left="0" w:firstLine="0"/>
              <w:jc w:val="left"/>
              <w:rPr/>
            </w:pPr>
            <w:r w:rsidDel="00000000" w:rsidR="00000000" w:rsidRPr="00000000">
              <w:rPr>
                <w:rtl w:val="0"/>
              </w:rPr>
              <w:t xml:space="preserve">10.18%</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7">
            <w:pPr>
              <w:spacing w:after="0" w:before="0" w:lineRule="auto"/>
              <w:ind w:left="0" w:firstLine="0"/>
              <w:jc w:val="left"/>
              <w:rPr/>
            </w:pPr>
            <w:r w:rsidDel="00000000" w:rsidR="00000000" w:rsidRPr="00000000">
              <w:rPr>
                <w:b w:val="0"/>
                <w:i w:val="0"/>
                <w:color w:val="000000"/>
                <w:sz w:val="22"/>
                <w:szCs w:val="22"/>
                <w:rtl w:val="0"/>
              </w:rPr>
              <w:t xml:space="preserve">Current Ratio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8">
            <w:pPr>
              <w:spacing w:after="0" w:before="0" w:lineRule="auto"/>
              <w:ind w:left="0" w:firstLine="0"/>
              <w:jc w:val="left"/>
              <w:rPr/>
            </w:pPr>
            <w:r w:rsidDel="00000000" w:rsidR="00000000" w:rsidRPr="00000000">
              <w:rPr>
                <w:b w:val="0"/>
                <w:i w:val="0"/>
                <w:color w:val="000000"/>
                <w:sz w:val="22"/>
                <w:szCs w:val="22"/>
                <w:rtl w:val="0"/>
              </w:rPr>
              <w:t xml:space="preserve">160.86%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9">
            <w:pPr>
              <w:spacing w:after="0" w:before="0" w:lineRule="auto"/>
              <w:ind w:left="0" w:firstLine="0"/>
              <w:jc w:val="left"/>
              <w:rPr/>
            </w:pPr>
            <w:r w:rsidDel="00000000" w:rsidR="00000000" w:rsidRPr="00000000">
              <w:rPr>
                <w:b w:val="0"/>
                <w:i w:val="0"/>
                <w:color w:val="000000"/>
                <w:sz w:val="22"/>
                <w:szCs w:val="22"/>
                <w:rtl w:val="0"/>
              </w:rPr>
              <w:t xml:space="preserve">156.77%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A">
            <w:pPr>
              <w:spacing w:after="0" w:before="0" w:lineRule="auto"/>
              <w:ind w:left="0" w:firstLine="0"/>
              <w:jc w:val="left"/>
              <w:rPr/>
            </w:pPr>
            <w:r w:rsidDel="00000000" w:rsidR="00000000" w:rsidRPr="00000000">
              <w:rPr>
                <w:b w:val="0"/>
                <w:i w:val="0"/>
                <w:color w:val="000000"/>
                <w:sz w:val="22"/>
                <w:szCs w:val="22"/>
                <w:rtl w:val="0"/>
              </w:rPr>
              <w:t xml:space="preserve">131.17%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B">
            <w:pPr>
              <w:spacing w:after="0" w:before="0" w:lineRule="auto"/>
              <w:ind w:left="0" w:firstLine="0"/>
              <w:jc w:val="left"/>
              <w:rPr/>
            </w:pPr>
            <w:r w:rsidDel="00000000" w:rsidR="00000000" w:rsidRPr="00000000">
              <w:rPr>
                <w:b w:val="0"/>
                <w:i w:val="0"/>
                <w:color w:val="000000"/>
                <w:sz w:val="22"/>
                <w:szCs w:val="22"/>
                <w:rtl w:val="0"/>
              </w:rPr>
              <w:t xml:space="preserve">Quick Ratio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C">
            <w:pPr>
              <w:spacing w:after="0" w:before="0" w:lineRule="auto"/>
              <w:ind w:left="0" w:firstLine="0"/>
              <w:jc w:val="left"/>
              <w:rPr/>
            </w:pPr>
            <w:r w:rsidDel="00000000" w:rsidR="00000000" w:rsidRPr="00000000">
              <w:rPr>
                <w:b w:val="0"/>
                <w:i w:val="0"/>
                <w:color w:val="000000"/>
                <w:sz w:val="22"/>
                <w:szCs w:val="22"/>
                <w:rtl w:val="0"/>
              </w:rPr>
              <w:t xml:space="preserve">140.</w:t>
            </w:r>
            <w:r w:rsidDel="00000000" w:rsidR="00000000" w:rsidRPr="00000000">
              <w:rPr>
                <w:rtl w:val="0"/>
              </w:rPr>
              <w:t xml:space="preserve">09</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D">
            <w:pPr>
              <w:spacing w:after="0" w:before="0" w:lineRule="auto"/>
              <w:ind w:left="0" w:firstLine="0"/>
              <w:jc w:val="left"/>
              <w:rPr/>
            </w:pPr>
            <w:r w:rsidDel="00000000" w:rsidR="00000000" w:rsidRPr="00000000">
              <w:rPr>
                <w:b w:val="0"/>
                <w:i w:val="0"/>
                <w:color w:val="000000"/>
                <w:sz w:val="22"/>
                <w:szCs w:val="22"/>
                <w:rtl w:val="0"/>
              </w:rPr>
              <w:t xml:space="preserve">138.4</w:t>
            </w:r>
            <w:r w:rsidDel="00000000" w:rsidR="00000000" w:rsidRPr="00000000">
              <w:rPr>
                <w:rtl w:val="0"/>
              </w:rPr>
              <w:t xml:space="preserve">6</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E">
            <w:pPr>
              <w:spacing w:after="0" w:before="0" w:lineRule="auto"/>
              <w:ind w:left="0" w:firstLine="0"/>
              <w:jc w:val="left"/>
              <w:rPr/>
            </w:pPr>
            <w:r w:rsidDel="00000000" w:rsidR="00000000" w:rsidRPr="00000000">
              <w:rPr>
                <w:rtl w:val="0"/>
              </w:rPr>
              <w:t xml:space="preserve">99</w:t>
            </w:r>
            <w:r w:rsidDel="00000000" w:rsidR="00000000" w:rsidRPr="00000000">
              <w:rPr>
                <w:b w:val="0"/>
                <w:i w:val="0"/>
                <w:color w:val="000000"/>
                <w:sz w:val="22"/>
                <w:szCs w:val="22"/>
                <w:rtl w:val="0"/>
              </w:rPr>
              <w:t xml:space="preserve">.</w:t>
            </w:r>
            <w:r w:rsidDel="00000000" w:rsidR="00000000" w:rsidRPr="00000000">
              <w:rPr>
                <w:rtl w:val="0"/>
              </w:rPr>
              <w:t xml:space="preserve">82</w:t>
            </w:r>
            <w:r w:rsidDel="00000000" w:rsidR="00000000" w:rsidRPr="00000000">
              <w:rPr>
                <w:b w:val="0"/>
                <w:i w:val="0"/>
                <w:color w:val="000000"/>
                <w:sz w:val="22"/>
                <w:szCs w:val="22"/>
                <w:rtl w:val="0"/>
              </w:rPr>
              <w:t xml:space="preserv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F">
            <w:pPr>
              <w:spacing w:after="0" w:before="0" w:lineRule="auto"/>
              <w:ind w:left="0" w:firstLine="0"/>
              <w:jc w:val="left"/>
              <w:rPr/>
            </w:pPr>
            <w:r w:rsidDel="00000000" w:rsidR="00000000" w:rsidRPr="00000000">
              <w:rPr>
                <w:b w:val="0"/>
                <w:i w:val="0"/>
                <w:color w:val="000000"/>
                <w:sz w:val="22"/>
                <w:szCs w:val="22"/>
                <w:rtl w:val="0"/>
              </w:rPr>
              <w:t xml:space="preserve">Debt-to-Equity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0">
            <w:pPr>
              <w:spacing w:after="0" w:before="0" w:lineRule="auto"/>
              <w:ind w:left="0" w:firstLine="0"/>
              <w:jc w:val="left"/>
              <w:rPr/>
            </w:pPr>
            <w:r w:rsidDel="00000000" w:rsidR="00000000" w:rsidRPr="00000000">
              <w:rPr>
                <w:b w:val="0"/>
                <w:i w:val="0"/>
                <w:color w:val="000000"/>
                <w:sz w:val="22"/>
                <w:szCs w:val="22"/>
                <w:rtl w:val="0"/>
              </w:rPr>
              <w:t xml:space="preserve">187.7%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1">
            <w:pPr>
              <w:spacing w:after="0" w:before="0" w:lineRule="auto"/>
              <w:ind w:left="0" w:firstLine="0"/>
              <w:jc w:val="left"/>
              <w:rPr/>
            </w:pPr>
            <w:r w:rsidDel="00000000" w:rsidR="00000000" w:rsidRPr="00000000">
              <w:rPr>
                <w:b w:val="0"/>
                <w:i w:val="0"/>
                <w:color w:val="000000"/>
                <w:sz w:val="22"/>
                <w:szCs w:val="22"/>
                <w:rtl w:val="0"/>
              </w:rPr>
              <w:t xml:space="preserve">226.2%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2">
            <w:pPr>
              <w:spacing w:after="0" w:before="0" w:lineRule="auto"/>
              <w:ind w:left="0" w:firstLine="0"/>
              <w:jc w:val="left"/>
              <w:rPr/>
            </w:pPr>
            <w:r w:rsidDel="00000000" w:rsidR="00000000" w:rsidRPr="00000000">
              <w:rPr>
                <w:b w:val="0"/>
                <w:i w:val="0"/>
                <w:color w:val="000000"/>
                <w:sz w:val="22"/>
                <w:szCs w:val="22"/>
                <w:rtl w:val="0"/>
              </w:rPr>
              <w:t xml:space="preserve">239.7%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3">
            <w:pPr>
              <w:spacing w:after="0" w:before="0" w:lineRule="auto"/>
              <w:ind w:left="0" w:firstLine="0"/>
              <w:jc w:val="left"/>
              <w:rPr/>
            </w:pPr>
            <w:r w:rsidDel="00000000" w:rsidR="00000000" w:rsidRPr="00000000">
              <w:rPr>
                <w:b w:val="0"/>
                <w:i w:val="0"/>
                <w:color w:val="000000"/>
                <w:sz w:val="22"/>
                <w:szCs w:val="22"/>
                <w:rtl w:val="0"/>
              </w:rPr>
              <w:t xml:space="preserve">Interest Coverage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4">
            <w:pPr>
              <w:spacing w:after="0" w:before="0" w:lineRule="auto"/>
              <w:ind w:left="0" w:firstLine="0"/>
              <w:jc w:val="left"/>
              <w:rPr/>
            </w:pPr>
            <w:r w:rsidDel="00000000" w:rsidR="00000000" w:rsidRPr="00000000">
              <w:rPr>
                <w:b w:val="0"/>
                <w:i w:val="0"/>
                <w:color w:val="000000"/>
                <w:sz w:val="22"/>
                <w:szCs w:val="22"/>
                <w:rtl w:val="0"/>
              </w:rPr>
              <w:t xml:space="preserve">1,651.3%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5">
            <w:pPr>
              <w:spacing w:after="0" w:before="0" w:lineRule="auto"/>
              <w:ind w:left="0" w:firstLine="0"/>
              <w:jc w:val="left"/>
              <w:rPr/>
            </w:pPr>
            <w:r w:rsidDel="00000000" w:rsidR="00000000" w:rsidRPr="00000000">
              <w:rPr>
                <w:b w:val="0"/>
                <w:i w:val="0"/>
                <w:color w:val="000000"/>
                <w:sz w:val="22"/>
                <w:szCs w:val="22"/>
                <w:rtl w:val="0"/>
              </w:rPr>
              <w:t xml:space="preserve">1,558.8%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6">
            <w:pPr>
              <w:spacing w:after="0" w:before="0" w:lineRule="auto"/>
              <w:ind w:left="0" w:firstLine="0"/>
              <w:jc w:val="left"/>
              <w:rPr/>
            </w:pPr>
            <w:r w:rsidDel="00000000" w:rsidR="00000000" w:rsidRPr="00000000">
              <w:rPr>
                <w:b w:val="0"/>
                <w:i w:val="0"/>
                <w:color w:val="000000"/>
                <w:sz w:val="22"/>
                <w:szCs w:val="22"/>
                <w:rtl w:val="0"/>
              </w:rPr>
              <w:t xml:space="preserve">1,</w:t>
            </w:r>
            <w:r w:rsidDel="00000000" w:rsidR="00000000" w:rsidRPr="00000000">
              <w:rPr>
                <w:rtl w:val="0"/>
              </w:rPr>
              <w:t xml:space="preserve">726</w:t>
            </w:r>
            <w:r w:rsidDel="00000000" w:rsidR="00000000" w:rsidRPr="00000000">
              <w:rPr>
                <w:b w:val="0"/>
                <w:i w:val="0"/>
                <w:color w:val="000000"/>
                <w:sz w:val="22"/>
                <w:szCs w:val="22"/>
                <w:rtl w:val="0"/>
              </w:rPr>
              <w:t xml:space="preserve">.</w:t>
            </w:r>
            <w:r w:rsidDel="00000000" w:rsidR="00000000" w:rsidRPr="00000000">
              <w:rPr>
                <w:rtl w:val="0"/>
              </w:rPr>
              <w:t xml:space="preserve">81</w:t>
            </w:r>
            <w:r w:rsidDel="00000000" w:rsidR="00000000" w:rsidRPr="00000000">
              <w:rPr>
                <w:b w:val="0"/>
                <w:i w:val="0"/>
                <w:color w:val="000000"/>
                <w:sz w:val="22"/>
                <w:szCs w:val="22"/>
                <w:rtl w:val="0"/>
              </w:rPr>
              <w:t xml:space="preserv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7">
            <w:pPr>
              <w:spacing w:after="0" w:before="0" w:lineRule="auto"/>
              <w:ind w:left="0" w:firstLine="0"/>
              <w:jc w:val="left"/>
              <w:rPr/>
            </w:pPr>
            <w:r w:rsidDel="00000000" w:rsidR="00000000" w:rsidRPr="00000000">
              <w:rPr>
                <w:b w:val="0"/>
                <w:i w:val="0"/>
                <w:color w:val="000000"/>
                <w:sz w:val="22"/>
                <w:szCs w:val="22"/>
                <w:rtl w:val="0"/>
              </w:rPr>
              <w:t xml:space="preserve">Asset Turnover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8">
            <w:pPr>
              <w:spacing w:after="0" w:before="0" w:lineRule="auto"/>
              <w:ind w:left="0" w:firstLine="0"/>
              <w:jc w:val="left"/>
              <w:rPr/>
            </w:pPr>
            <w:r w:rsidDel="00000000" w:rsidR="00000000" w:rsidRPr="00000000">
              <w:rPr>
                <w:rtl w:val="0"/>
              </w:rPr>
              <w:t xml:space="preserve">48</w:t>
            </w:r>
            <w:r w:rsidDel="00000000" w:rsidR="00000000" w:rsidRPr="00000000">
              <w:rPr>
                <w:b w:val="0"/>
                <w:i w:val="0"/>
                <w:color w:val="000000"/>
                <w:sz w:val="22"/>
                <w:szCs w:val="22"/>
                <w:rtl w:val="0"/>
              </w:rPr>
              <w:t xml:space="preserve">.</w:t>
            </w:r>
            <w:r w:rsidDel="00000000" w:rsidR="00000000" w:rsidRPr="00000000">
              <w:rPr>
                <w:rtl w:val="0"/>
              </w:rPr>
              <w:t xml:space="preserve">15</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9">
            <w:pPr>
              <w:spacing w:after="0" w:before="0" w:lineRule="auto"/>
              <w:ind w:left="0" w:firstLine="0"/>
              <w:jc w:val="left"/>
              <w:rPr/>
            </w:pPr>
            <w:r w:rsidDel="00000000" w:rsidR="00000000" w:rsidRPr="00000000">
              <w:rPr>
                <w:b w:val="0"/>
                <w:i w:val="0"/>
                <w:color w:val="000000"/>
                <w:sz w:val="22"/>
                <w:szCs w:val="22"/>
                <w:rtl w:val="0"/>
              </w:rPr>
              <w:t xml:space="preserve">61.1%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A">
            <w:pPr>
              <w:spacing w:after="0" w:before="0" w:lineRule="auto"/>
              <w:ind w:left="0" w:firstLine="0"/>
              <w:jc w:val="left"/>
              <w:rPr/>
            </w:pPr>
            <w:r w:rsidDel="00000000" w:rsidR="00000000" w:rsidRPr="00000000">
              <w:rPr>
                <w:b w:val="0"/>
                <w:i w:val="0"/>
                <w:color w:val="000000"/>
                <w:sz w:val="22"/>
                <w:szCs w:val="22"/>
                <w:rtl w:val="0"/>
              </w:rPr>
              <w:t xml:space="preserve">57.2%</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B">
            <w:pPr>
              <w:spacing w:after="0" w:before="0" w:lineRule="auto"/>
              <w:ind w:left="0" w:firstLine="0"/>
              <w:jc w:val="left"/>
              <w:rPr/>
            </w:pPr>
            <w:r w:rsidDel="00000000" w:rsidR="00000000" w:rsidRPr="00000000">
              <w:rPr>
                <w:b w:val="0"/>
                <w:i w:val="0"/>
                <w:color w:val="000000"/>
                <w:sz w:val="22"/>
                <w:szCs w:val="22"/>
                <w:rtl w:val="0"/>
              </w:rPr>
              <w:t xml:space="preserve">Return on Equity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C">
            <w:pPr>
              <w:spacing w:after="0" w:before="0" w:lineRule="auto"/>
              <w:ind w:left="0" w:firstLine="0"/>
              <w:jc w:val="left"/>
              <w:rPr/>
            </w:pPr>
            <w:r w:rsidDel="00000000" w:rsidR="00000000" w:rsidRPr="00000000">
              <w:rPr>
                <w:rtl w:val="0"/>
              </w:rPr>
              <w:t xml:space="preserve">21</w:t>
            </w:r>
            <w:r w:rsidDel="00000000" w:rsidR="00000000" w:rsidRPr="00000000">
              <w:rPr>
                <w:b w:val="0"/>
                <w:i w:val="0"/>
                <w:color w:val="000000"/>
                <w:sz w:val="22"/>
                <w:szCs w:val="22"/>
                <w:rtl w:val="0"/>
              </w:rPr>
              <w:t xml:space="preserve">.</w:t>
            </w:r>
            <w:r w:rsidDel="00000000" w:rsidR="00000000" w:rsidRPr="00000000">
              <w:rPr>
                <w:rtl w:val="0"/>
              </w:rPr>
              <w:t xml:space="preserve">89</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D">
            <w:pPr>
              <w:spacing w:after="0" w:before="0" w:lineRule="auto"/>
              <w:ind w:left="0" w:firstLine="0"/>
              <w:jc w:val="left"/>
              <w:rPr/>
            </w:pPr>
            <w:r w:rsidDel="00000000" w:rsidR="00000000" w:rsidRPr="00000000">
              <w:rPr>
                <w:b w:val="0"/>
                <w:i w:val="0"/>
                <w:color w:val="000000"/>
                <w:sz w:val="22"/>
                <w:szCs w:val="22"/>
                <w:rtl w:val="0"/>
              </w:rPr>
              <w:t xml:space="preserve">2</w:t>
            </w:r>
            <w:r w:rsidDel="00000000" w:rsidR="00000000" w:rsidRPr="00000000">
              <w:rPr>
                <w:rtl w:val="0"/>
              </w:rPr>
              <w:t xml:space="preserve">3</w:t>
            </w:r>
            <w:r w:rsidDel="00000000" w:rsidR="00000000" w:rsidRPr="00000000">
              <w:rPr>
                <w:b w:val="0"/>
                <w:i w:val="0"/>
                <w:color w:val="000000"/>
                <w:sz w:val="22"/>
                <w:szCs w:val="22"/>
                <w:rtl w:val="0"/>
              </w:rPr>
              <w:t xml:space="preserve">.</w:t>
            </w:r>
            <w:r w:rsidDel="00000000" w:rsidR="00000000" w:rsidRPr="00000000">
              <w:rPr>
                <w:rtl w:val="0"/>
              </w:rPr>
              <w:t xml:space="preserve">57</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E">
            <w:pPr>
              <w:spacing w:after="0" w:before="0" w:lineRule="auto"/>
              <w:ind w:left="0" w:firstLine="0"/>
              <w:jc w:val="left"/>
              <w:rPr/>
            </w:pPr>
            <w:r w:rsidDel="00000000" w:rsidR="00000000" w:rsidRPr="00000000">
              <w:rPr>
                <w:b w:val="0"/>
                <w:i w:val="0"/>
                <w:color w:val="000000"/>
                <w:sz w:val="22"/>
                <w:szCs w:val="22"/>
                <w:rtl w:val="0"/>
              </w:rPr>
              <w:t xml:space="preserve">22.37%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F">
            <w:pPr>
              <w:spacing w:after="0" w:before="0" w:lineRule="auto"/>
              <w:ind w:left="0" w:firstLine="0"/>
              <w:jc w:val="left"/>
              <w:rPr/>
            </w:pPr>
            <w:r w:rsidDel="00000000" w:rsidR="00000000" w:rsidRPr="00000000">
              <w:rPr>
                <w:b w:val="0"/>
                <w:i w:val="0"/>
                <w:color w:val="000000"/>
                <w:sz w:val="22"/>
                <w:szCs w:val="22"/>
                <w:rtl w:val="0"/>
              </w:rPr>
              <w:t xml:space="preserve">Return on Assets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0">
            <w:pPr>
              <w:spacing w:after="0" w:before="0" w:lineRule="auto"/>
              <w:ind w:left="0" w:firstLine="0"/>
              <w:jc w:val="left"/>
              <w:rPr/>
            </w:pPr>
            <w:r w:rsidDel="00000000" w:rsidR="00000000" w:rsidRPr="00000000">
              <w:rPr>
                <w:b w:val="0"/>
                <w:i w:val="0"/>
                <w:color w:val="000000"/>
                <w:sz w:val="22"/>
                <w:szCs w:val="22"/>
                <w:rtl w:val="0"/>
              </w:rPr>
              <w:t xml:space="preserve">7.</w:t>
            </w:r>
            <w:r w:rsidDel="00000000" w:rsidR="00000000" w:rsidRPr="00000000">
              <w:rPr>
                <w:rtl w:val="0"/>
              </w:rPr>
              <w:t xml:space="preserve">18</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1">
            <w:pPr>
              <w:spacing w:after="0" w:before="0" w:lineRule="auto"/>
              <w:ind w:left="0" w:firstLine="0"/>
              <w:jc w:val="left"/>
              <w:rPr/>
            </w:pPr>
            <w:r w:rsidDel="00000000" w:rsidR="00000000" w:rsidRPr="00000000">
              <w:rPr>
                <w:b w:val="0"/>
                <w:i w:val="0"/>
                <w:color w:val="000000"/>
                <w:sz w:val="22"/>
                <w:szCs w:val="22"/>
                <w:rtl w:val="0"/>
              </w:rPr>
              <w:t xml:space="preserve">7.</w:t>
            </w:r>
            <w:r w:rsidDel="00000000" w:rsidR="00000000" w:rsidRPr="00000000">
              <w:rPr>
                <w:rtl w:val="0"/>
              </w:rPr>
              <w:t xml:space="preserve">10</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2">
            <w:pPr>
              <w:spacing w:after="0" w:before="0" w:lineRule="auto"/>
              <w:ind w:left="0" w:firstLine="0"/>
              <w:jc w:val="left"/>
              <w:rPr/>
            </w:pPr>
            <w:r w:rsidDel="00000000" w:rsidR="00000000" w:rsidRPr="00000000">
              <w:rPr>
                <w:b w:val="0"/>
                <w:i w:val="0"/>
                <w:color w:val="000000"/>
                <w:sz w:val="22"/>
                <w:szCs w:val="22"/>
                <w:rtl w:val="0"/>
              </w:rPr>
              <w:t xml:space="preserve">6.38%</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3">
            <w:pPr>
              <w:spacing w:after="0" w:before="0" w:lineRule="auto"/>
              <w:ind w:left="0" w:firstLine="0"/>
              <w:jc w:val="left"/>
              <w:rPr/>
            </w:pPr>
            <w:r w:rsidDel="00000000" w:rsidR="00000000" w:rsidRPr="00000000">
              <w:rPr>
                <w:b w:val="0"/>
                <w:i w:val="0"/>
                <w:color w:val="000000"/>
                <w:sz w:val="22"/>
                <w:szCs w:val="22"/>
                <w:rtl w:val="0"/>
              </w:rPr>
              <w:t xml:space="preserve">Effective Tax Rate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4">
            <w:pPr>
              <w:spacing w:after="0" w:before="0" w:lineRule="auto"/>
              <w:ind w:left="0" w:firstLine="0"/>
              <w:jc w:val="left"/>
              <w:rPr/>
            </w:pPr>
            <w:r w:rsidDel="00000000" w:rsidR="00000000" w:rsidRPr="00000000">
              <w:rPr>
                <w:b w:val="0"/>
                <w:i w:val="0"/>
                <w:color w:val="000000"/>
                <w:sz w:val="22"/>
                <w:szCs w:val="22"/>
                <w:rtl w:val="0"/>
              </w:rPr>
              <w:t xml:space="preserve">14.52%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5">
            <w:pPr>
              <w:spacing w:after="0" w:before="0" w:lineRule="auto"/>
              <w:ind w:left="0" w:firstLine="0"/>
              <w:jc w:val="left"/>
              <w:rPr/>
            </w:pPr>
            <w:r w:rsidDel="00000000" w:rsidR="00000000" w:rsidRPr="00000000">
              <w:rPr>
                <w:b w:val="0"/>
                <w:i w:val="0"/>
                <w:color w:val="000000"/>
                <w:sz w:val="22"/>
                <w:szCs w:val="22"/>
                <w:rtl w:val="0"/>
              </w:rPr>
              <w:t xml:space="preserve">13.27%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6">
            <w:pPr>
              <w:spacing w:after="0" w:before="0" w:lineRule="auto"/>
              <w:ind w:left="0" w:firstLine="0"/>
              <w:jc w:val="left"/>
              <w:rPr/>
            </w:pPr>
            <w:r w:rsidDel="00000000" w:rsidR="00000000" w:rsidRPr="00000000">
              <w:rPr>
                <w:b w:val="0"/>
                <w:i w:val="0"/>
                <w:color w:val="000000"/>
                <w:sz w:val="22"/>
                <w:szCs w:val="22"/>
                <w:rtl w:val="0"/>
              </w:rPr>
              <w:t xml:space="preserve">8.</w:t>
            </w:r>
            <w:r w:rsidDel="00000000" w:rsidR="00000000" w:rsidRPr="00000000">
              <w:rPr>
                <w:rtl w:val="0"/>
              </w:rPr>
              <w:t xml:space="preserve">77</w:t>
            </w:r>
            <w:r w:rsidDel="00000000" w:rsidR="00000000" w:rsidRPr="00000000">
              <w:rPr>
                <w:b w:val="0"/>
                <w:i w:val="0"/>
                <w:color w:val="000000"/>
                <w:sz w:val="22"/>
                <w:szCs w:val="22"/>
                <w:rtl w:val="0"/>
              </w:rPr>
              <w:t xml:space="preserv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7">
            <w:pPr>
              <w:spacing w:after="0" w:before="0" w:lineRule="auto"/>
              <w:ind w:left="0" w:firstLine="0"/>
              <w:jc w:val="left"/>
              <w:rPr/>
            </w:pPr>
            <w:r w:rsidDel="00000000" w:rsidR="00000000" w:rsidRPr="00000000">
              <w:rPr>
                <w:b w:val="0"/>
                <w:i w:val="0"/>
                <w:color w:val="000000"/>
                <w:sz w:val="22"/>
                <w:szCs w:val="22"/>
                <w:rtl w:val="0"/>
              </w:rPr>
              <w:t xml:space="preserve">Dividend Payout Ratio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8">
            <w:pPr>
              <w:spacing w:after="0" w:before="0" w:lineRule="auto"/>
              <w:ind w:left="0" w:firstLine="0"/>
              <w:jc w:val="left"/>
              <w:rPr/>
            </w:pPr>
            <w:r w:rsidDel="00000000" w:rsidR="00000000" w:rsidRPr="00000000">
              <w:rPr>
                <w:b w:val="0"/>
                <w:i w:val="0"/>
                <w:color w:val="000000"/>
                <w:sz w:val="22"/>
                <w:szCs w:val="22"/>
                <w:rtl w:val="0"/>
              </w:rPr>
              <w:t xml:space="preserve">47.8%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9">
            <w:pPr>
              <w:spacing w:after="0" w:before="0" w:lineRule="auto"/>
              <w:ind w:left="0" w:firstLine="0"/>
              <w:jc w:val="left"/>
              <w:rPr/>
            </w:pPr>
            <w:r w:rsidDel="00000000" w:rsidR="00000000" w:rsidRPr="00000000">
              <w:rPr>
                <w:b w:val="0"/>
                <w:i w:val="0"/>
                <w:color w:val="000000"/>
                <w:sz w:val="22"/>
                <w:szCs w:val="22"/>
                <w:rtl w:val="0"/>
              </w:rPr>
              <w:t xml:space="preserve">20.</w:t>
            </w:r>
            <w:r w:rsidDel="00000000" w:rsidR="00000000" w:rsidRPr="00000000">
              <w:rPr>
                <w:rtl w:val="0"/>
              </w:rPr>
              <w:t xml:space="preserve">28</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A">
            <w:pPr>
              <w:spacing w:after="0" w:before="0" w:lineRule="auto"/>
              <w:ind w:left="0" w:firstLine="0"/>
              <w:jc w:val="left"/>
              <w:rPr/>
            </w:pPr>
            <w:r w:rsidDel="00000000" w:rsidR="00000000" w:rsidRPr="00000000">
              <w:rPr>
                <w:b w:val="0"/>
                <w:i w:val="0"/>
                <w:color w:val="000000"/>
                <w:sz w:val="22"/>
                <w:szCs w:val="22"/>
                <w:rtl w:val="0"/>
              </w:rPr>
              <w:t xml:space="preserve">10.</w:t>
            </w:r>
            <w:r w:rsidDel="00000000" w:rsidR="00000000" w:rsidRPr="00000000">
              <w:rPr>
                <w:rtl w:val="0"/>
              </w:rPr>
              <w:t xml:space="preserve">31</w:t>
            </w:r>
            <w:r w:rsidDel="00000000" w:rsidR="00000000" w:rsidRPr="00000000">
              <w:rPr>
                <w:b w:val="0"/>
                <w:i w:val="0"/>
                <w:color w:val="000000"/>
                <w:sz w:val="22"/>
                <w:szCs w:val="22"/>
                <w:rtl w:val="0"/>
              </w:rPr>
              <w:t xml:space="preserve">%</w:t>
            </w:r>
            <w:r w:rsidDel="00000000" w:rsidR="00000000" w:rsidRPr="00000000">
              <w:rPr>
                <w:rtl w:val="0"/>
              </w:rPr>
            </w:r>
          </w:p>
        </w:tc>
      </w:tr>
    </w:tbl>
    <w:p w:rsidR="00000000" w:rsidDel="00000000" w:rsidP="00000000" w:rsidRDefault="00000000" w:rsidRPr="00000000" w14:paraId="0000010B">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0C">
      <w:pPr>
        <w:spacing w:after="180" w:before="180" w:lineRule="auto"/>
        <w:ind w:left="0" w:firstLine="0"/>
        <w:jc w:val="left"/>
        <w:rPr/>
      </w:pPr>
      <w:r w:rsidDel="00000000" w:rsidR="00000000" w:rsidRPr="00000000">
        <w:rPr>
          <w:b w:val="1"/>
          <w:i w:val="0"/>
          <w:color w:val="000000"/>
          <w:sz w:val="33"/>
          <w:szCs w:val="33"/>
          <w:rtl w:val="0"/>
        </w:rPr>
        <w:t xml:space="preserve">S2.5: Operating Performance</w:t>
      </w:r>
      <w:r w:rsidDel="00000000" w:rsidR="00000000" w:rsidRPr="00000000">
        <w:rPr>
          <w:rtl w:val="0"/>
        </w:rPr>
      </w:r>
    </w:p>
    <w:tbl>
      <w:tblPr>
        <w:tblStyle w:val="Table8"/>
        <w:tblW w:w="9287.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105"/>
        <w:gridCol w:w="2394"/>
        <w:gridCol w:w="2394"/>
        <w:gridCol w:w="2394"/>
        <w:tblGridChange w:id="0">
          <w:tblGrid>
            <w:gridCol w:w="2105"/>
            <w:gridCol w:w="2394"/>
            <w:gridCol w:w="2394"/>
            <w:gridCol w:w="239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D">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E">
            <w:pPr>
              <w:spacing w:after="0" w:before="0" w:lineRule="auto"/>
              <w:ind w:left="0" w:firstLine="0"/>
              <w:jc w:val="left"/>
              <w:rPr/>
            </w:pPr>
            <w:r w:rsidDel="00000000" w:rsidR="00000000" w:rsidRPr="00000000">
              <w:rPr>
                <w:b w:val="1"/>
                <w:i w:val="0"/>
                <w:color w:val="000000"/>
                <w:sz w:val="22"/>
                <w:szCs w:val="22"/>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F">
            <w:pPr>
              <w:spacing w:after="0" w:before="0" w:lineRule="auto"/>
              <w:ind w:left="0" w:firstLine="0"/>
              <w:jc w:val="left"/>
              <w:rPr/>
            </w:pPr>
            <w:r w:rsidDel="00000000" w:rsidR="00000000" w:rsidRPr="00000000">
              <w:rPr>
                <w:b w:val="1"/>
                <w:i w:val="0"/>
                <w:color w:val="000000"/>
                <w:sz w:val="22"/>
                <w:szCs w:val="22"/>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0">
            <w:pPr>
              <w:spacing w:after="0" w:before="0" w:lineRule="auto"/>
              <w:ind w:left="0" w:firstLine="0"/>
              <w:jc w:val="left"/>
              <w:rPr/>
            </w:pPr>
            <w:r w:rsidDel="00000000" w:rsidR="00000000" w:rsidRPr="00000000">
              <w:rPr>
                <w:b w:val="1"/>
                <w:i w:val="0"/>
                <w:color w:val="000000"/>
                <w:sz w:val="22"/>
                <w:szCs w:val="22"/>
                <w:rtl w:val="0"/>
              </w:rPr>
              <w:t xml:space="preserve">2022</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1">
            <w:pPr>
              <w:spacing w:after="0" w:before="0" w:lineRule="auto"/>
              <w:ind w:left="0" w:firstLine="0"/>
              <w:jc w:val="left"/>
              <w:rPr/>
            </w:pPr>
            <w:r w:rsidDel="00000000" w:rsidR="00000000" w:rsidRPr="00000000">
              <w:rPr>
                <w:b w:val="0"/>
                <w:i w:val="0"/>
                <w:color w:val="000000"/>
                <w:sz w:val="22"/>
                <w:szCs w:val="22"/>
                <w:rtl w:val="0"/>
              </w:rPr>
              <w:t xml:space="preserve">Revenue by Product/Service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2">
            <w:pPr>
              <w:spacing w:after="0" w:before="0" w:lineRule="auto"/>
              <w:ind w:left="0" w:firstLine="0"/>
              <w:jc w:val="left"/>
              <w:rPr/>
            </w:pPr>
            <w:sdt>
              <w:sdtPr>
                <w:id w:val="1116489003"/>
                <w:tag w:val="goog_rdk_14"/>
              </w:sdtPr>
              <w:sdtContent>
                <w:r w:rsidDel="00000000" w:rsidR="00000000" w:rsidRPr="00000000">
                  <w:rPr>
                    <w:rFonts w:ascii="Gungsuh" w:cs="Gungsuh" w:eastAsia="Gungsuh" w:hAnsi="Gungsuh"/>
                    <w:b w:val="0"/>
                    <w:i w:val="0"/>
                    <w:color w:val="000000"/>
                    <w:sz w:val="22"/>
                    <w:szCs w:val="22"/>
                    <w:rtl w:val="0"/>
                  </w:rPr>
                  <w:t xml:space="preserve">2024年分产品营业收入：动力电池系统 253,041,337 千元，储能电池系统 57,290,460 千元，电池材料及回收 28,699,935 千元，电池矿产资源 5,493,003 千元，其他业务 17,487,818 千元。</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3">
            <w:pPr>
              <w:spacing w:after="0" w:before="0" w:lineRule="auto"/>
              <w:ind w:left="0" w:firstLine="0"/>
              <w:jc w:val="left"/>
              <w:rPr/>
            </w:pPr>
            <w:sdt>
              <w:sdtPr>
                <w:id w:val="480069696"/>
                <w:tag w:val="goog_rdk_15"/>
              </w:sdtPr>
              <w:sdtContent>
                <w:r w:rsidDel="00000000" w:rsidR="00000000" w:rsidRPr="00000000">
                  <w:rPr>
                    <w:rFonts w:ascii="Gungsuh" w:cs="Gungsuh" w:eastAsia="Gungsuh" w:hAnsi="Gungsuh"/>
                    <w:b w:val="0"/>
                    <w:i w:val="0"/>
                    <w:color w:val="000000"/>
                    <w:sz w:val="22"/>
                    <w:szCs w:val="22"/>
                    <w:rtl w:val="0"/>
                  </w:rPr>
                  <w:t xml:space="preserve">2023年分产品营业收入：动力电池系统 285,252,917 千元，储能电池系统 59,900,522 千元，电池材料及回收 33,602,284 千元，电池矿产资源 7,734,151 千元，其他业务 14,427,171 千元。</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4">
            <w:pPr>
              <w:spacing w:after="0" w:before="0" w:lineRule="auto"/>
              <w:ind w:left="0" w:firstLine="0"/>
              <w:jc w:val="left"/>
              <w:rPr/>
            </w:pPr>
            <w:sdt>
              <w:sdtPr>
                <w:id w:val="453703075"/>
                <w:tag w:val="goog_rdk_16"/>
              </w:sdtPr>
              <w:sdtContent>
                <w:r w:rsidDel="00000000" w:rsidR="00000000" w:rsidRPr="00000000">
                  <w:rPr>
                    <w:rFonts w:ascii="Gungsuh" w:cs="Gungsuh" w:eastAsia="Gungsuh" w:hAnsi="Gungsuh"/>
                    <w:b w:val="0"/>
                    <w:i w:val="0"/>
                    <w:color w:val="000000"/>
                    <w:sz w:val="22"/>
                    <w:szCs w:val="22"/>
                    <w:rtl w:val="0"/>
                  </w:rPr>
                  <w:t xml:space="preserve">2022年分产品营业收入：动力电池系统 236,593,497 千元，储能电池系统 44,980,277 千元，电池材料及回收 26,031,514 千元，电池矿产资源 4,508,633 千元，其他业务 16,480,066 千元。</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5">
            <w:pPr>
              <w:spacing w:after="0" w:before="0" w:lineRule="auto"/>
              <w:ind w:left="0" w:firstLine="0"/>
              <w:jc w:val="left"/>
              <w:rPr/>
            </w:pPr>
            <w:r w:rsidDel="00000000" w:rsidR="00000000" w:rsidRPr="00000000">
              <w:rPr>
                <w:b w:val="0"/>
                <w:i w:val="0"/>
                <w:color w:val="000000"/>
                <w:sz w:val="22"/>
                <w:szCs w:val="22"/>
                <w:rtl w:val="0"/>
              </w:rPr>
              <w:t xml:space="preserve">Revenue by Geographic Region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spacing w:after="0" w:before="0" w:lineRule="auto"/>
              <w:ind w:left="0" w:firstLine="0"/>
              <w:jc w:val="left"/>
              <w:rPr/>
            </w:pPr>
            <w:sdt>
              <w:sdtPr>
                <w:id w:val="769540839"/>
                <w:tag w:val="goog_rdk_17"/>
              </w:sdtPr>
              <w:sdtContent>
                <w:r w:rsidDel="00000000" w:rsidR="00000000" w:rsidRPr="00000000">
                  <w:rPr>
                    <w:rFonts w:ascii="Gungsuh" w:cs="Gungsuh" w:eastAsia="Gungsuh" w:hAnsi="Gungsuh"/>
                    <w:b w:val="0"/>
                    <w:i w:val="0"/>
                    <w:color w:val="000000"/>
                    <w:sz w:val="22"/>
                    <w:szCs w:val="22"/>
                    <w:rtl w:val="0"/>
                  </w:rPr>
                  <w:t xml:space="preserve">2024年分地区营业收入：境内 251,677,045 千元，境外 110,335,509 千元。</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7">
            <w:pPr>
              <w:spacing w:after="0" w:before="0" w:lineRule="auto"/>
              <w:ind w:left="0" w:firstLine="0"/>
              <w:jc w:val="left"/>
              <w:rPr/>
            </w:pPr>
            <w:sdt>
              <w:sdtPr>
                <w:id w:val="-1880898640"/>
                <w:tag w:val="goog_rdk_18"/>
              </w:sdtPr>
              <w:sdtContent>
                <w:r w:rsidDel="00000000" w:rsidR="00000000" w:rsidRPr="00000000">
                  <w:rPr>
                    <w:rFonts w:ascii="Gungsuh" w:cs="Gungsuh" w:eastAsia="Gungsuh" w:hAnsi="Gungsuh"/>
                    <w:b w:val="0"/>
                    <w:i w:val="0"/>
                    <w:color w:val="000000"/>
                    <w:sz w:val="22"/>
                    <w:szCs w:val="22"/>
                    <w:rtl w:val="0"/>
                  </w:rPr>
                  <w:t xml:space="preserve">2023年分地区营业收入：境内 269,924,895 千元，境外 130,992,150 千元。</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8">
            <w:pPr>
              <w:spacing w:after="0" w:before="0" w:lineRule="auto"/>
              <w:ind w:left="0" w:firstLine="0"/>
              <w:jc w:val="left"/>
              <w:rPr/>
            </w:pPr>
            <w:sdt>
              <w:sdtPr>
                <w:id w:val="-1816823887"/>
                <w:tag w:val="goog_rdk_19"/>
              </w:sdtPr>
              <w:sdtContent>
                <w:r w:rsidDel="00000000" w:rsidR="00000000" w:rsidRPr="00000000">
                  <w:rPr>
                    <w:rFonts w:ascii="Gungsuh" w:cs="Gungsuh" w:eastAsia="Gungsuh" w:hAnsi="Gungsuh"/>
                    <w:b w:val="0"/>
                    <w:i w:val="0"/>
                    <w:color w:val="000000"/>
                    <w:sz w:val="22"/>
                    <w:szCs w:val="22"/>
                    <w:rtl w:val="0"/>
                  </w:rPr>
                  <w:t xml:space="preserve">2022年分地区营业收入：境内 251,670,827 千元，境外 76,923,160 千元。</w:t>
                </w:r>
              </w:sdtContent>
            </w:sdt>
            <w:r w:rsidDel="00000000" w:rsidR="00000000" w:rsidRPr="00000000">
              <w:rPr>
                <w:rtl w:val="0"/>
              </w:rPr>
            </w:r>
          </w:p>
        </w:tc>
      </w:tr>
    </w:tbl>
    <w:p w:rsidR="00000000" w:rsidDel="00000000" w:rsidP="00000000" w:rsidRDefault="00000000" w:rsidRPr="00000000" w14:paraId="00000119">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1A">
      <w:pPr>
        <w:spacing w:after="161" w:before="161" w:lineRule="auto"/>
        <w:ind w:left="0" w:firstLine="0"/>
        <w:jc w:val="left"/>
        <w:rPr/>
      </w:pPr>
      <w:r w:rsidDel="00000000" w:rsidR="00000000" w:rsidRPr="00000000">
        <w:rPr>
          <w:b w:val="1"/>
          <w:i w:val="0"/>
          <w:color w:val="000000"/>
          <w:sz w:val="44"/>
          <w:szCs w:val="44"/>
          <w:rtl w:val="0"/>
        </w:rPr>
        <w:t xml:space="preserve">Section 3: Business Analysis</w:t>
      </w:r>
      <w:r w:rsidDel="00000000" w:rsidR="00000000" w:rsidRPr="00000000">
        <w:rPr>
          <w:rtl w:val="0"/>
        </w:rPr>
      </w:r>
    </w:p>
    <w:p w:rsidR="00000000" w:rsidDel="00000000" w:rsidP="00000000" w:rsidRDefault="00000000" w:rsidRPr="00000000" w14:paraId="0000011B">
      <w:pPr>
        <w:spacing w:after="180" w:before="180" w:lineRule="auto"/>
        <w:ind w:left="0" w:firstLine="0"/>
        <w:jc w:val="left"/>
        <w:rPr/>
      </w:pPr>
      <w:r w:rsidDel="00000000" w:rsidR="00000000" w:rsidRPr="00000000">
        <w:rPr>
          <w:b w:val="1"/>
          <w:i w:val="0"/>
          <w:color w:val="000000"/>
          <w:sz w:val="33"/>
          <w:szCs w:val="33"/>
          <w:rtl w:val="0"/>
        </w:rPr>
        <w:t xml:space="preserve">S3.1: Profitability Analysis</w:t>
      </w:r>
      <w:r w:rsidDel="00000000" w:rsidR="00000000" w:rsidRPr="00000000">
        <w:rPr>
          <w:rtl w:val="0"/>
        </w:rPr>
      </w:r>
    </w:p>
    <w:tbl>
      <w:tblPr>
        <w:tblStyle w:val="Table9"/>
        <w:tblW w:w="8505.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190"/>
        <w:gridCol w:w="6315"/>
        <w:tblGridChange w:id="0">
          <w:tblGrid>
            <w:gridCol w:w="2190"/>
            <w:gridCol w:w="63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D">
            <w:pPr>
              <w:spacing w:after="0" w:before="0" w:lineRule="auto"/>
              <w:ind w:left="0" w:firstLine="0"/>
              <w:jc w:val="left"/>
              <w:rPr/>
            </w:pPr>
            <w:r w:rsidDel="00000000" w:rsidR="00000000" w:rsidRPr="00000000">
              <w:rPr>
                <w:b w:val="1"/>
                <w:i w:val="0"/>
                <w:color w:val="000000"/>
                <w:sz w:val="22"/>
                <w:szCs w:val="22"/>
                <w:rtl w:val="0"/>
              </w:rPr>
              <w:t xml:space="preserve">Answer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E">
            <w:pPr>
              <w:spacing w:after="0" w:before="0" w:lineRule="auto"/>
              <w:ind w:left="0" w:firstLine="0"/>
              <w:jc w:val="left"/>
              <w:rPr/>
            </w:pPr>
            <w:r w:rsidDel="00000000" w:rsidR="00000000" w:rsidRPr="00000000">
              <w:rPr>
                <w:b w:val="0"/>
                <w:i w:val="0"/>
                <w:color w:val="000000"/>
                <w:sz w:val="22"/>
                <w:szCs w:val="22"/>
                <w:rtl w:val="0"/>
              </w:rPr>
              <w:t xml:space="preserve">Revenue &amp; Direct-Cost Dynamics (Revenue Growth ; Gross Margin; Revenue by Product/Service; Revenue by Geographic Region)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after="0" w:before="0" w:lineRule="auto"/>
              <w:ind w:left="0" w:firstLine="0"/>
              <w:jc w:val="left"/>
              <w:rPr/>
            </w:pPr>
            <w:sdt>
              <w:sdtPr>
                <w:id w:val="-418832540"/>
                <w:tag w:val="goog_rdk_20"/>
              </w:sdtPr>
              <w:sdtContent>
                <w:r w:rsidDel="00000000" w:rsidR="00000000" w:rsidRPr="00000000">
                  <w:rPr>
                    <w:rFonts w:ascii="Gungsuh" w:cs="Gungsuh" w:eastAsia="Gungsuh" w:hAnsi="Gungsuh"/>
                    <w:rtl w:val="0"/>
                  </w:rPr>
                  <w:t xml:space="preserve">公司收入在2022-2023年间实现强劲增长22.0%，但2023-2024年间出现9.7%的下降。毛利率持续改善，从2022年的10.61%提升至2024年的16.22%，表明成本控制和产品结构优化效果显著。动力电池系统始终是核心收入来源，但2024年收入有所下滑，储能电池系统收入相对稳定。地理分布方面，境外收入占比从2022年的23.4%大幅提升至2023年的32.7%，但2024年回落至30.5%，显示国际市场扩张后有所调整。</w:t>
                </w:r>
              </w:sdtContent>
            </w:sdt>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0">
            <w:pPr>
              <w:spacing w:after="0" w:before="0" w:lineRule="auto"/>
              <w:ind w:left="0" w:firstLine="0"/>
              <w:jc w:val="left"/>
              <w:rPr/>
            </w:pPr>
            <w:r w:rsidDel="00000000" w:rsidR="00000000" w:rsidRPr="00000000">
              <w:rPr>
                <w:b w:val="0"/>
                <w:i w:val="0"/>
                <w:color w:val="000000"/>
                <w:sz w:val="22"/>
                <w:szCs w:val="22"/>
                <w:rtl w:val="0"/>
              </w:rPr>
              <w:t xml:space="preserve">Operating Efficiency (Operating Margin)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1">
            <w:pPr>
              <w:spacing w:after="0" w:before="0" w:lineRule="auto"/>
              <w:ind w:left="0" w:firstLine="0"/>
              <w:jc w:val="left"/>
              <w:rPr/>
            </w:pPr>
            <w:sdt>
              <w:sdtPr>
                <w:id w:val="-1245965626"/>
                <w:tag w:val="goog_rdk_21"/>
              </w:sdtPr>
              <w:sdtContent>
                <w:r w:rsidDel="00000000" w:rsidR="00000000" w:rsidRPr="00000000">
                  <w:rPr>
                    <w:rFonts w:ascii="Gungsuh" w:cs="Gungsuh" w:eastAsia="Gungsuh" w:hAnsi="Gungsuh"/>
                    <w:rtl w:val="0"/>
                  </w:rPr>
                  <w:t xml:space="preserve">经营效率显著提升，营业利润率从2022年的11.21%持续改善至2024年的17.70%。尽管2024年收入下降，但营业利润仍实现增长，从2023年的53,718,302千元增至64,051,799千元，增幅19.2%，表明公司在成本控制和运营效率方面取得重大进展，营业费用率得到有效控制。</w:t>
                </w:r>
              </w:sdtContent>
            </w:sdt>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after="0" w:before="0" w:lineRule="auto"/>
              <w:ind w:left="0" w:firstLine="0"/>
              <w:jc w:val="left"/>
              <w:rPr/>
            </w:pPr>
            <w:r w:rsidDel="00000000" w:rsidR="00000000" w:rsidRPr="00000000">
              <w:rPr>
                <w:b w:val="0"/>
                <w:i w:val="0"/>
                <w:color w:val="000000"/>
                <w:sz w:val="22"/>
                <w:szCs w:val="22"/>
                <w:rtl w:val="0"/>
              </w:rPr>
              <w:t xml:space="preserve">External &amp; One-Off Impact (Effective Tax Rate, Non-Recurring Items)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3">
            <w:pPr>
              <w:spacing w:after="0" w:before="0" w:lineRule="auto"/>
              <w:ind w:left="0" w:firstLine="0"/>
              <w:jc w:val="left"/>
              <w:rPr/>
            </w:pPr>
            <w:sdt>
              <w:sdtPr>
                <w:id w:val="269338702"/>
                <w:tag w:val="goog_rdk_22"/>
              </w:sdtPr>
              <w:sdtContent>
                <w:r w:rsidDel="00000000" w:rsidR="00000000" w:rsidRPr="00000000">
                  <w:rPr>
                    <w:rFonts w:ascii="Gungsuh" w:cs="Gungsuh" w:eastAsia="Gungsuh" w:hAnsi="Gungsuh"/>
                    <w:rtl w:val="0"/>
                  </w:rPr>
                  <w:t xml:space="preserve">有效税率呈上升趋势，从2022年的8.77%增至2024年的14.52%，对净利润产生负面影响。税负增加主要反映在所得税费用的显著增长，从2022年的3,215,713千元大幅增至2024年的9,175,245千元。报表中未明确披露非经常性损益项目的具体信息，因此无法准确评估其对盈利能力的影响。</w:t>
                </w:r>
              </w:sdtContent>
            </w:sdt>
          </w:p>
        </w:tc>
      </w:tr>
    </w:tbl>
    <w:p w:rsidR="00000000" w:rsidDel="00000000" w:rsidP="00000000" w:rsidRDefault="00000000" w:rsidRPr="00000000" w14:paraId="00000124">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25">
      <w:pPr>
        <w:spacing w:after="180" w:before="180" w:lineRule="auto"/>
        <w:ind w:left="0" w:firstLine="0"/>
        <w:jc w:val="left"/>
        <w:rPr/>
      </w:pPr>
      <w:r w:rsidDel="00000000" w:rsidR="00000000" w:rsidRPr="00000000">
        <w:rPr>
          <w:b w:val="1"/>
          <w:i w:val="0"/>
          <w:color w:val="000000"/>
          <w:sz w:val="33"/>
          <w:szCs w:val="33"/>
          <w:rtl w:val="0"/>
        </w:rPr>
        <w:t xml:space="preserve">S3.2: Financial Performance Summary</w:t>
      </w:r>
      <w:r w:rsidDel="00000000" w:rsidR="00000000" w:rsidRPr="00000000">
        <w:rPr>
          <w:rtl w:val="0"/>
        </w:rPr>
      </w:r>
    </w:p>
    <w:tbl>
      <w:tblPr>
        <w:tblStyle w:val="Table10"/>
        <w:tblW w:w="1140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070"/>
        <w:gridCol w:w="4485"/>
        <w:gridCol w:w="4845"/>
        <w:tblGridChange w:id="0">
          <w:tblGrid>
            <w:gridCol w:w="2070"/>
            <w:gridCol w:w="4485"/>
            <w:gridCol w:w="48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6">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7">
            <w:pPr>
              <w:spacing w:after="0" w:before="0" w:lineRule="auto"/>
              <w:ind w:left="0" w:firstLine="0"/>
              <w:jc w:val="left"/>
              <w:rPr/>
            </w:pPr>
            <w:sdt>
              <w:sdtPr>
                <w:id w:val="138236970"/>
                <w:tag w:val="goog_rdk_23"/>
              </w:sdtPr>
              <w:sdtContent>
                <w:r w:rsidDel="00000000" w:rsidR="00000000" w:rsidRPr="00000000">
                  <w:rPr>
                    <w:rFonts w:ascii="Gungsuh" w:cs="Gungsuh" w:eastAsia="Gungsuh" w:hAnsi="Gungsuh"/>
                    <w:b w:val="1"/>
                    <w:i w:val="0"/>
                    <w:color w:val="000000"/>
                    <w:sz w:val="22"/>
                    <w:szCs w:val="22"/>
                    <w:rtl w:val="0"/>
                  </w:rPr>
                  <w:t xml:space="preserve">2024年年度报告</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after="0" w:before="0" w:lineRule="auto"/>
              <w:ind w:left="0" w:firstLine="0"/>
              <w:jc w:val="left"/>
              <w:rPr/>
            </w:pPr>
            <w:sdt>
              <w:sdtPr>
                <w:id w:val="316621227"/>
                <w:tag w:val="goog_rdk_24"/>
              </w:sdtPr>
              <w:sdtContent>
                <w:r w:rsidDel="00000000" w:rsidR="00000000" w:rsidRPr="00000000">
                  <w:rPr>
                    <w:rFonts w:ascii="Gungsuh" w:cs="Gungsuh" w:eastAsia="Gungsuh" w:hAnsi="Gungsuh"/>
                    <w:b w:val="1"/>
                    <w:i w:val="0"/>
                    <w:color w:val="000000"/>
                    <w:sz w:val="22"/>
                    <w:szCs w:val="22"/>
                    <w:rtl w:val="0"/>
                  </w:rPr>
                  <w:t xml:space="preserve">2023年年度报告</w:t>
                </w:r>
              </w:sdtContent>
            </w:sdt>
            <w:r w:rsidDel="00000000" w:rsidR="00000000" w:rsidRPr="00000000">
              <w:rPr>
                <w:rtl w:val="0"/>
              </w:rPr>
            </w:r>
          </w:p>
        </w:tc>
      </w:tr>
      <w:tr>
        <w:trPr>
          <w:cantSplit w:val="0"/>
          <w:tblHeader w:val="0"/>
        </w:trPr>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9">
            <w:pPr>
              <w:spacing w:after="440" w:before="440" w:lineRule="auto"/>
              <w:rPr/>
            </w:pPr>
            <w:r w:rsidDel="00000000" w:rsidR="00000000" w:rsidRPr="00000000">
              <w:rPr>
                <w:rtl w:val="0"/>
              </w:rPr>
              <w:t xml:space="preserve">Comprehensive financial health</w:t>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A">
            <w:pPr>
              <w:spacing w:after="440" w:before="440" w:lineRule="auto"/>
              <w:rPr/>
            </w:pPr>
            <w:sdt>
              <w:sdtPr>
                <w:id w:val="1420937368"/>
                <w:tag w:val="goog_rdk_25"/>
              </w:sdtPr>
              <w:sdtContent>
                <w:r w:rsidDel="00000000" w:rsidR="00000000" w:rsidRPr="00000000">
                  <w:rPr>
                    <w:rFonts w:ascii="Gungsuh" w:cs="Gungsuh" w:eastAsia="Gungsuh" w:hAnsi="Gungsuh"/>
                    <w:rtl w:val="0"/>
                  </w:rPr>
                  <w:t xml:space="preserve">公司财务状况整体稳健，总资产从2023年的717,168,041千元增长至2024年的786,658,123千元，增幅9.7%。股东权益持续增强，从2023年的219,883,151千元提升至2024年的273,456,174千元，增幅24.4%。资产负债率有所改善，债务股权比从2023年的226.2%降至2024年的187.7%。流动比率约为160%，处于健康水平，显示良好的短期偿债能力。</w:t>
                </w:r>
              </w:sdtContent>
            </w:sdt>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B">
            <w:pPr>
              <w:spacing w:after="440" w:before="440" w:lineRule="auto"/>
              <w:rPr/>
            </w:pPr>
            <w:sdt>
              <w:sdtPr>
                <w:id w:val="-332819046"/>
                <w:tag w:val="goog_rdk_26"/>
              </w:sdtPr>
              <w:sdtContent>
                <w:r w:rsidDel="00000000" w:rsidR="00000000" w:rsidRPr="00000000">
                  <w:rPr>
                    <w:rFonts w:ascii="Gungsuh" w:cs="Gungsuh" w:eastAsia="Gungsuh" w:hAnsi="Gungsuh"/>
                    <w:rtl w:val="0"/>
                  </w:rPr>
                  <w:t xml:space="preserve">公司财务基础不断夯实，总资产从2022年的600,952,352千元大幅增长至2023年的717,168,041千元，增幅19.3%。股东权益显著增强，从2022年的176,909,162千元提升至2023年的219,883,151千元，增幅24.3%。债务结构有所优化，债务股权比从2022年的239.7%改善至2023年的226.2%。流动比率从2022年的131.17%提升至2023年的156.77%，短期偿债能力明显增强。</w:t>
                </w:r>
              </w:sdtContent>
            </w:sdt>
          </w:p>
        </w:tc>
      </w:tr>
      <w:tr>
        <w:trPr>
          <w:cantSplit w:val="0"/>
          <w:tblHeader w:val="0"/>
        </w:trPr>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C">
            <w:pPr>
              <w:spacing w:after="440" w:before="440" w:lineRule="auto"/>
              <w:rPr/>
            </w:pPr>
            <w:r w:rsidDel="00000000" w:rsidR="00000000" w:rsidRPr="00000000">
              <w:rPr>
                <w:rtl w:val="0"/>
              </w:rPr>
              <w:t xml:space="preserve">Profitability and earnings quality</w:t>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D">
            <w:pPr>
              <w:spacing w:after="440" w:before="440" w:lineRule="auto"/>
              <w:rPr/>
            </w:pPr>
            <w:sdt>
              <w:sdtPr>
                <w:id w:val="1910752566"/>
                <w:tag w:val="goog_rdk_27"/>
              </w:sdtPr>
              <w:sdtContent>
                <w:r w:rsidDel="00000000" w:rsidR="00000000" w:rsidRPr="00000000">
                  <w:rPr>
                    <w:rFonts w:ascii="Gungsuh" w:cs="Gungsuh" w:eastAsia="Gungsuh" w:hAnsi="Gungsuh"/>
                    <w:rtl w:val="0"/>
                  </w:rPr>
                  <w:t xml:space="preserve">盈利能力持续提升，净利润从2023年的46,761,034千元增长至2024年的54,006,794千元，增幅15.5%。净利润率从2023年的11.67%提升至2024年的14.93%，显示盈利质量不断改善。毛利率实现显著突破，从2023年的12.55%大幅提升至2024年的16.22%，反映出成本控制和产品结构优化的积极成效。尽管收入有所下滑，但盈利能力的提升表明公司经营质量持续向好。</w:t>
                </w:r>
              </w:sdtContent>
            </w:sdt>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E">
            <w:pPr>
              <w:spacing w:after="440" w:before="440" w:lineRule="auto"/>
              <w:rPr/>
            </w:pPr>
            <w:sdt>
              <w:sdtPr>
                <w:id w:val="1786729307"/>
                <w:tag w:val="goog_rdk_28"/>
              </w:sdtPr>
              <w:sdtContent>
                <w:r w:rsidDel="00000000" w:rsidR="00000000" w:rsidRPr="00000000">
                  <w:rPr>
                    <w:rFonts w:ascii="Gungsuh" w:cs="Gungsuh" w:eastAsia="Gungsuh" w:hAnsi="Gungsuh"/>
                    <w:rtl w:val="0"/>
                  </w:rPr>
                  <w:t xml:space="preserve">盈利能力实现跨越式发展，净利润从2022年的34,457,143千元大幅增长至2023年的46,761,034千元，增幅35.7%。净利润率从2022年的10.49%提升至2023年的11.67%，盈利水平持续改善。毛利率稳步上升，从2022年的10.61%增至2023年的12.55%，体现了公司在成本管理和产品竞争力方面的进步。收入和利润双增长的态势显示公司业务发展势头良好。</w:t>
                </w:r>
              </w:sdtContent>
            </w:sdt>
          </w:p>
        </w:tc>
      </w:tr>
      <w:tr>
        <w:trPr>
          <w:cantSplit w:val="0"/>
          <w:tblHeader w:val="0"/>
        </w:trPr>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F">
            <w:pPr>
              <w:spacing w:after="440" w:before="440" w:lineRule="auto"/>
              <w:rPr/>
            </w:pPr>
            <w:r w:rsidDel="00000000" w:rsidR="00000000" w:rsidRPr="00000000">
              <w:rPr>
                <w:rtl w:val="0"/>
              </w:rPr>
              <w:t xml:space="preserve">Operational efficiency</w:t>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0">
            <w:pPr>
              <w:spacing w:after="440" w:before="440" w:lineRule="auto"/>
              <w:rPr/>
            </w:pPr>
            <w:sdt>
              <w:sdtPr>
                <w:id w:val="1319935336"/>
                <w:tag w:val="goog_rdk_29"/>
              </w:sdtPr>
              <w:sdtContent>
                <w:r w:rsidDel="00000000" w:rsidR="00000000" w:rsidRPr="00000000">
                  <w:rPr>
                    <w:rFonts w:ascii="Gungsuh" w:cs="Gungsuh" w:eastAsia="Gungsuh" w:hAnsi="Gungsuh"/>
                    <w:rtl w:val="0"/>
                  </w:rPr>
                  <w:t xml:space="preserve">运营效率显著提升，营业利润率从2023年的13.40%大幅改善至2024年的17.70%。在收入下降9.7%的情况下，营业利润仍实现19.2%的增长，从2023年的53,718,302千元增至2024年的64,051,799千元，充分体现了公司在成本控制和运营管理方面的卓越能力。营业费用控制有效，费用率持续优化，运营杠杆效应明显。</w:t>
                </w:r>
              </w:sdtContent>
            </w:sdt>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1">
            <w:pPr>
              <w:spacing w:after="440" w:before="440" w:lineRule="auto"/>
              <w:rPr/>
            </w:pPr>
            <w:sdt>
              <w:sdtPr>
                <w:id w:val="-72686427"/>
                <w:tag w:val="goog_rdk_30"/>
              </w:sdtPr>
              <w:sdtContent>
                <w:r w:rsidDel="00000000" w:rsidR="00000000" w:rsidRPr="00000000">
                  <w:rPr>
                    <w:rFonts w:ascii="Gungsuh" w:cs="Gungsuh" w:eastAsia="Gungsuh" w:hAnsi="Gungsuh"/>
                    <w:rtl w:val="0"/>
                  </w:rPr>
                  <w:t xml:space="preserve">运营效率持续改善，营业利润率从2022年的11.21%提升至2023年的13.40%。营业利润实现强劲增长，从2022年的36,821,983千元大幅增至2023年的53,718,302千元，增幅45.9%。收入增长22.0%的同时营业利润增幅更大，显示公司规模效应逐渐显现，营业费用率得到有效控制，运营效率不断提升。</w:t>
                </w:r>
              </w:sdtContent>
            </w:sdt>
          </w:p>
        </w:tc>
      </w:tr>
      <w:tr>
        <w:trPr>
          <w:cantSplit w:val="0"/>
          <w:tblHeader w:val="0"/>
        </w:trPr>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2">
            <w:pPr>
              <w:spacing w:after="440" w:before="440" w:lineRule="auto"/>
              <w:rPr/>
            </w:pPr>
            <w:r w:rsidDel="00000000" w:rsidR="00000000" w:rsidRPr="00000000">
              <w:rPr>
                <w:rtl w:val="0"/>
              </w:rPr>
              <w:t xml:space="preserve">Financial risk identification and early warning</w:t>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3">
            <w:pPr>
              <w:spacing w:after="440" w:before="440" w:lineRule="auto"/>
              <w:rPr/>
            </w:pPr>
            <w:sdt>
              <w:sdtPr>
                <w:id w:val="-215064282"/>
                <w:tag w:val="goog_rdk_31"/>
              </w:sdtPr>
              <w:sdtContent>
                <w:r w:rsidDel="00000000" w:rsidR="00000000" w:rsidRPr="00000000">
                  <w:rPr>
                    <w:rFonts w:ascii="Gungsuh" w:cs="Gungsuh" w:eastAsia="Gungsuh" w:hAnsi="Gungsuh"/>
                    <w:rtl w:val="0"/>
                  </w:rPr>
                  <w:t xml:space="preserve">主要财务风险包括有效税率上升趋势，从2023年的13.27%增至2024年的14.52%，税负增加对盈利能力造成压力。分红支付比例大幅提升至47.8%，现金流出压力增加。资产周转率下降至48.15%，资产使用效率有待提升。境外收入占比虽然较高但有所回落，国际市场波动风险需要关注。整体而言，财务风险可控，但需密切监控税负变化和现金流状况。</w:t>
                </w:r>
              </w:sdtContent>
            </w:sdt>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4">
            <w:pPr>
              <w:spacing w:after="440" w:before="440" w:lineRule="auto"/>
              <w:rPr/>
            </w:pPr>
            <w:sdt>
              <w:sdtPr>
                <w:id w:val="138191261"/>
                <w:tag w:val="goog_rdk_32"/>
              </w:sdtPr>
              <w:sdtContent>
                <w:r w:rsidDel="00000000" w:rsidR="00000000" w:rsidRPr="00000000">
                  <w:rPr>
                    <w:rFonts w:ascii="Gungsuh" w:cs="Gungsuh" w:eastAsia="Gungsuh" w:hAnsi="Gungsuh"/>
                    <w:rtl w:val="0"/>
                  </w:rPr>
                  <w:t xml:space="preserve">财务风险总体可控但需关注税负上升趋势，有效税率从2022年的8.77%大幅增至2023年的13.27%，税务成本显著增加。资产周转率从2022年的57.2%上升至2023年的61.1%，资产效率有所改善但仍需进一步优化。境外收入占比大幅提升至32.7%，国际化程度提高的同时也面临汇率和地缘政治风险。流动性状况良好，但需关注投资活动现金流出的持续性。</w:t>
                </w:r>
              </w:sdtContent>
            </w:sdt>
          </w:p>
        </w:tc>
      </w:tr>
      <w:tr>
        <w:trPr>
          <w:cantSplit w:val="0"/>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5">
            <w:pPr>
              <w:spacing w:after="440" w:before="440" w:lineRule="auto"/>
              <w:rPr/>
            </w:pPr>
            <w:r w:rsidDel="00000000" w:rsidR="00000000" w:rsidRPr="00000000">
              <w:rPr>
                <w:rtl w:val="0"/>
              </w:rPr>
              <w:t xml:space="preserve">Future financial performance projection</w:t>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6">
            <w:pPr>
              <w:spacing w:after="440" w:before="440" w:lineRule="auto"/>
              <w:rPr/>
            </w:pPr>
            <w:sdt>
              <w:sdtPr>
                <w:id w:val="-1872355006"/>
                <w:tag w:val="goog_rdk_33"/>
              </w:sdtPr>
              <w:sdtContent>
                <w:r w:rsidDel="00000000" w:rsidR="00000000" w:rsidRPr="00000000">
                  <w:rPr>
                    <w:rFonts w:ascii="Gungsuh" w:cs="Gungsuh" w:eastAsia="Gungsuh" w:hAnsi="Gungsuh"/>
                    <w:rtl w:val="0"/>
                  </w:rPr>
                  <w:t xml:space="preserve">基于当前趋势，公司未来财务表现预期保持稳健。盈利能力的持续改善为未来发展奠定坚实基础，预计毛利率和营业利润率将维持在较高水平。然而，需关注收入增长动力的恢复，特别是动力电池系统业务的市场竞争加剧。税负上升趋势可能持续，对净利润造成压力。现金流状况良好，为未来投资和发展提供支撑。整体而言，公司具备持续增长的基础，但需要在市场拓展和成本控制之间找到平衡。</w:t>
                </w:r>
              </w:sdtContent>
            </w:sdt>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7">
            <w:pPr>
              <w:spacing w:after="440" w:before="440" w:lineRule="auto"/>
              <w:rPr/>
            </w:pPr>
            <w:sdt>
              <w:sdtPr>
                <w:id w:val="-1095022511"/>
                <w:tag w:val="goog_rdk_34"/>
              </w:sdtPr>
              <w:sdtContent>
                <w:r w:rsidDel="00000000" w:rsidR="00000000" w:rsidRPr="00000000">
                  <w:rPr>
                    <w:rFonts w:ascii="Gungsuh" w:cs="Gungsuh" w:eastAsia="Gungsuh" w:hAnsi="Gungsuh"/>
                    <w:rtl w:val="0"/>
                  </w:rPr>
                  <w:t xml:space="preserve">公司未来财务表现展现积极前景，收入和利润的双重快速增长显示强劲的发展势头。盈利能力的稳步提升为未来持续发展提供基础，预计毛利率将继续改善。国际市场拓展为收入增长提供新动力，但也需要关注相关风险管理。资产规模的快速扩张需要配合效率提升，确保投资回报。税负上升趋势需要重点关注，可能对未来净利润增长造成影响。整体而言，公司处于快速发展阶段，未来表现值得期待。</w:t>
                </w:r>
              </w:sdtContent>
            </w:sdt>
          </w:p>
        </w:tc>
      </w:tr>
    </w:tbl>
    <w:p w:rsidR="00000000" w:rsidDel="00000000" w:rsidP="00000000" w:rsidRDefault="00000000" w:rsidRPr="00000000" w14:paraId="00000138">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39">
      <w:pPr>
        <w:spacing w:after="180" w:before="180" w:lineRule="auto"/>
        <w:ind w:left="0" w:firstLine="0"/>
        <w:jc w:val="left"/>
        <w:rPr/>
      </w:pPr>
      <w:r w:rsidDel="00000000" w:rsidR="00000000" w:rsidRPr="00000000">
        <w:rPr>
          <w:b w:val="1"/>
          <w:i w:val="0"/>
          <w:color w:val="000000"/>
          <w:sz w:val="33"/>
          <w:szCs w:val="33"/>
          <w:rtl w:val="0"/>
        </w:rPr>
        <w:t xml:space="preserve">S3.3: Business Competitiveness</w:t>
      </w:r>
      <w:r w:rsidDel="00000000" w:rsidR="00000000" w:rsidRPr="00000000">
        <w:rPr>
          <w:rtl w:val="0"/>
        </w:rPr>
      </w:r>
    </w:p>
    <w:tbl>
      <w:tblPr>
        <w:tblStyle w:val="Table11"/>
        <w:tblW w:w="9838.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198"/>
        <w:gridCol w:w="4320"/>
        <w:gridCol w:w="4320"/>
        <w:tblGridChange w:id="0">
          <w:tblGrid>
            <w:gridCol w:w="1198"/>
            <w:gridCol w:w="4320"/>
            <w:gridCol w:w="43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A">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B">
            <w:pPr>
              <w:spacing w:after="0" w:before="0" w:lineRule="auto"/>
              <w:ind w:left="0" w:firstLine="0"/>
              <w:jc w:val="left"/>
              <w:rPr/>
            </w:pPr>
            <w:sdt>
              <w:sdtPr>
                <w:id w:val="-1993408244"/>
                <w:tag w:val="goog_rdk_35"/>
              </w:sdtPr>
              <w:sdtContent>
                <w:r w:rsidDel="00000000" w:rsidR="00000000" w:rsidRPr="00000000">
                  <w:rPr>
                    <w:rFonts w:ascii="Gungsuh" w:cs="Gungsuh" w:eastAsia="Gungsuh" w:hAnsi="Gungsuh"/>
                    <w:b w:val="1"/>
                    <w:i w:val="0"/>
                    <w:color w:val="000000"/>
                    <w:sz w:val="22"/>
                    <w:szCs w:val="22"/>
                    <w:rtl w:val="0"/>
                  </w:rPr>
                  <w:t xml:space="preserve">宁德时代新能源科技股份有限公司2024年年度报告</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C">
            <w:pPr>
              <w:spacing w:after="0" w:before="0" w:lineRule="auto"/>
              <w:ind w:left="0" w:firstLine="0"/>
              <w:jc w:val="left"/>
              <w:rPr/>
            </w:pPr>
            <w:sdt>
              <w:sdtPr>
                <w:id w:val="772978827"/>
                <w:tag w:val="goog_rdk_36"/>
              </w:sdtPr>
              <w:sdtContent>
                <w:r w:rsidDel="00000000" w:rsidR="00000000" w:rsidRPr="00000000">
                  <w:rPr>
                    <w:rFonts w:ascii="Gungsuh" w:cs="Gungsuh" w:eastAsia="Gungsuh" w:hAnsi="Gungsuh"/>
                    <w:b w:val="1"/>
                    <w:i w:val="0"/>
                    <w:color w:val="000000"/>
                    <w:sz w:val="22"/>
                    <w:szCs w:val="22"/>
                    <w:rtl w:val="0"/>
                  </w:rPr>
                  <w:t xml:space="preserve">宁德时代新能源科技股份有限公司2023年年度报告</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D">
            <w:pPr>
              <w:spacing w:after="0" w:before="0" w:lineRule="auto"/>
              <w:ind w:left="0" w:firstLine="0"/>
              <w:jc w:val="left"/>
              <w:rPr/>
            </w:pPr>
            <w:r w:rsidDel="00000000" w:rsidR="00000000" w:rsidRPr="00000000">
              <w:rPr>
                <w:b w:val="0"/>
                <w:i w:val="0"/>
                <w:color w:val="000000"/>
                <w:sz w:val="22"/>
                <w:szCs w:val="22"/>
                <w:rtl w:val="0"/>
              </w:rPr>
              <w:t xml:space="preserve">Business 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E">
            <w:pPr>
              <w:spacing w:after="0" w:before="0" w:lineRule="auto"/>
              <w:ind w:left="0" w:firstLine="0"/>
              <w:jc w:val="left"/>
              <w:rPr/>
            </w:pPr>
            <w:sdt>
              <w:sdtPr>
                <w:id w:val="-1030842406"/>
                <w:tag w:val="goog_rdk_37"/>
              </w:sdtPr>
              <w:sdtContent>
                <w:r w:rsidDel="00000000" w:rsidR="00000000" w:rsidRPr="00000000">
                  <w:rPr>
                    <w:rFonts w:ascii="Gungsuh" w:cs="Gungsuh" w:eastAsia="Gungsuh" w:hAnsi="Gungsuh"/>
                    <w:b w:val="0"/>
                    <w:i w:val="0"/>
                    <w:color w:val="000000"/>
                    <w:sz w:val="22"/>
                    <w:szCs w:val="22"/>
                    <w:rtl w:val="0"/>
                  </w:rPr>
                  <w:t xml:space="preserve">公司主要通过销售动力电池、储能电池和电池材料等产品实现盈利。采用以自主研发为主、外部合作为辅的研发模式，通过数字化、智能化的方式</w:t>
                </w:r>
              </w:sdtContent>
            </w:sdt>
            <w:sdt>
              <w:sdtPr>
                <w:id w:val="-1841882102"/>
                <w:tag w:val="goog_rdk_38"/>
              </w:sdtPr>
              <w:sdtContent>
                <w:r w:rsidDel="00000000" w:rsidR="00000000" w:rsidRPr="00000000">
                  <w:rPr>
                    <w:rFonts w:ascii="Gungsuh" w:cs="Gungsuh" w:eastAsia="Gungsuh" w:hAnsi="Gungsuh"/>
                    <w:rtl w:val="0"/>
                  </w:rPr>
                  <w:t xml:space="preserve">，围绕材料、结构、绿色极限制造及商业模式领域</w:t>
                </w:r>
              </w:sdtContent>
            </w:sdt>
            <w:sdt>
              <w:sdtPr>
                <w:id w:val="1873241684"/>
                <w:tag w:val="goog_rdk_39"/>
              </w:sdtPr>
              <w:sdtContent>
                <w:r w:rsidDel="00000000" w:rsidR="00000000" w:rsidRPr="00000000">
                  <w:rPr>
                    <w:rFonts w:ascii="Gungsuh" w:cs="Gungsuh" w:eastAsia="Gungsuh" w:hAnsi="Gungsuh"/>
                    <w:b w:val="0"/>
                    <w:i w:val="0"/>
                    <w:color w:val="000000"/>
                    <w:sz w:val="22"/>
                    <w:szCs w:val="22"/>
                    <w:rtl w:val="0"/>
                  </w:rPr>
                  <w:t xml:space="preserve">开展创新。同时通过商业模式创新，为客户提供换电服务、智慧充电站等新能源应用解决方案和服务。</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F">
            <w:pPr>
              <w:spacing w:after="0" w:before="0" w:lineRule="auto"/>
              <w:ind w:left="0" w:firstLine="0"/>
              <w:jc w:val="left"/>
              <w:rPr/>
            </w:pPr>
            <w:sdt>
              <w:sdtPr>
                <w:id w:val="1823529839"/>
                <w:tag w:val="goog_rdk_40"/>
              </w:sdtPr>
              <w:sdtContent>
                <w:r w:rsidDel="00000000" w:rsidR="00000000" w:rsidRPr="00000000">
                  <w:rPr>
                    <w:rFonts w:ascii="Gungsuh" w:cs="Gungsuh" w:eastAsia="Gungsuh" w:hAnsi="Gungsuh"/>
                    <w:b w:val="0"/>
                    <w:i w:val="0"/>
                    <w:color w:val="000000"/>
                    <w:sz w:val="22"/>
                    <w:szCs w:val="22"/>
                    <w:rtl w:val="0"/>
                  </w:rPr>
                  <w:t xml:space="preserve">公司主要通过销售动力电池、储能电池和电池材料等产品实现盈利。采用以自主研发为主、外部合作为辅的研发模式，通过数字化、智能化的方式开展技术创新。同时通过商业模式创新，为客户提供EVOGO换电服务、骐骥换电服务、电动智慧无人矿山、光储充检智能充电站、智慧港口等新能源应用解决方案和服务。</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0">
            <w:pPr>
              <w:spacing w:after="0" w:before="0" w:lineRule="auto"/>
              <w:ind w:left="0" w:firstLine="0"/>
              <w:jc w:val="left"/>
              <w:rPr/>
            </w:pPr>
            <w:r w:rsidDel="00000000" w:rsidR="00000000" w:rsidRPr="00000000">
              <w:rPr>
                <w:b w:val="0"/>
                <w:i w:val="0"/>
                <w:color w:val="000000"/>
                <w:sz w:val="22"/>
                <w:szCs w:val="22"/>
                <w:rtl w:val="0"/>
              </w:rPr>
              <w:t xml:space="preserve">Market Position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1">
            <w:pPr>
              <w:spacing w:after="0" w:before="0" w:lineRule="auto"/>
              <w:ind w:left="0" w:firstLine="0"/>
              <w:jc w:val="left"/>
              <w:rPr/>
            </w:pPr>
            <w:sdt>
              <w:sdtPr>
                <w:id w:val="-264870665"/>
                <w:tag w:val="goog_rdk_41"/>
              </w:sdtPr>
              <w:sdtContent>
                <w:r w:rsidDel="00000000" w:rsidR="00000000" w:rsidRPr="00000000">
                  <w:rPr>
                    <w:rFonts w:ascii="Gungsuh" w:cs="Gungsuh" w:eastAsia="Gungsuh" w:hAnsi="Gungsuh"/>
                    <w:b w:val="0"/>
                    <w:i w:val="0"/>
                    <w:color w:val="000000"/>
                    <w:sz w:val="22"/>
                    <w:szCs w:val="22"/>
                    <w:rtl w:val="0"/>
                  </w:rPr>
                  <w:t xml:space="preserve">公司是全球领先的新能源创新科技公司，已在全球设立六大研发中心、十三大电池生产制造基地，并覆盖全球最广泛的动力与储能客户群体。根据SNE Research统计，2024年全球动力电池使用量达894.4GWh，同比增长27.2%；全球储能电池出货量301GWh，同比增长62.7%。公司在技术研发、极限制造、供应链管理、全球客户合作等方面的竞争力进一步提升。</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2">
            <w:pPr>
              <w:spacing w:after="0" w:before="0" w:lineRule="auto"/>
              <w:ind w:left="0" w:firstLine="0"/>
              <w:jc w:val="left"/>
              <w:rPr/>
            </w:pPr>
            <w:sdt>
              <w:sdtPr>
                <w:id w:val="-1087896234"/>
                <w:tag w:val="goog_rdk_42"/>
              </w:sdtPr>
              <w:sdtContent>
                <w:r w:rsidDel="00000000" w:rsidR="00000000" w:rsidRPr="00000000">
                  <w:rPr>
                    <w:rFonts w:ascii="Gungsuh" w:cs="Gungsuh" w:eastAsia="Gungsuh" w:hAnsi="Gungsuh"/>
                    <w:b w:val="0"/>
                    <w:i w:val="0"/>
                    <w:color w:val="000000"/>
                    <w:sz w:val="22"/>
                    <w:szCs w:val="22"/>
                    <w:rtl w:val="0"/>
                  </w:rPr>
                  <w:t xml:space="preserve">公司国内动力电池使用量171.9GWh，同比增长28.7%，以44.5%的市场份额连续7年位列第一。海外市场方面，2023年公司海外动力电池使用量市占率为27.5%，比去年同期提升4.7个百分点。储能电池领域，根据SNE Research统计，2023年公司全球储能电池出货量市占率为40%，连续3年位列全球第一。</w:t>
                </w:r>
              </w:sdtContent>
            </w:sdt>
            <w:r w:rsidDel="00000000" w:rsidR="00000000" w:rsidRPr="00000000">
              <w:rPr>
                <w:rtl w:val="0"/>
              </w:rPr>
            </w:r>
          </w:p>
        </w:tc>
      </w:tr>
    </w:tbl>
    <w:p w:rsidR="00000000" w:rsidDel="00000000" w:rsidP="00000000" w:rsidRDefault="00000000" w:rsidRPr="00000000" w14:paraId="00000143">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44">
      <w:pPr>
        <w:spacing w:after="161" w:before="161" w:lineRule="auto"/>
        <w:ind w:left="0" w:firstLine="0"/>
        <w:jc w:val="left"/>
        <w:rPr/>
      </w:pPr>
      <w:r w:rsidDel="00000000" w:rsidR="00000000" w:rsidRPr="00000000">
        <w:rPr>
          <w:b w:val="1"/>
          <w:i w:val="0"/>
          <w:color w:val="000000"/>
          <w:sz w:val="44"/>
          <w:szCs w:val="44"/>
          <w:rtl w:val="0"/>
        </w:rPr>
        <w:t xml:space="preserve">Section 4: Risk Factors</w:t>
      </w:r>
      <w:r w:rsidDel="00000000" w:rsidR="00000000" w:rsidRPr="00000000">
        <w:rPr>
          <w:rtl w:val="0"/>
        </w:rPr>
      </w:r>
    </w:p>
    <w:p w:rsidR="00000000" w:rsidDel="00000000" w:rsidP="00000000" w:rsidRDefault="00000000" w:rsidRPr="00000000" w14:paraId="00000145">
      <w:pPr>
        <w:spacing w:after="180" w:before="180" w:lineRule="auto"/>
        <w:ind w:left="0" w:firstLine="0"/>
        <w:jc w:val="left"/>
        <w:rPr/>
      </w:pPr>
      <w:r w:rsidDel="00000000" w:rsidR="00000000" w:rsidRPr="00000000">
        <w:rPr>
          <w:b w:val="1"/>
          <w:i w:val="0"/>
          <w:color w:val="000000"/>
          <w:sz w:val="33"/>
          <w:szCs w:val="33"/>
          <w:rtl w:val="0"/>
        </w:rPr>
        <w:t xml:space="preserve">S4.1: Risk Factors</w:t>
      </w:r>
      <w:r w:rsidDel="00000000" w:rsidR="00000000" w:rsidRPr="00000000">
        <w:rPr>
          <w:rtl w:val="0"/>
        </w:rPr>
      </w:r>
    </w:p>
    <w:tbl>
      <w:tblPr>
        <w:tblStyle w:val="Table12"/>
        <w:tblW w:w="1098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695"/>
        <w:gridCol w:w="4560"/>
        <w:gridCol w:w="4725"/>
        <w:tblGridChange w:id="0">
          <w:tblGrid>
            <w:gridCol w:w="1695"/>
            <w:gridCol w:w="4560"/>
            <w:gridCol w:w="47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6">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7">
            <w:pPr>
              <w:spacing w:after="0" w:before="0" w:lineRule="auto"/>
              <w:ind w:left="0" w:firstLine="0"/>
              <w:jc w:val="left"/>
              <w:rPr/>
            </w:pPr>
            <w:sdt>
              <w:sdtPr>
                <w:id w:val="1934421525"/>
                <w:tag w:val="goog_rdk_43"/>
              </w:sdtPr>
              <w:sdtContent>
                <w:r w:rsidDel="00000000" w:rsidR="00000000" w:rsidRPr="00000000">
                  <w:rPr>
                    <w:rFonts w:ascii="Gungsuh" w:cs="Gungsuh" w:eastAsia="Gungsuh" w:hAnsi="Gungsuh"/>
                    <w:b w:val="1"/>
                    <w:i w:val="0"/>
                    <w:color w:val="000000"/>
                    <w:sz w:val="22"/>
                    <w:szCs w:val="22"/>
                    <w:rtl w:val="0"/>
                  </w:rPr>
                  <w:t xml:space="preserve">宁德时代新能源科技股份有限公司+2024+年年度报告</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8">
            <w:pPr>
              <w:spacing w:after="0" w:before="0" w:lineRule="auto"/>
              <w:ind w:left="0" w:firstLine="0"/>
              <w:jc w:val="left"/>
              <w:rPr/>
            </w:pPr>
            <w:sdt>
              <w:sdtPr>
                <w:id w:val="-1236529814"/>
                <w:tag w:val="goog_rdk_44"/>
              </w:sdtPr>
              <w:sdtContent>
                <w:r w:rsidDel="00000000" w:rsidR="00000000" w:rsidRPr="00000000">
                  <w:rPr>
                    <w:rFonts w:ascii="Gungsuh" w:cs="Gungsuh" w:eastAsia="Gungsuh" w:hAnsi="Gungsuh"/>
                    <w:b w:val="1"/>
                    <w:i w:val="0"/>
                    <w:color w:val="000000"/>
                    <w:sz w:val="22"/>
                    <w:szCs w:val="22"/>
                    <w:rtl w:val="0"/>
                  </w:rPr>
                  <w:t xml:space="preserve">宁德时代新能源科技股份有限公司+2023+年年度报告</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9">
            <w:pPr>
              <w:spacing w:after="0" w:before="0" w:lineRule="auto"/>
              <w:ind w:left="0" w:firstLine="0"/>
              <w:jc w:val="left"/>
              <w:rPr/>
            </w:pPr>
            <w:r w:rsidDel="00000000" w:rsidR="00000000" w:rsidRPr="00000000">
              <w:rPr>
                <w:b w:val="0"/>
                <w:i w:val="0"/>
                <w:color w:val="000000"/>
                <w:sz w:val="22"/>
                <w:szCs w:val="22"/>
                <w:rtl w:val="0"/>
              </w:rPr>
              <w:t xml:space="preserve">Market Risks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A">
            <w:pPr>
              <w:spacing w:after="0" w:before="0" w:lineRule="auto"/>
              <w:ind w:left="0" w:firstLine="0"/>
              <w:jc w:val="left"/>
              <w:rPr/>
            </w:pPr>
            <w:sdt>
              <w:sdtPr>
                <w:id w:val="-1555527510"/>
                <w:tag w:val="goog_rdk_45"/>
              </w:sdtPr>
              <w:sdtContent>
                <w:r w:rsidDel="00000000" w:rsidR="00000000" w:rsidRPr="00000000">
                  <w:rPr>
                    <w:rFonts w:ascii="Gungsuh" w:cs="Gungsuh" w:eastAsia="Gungsuh" w:hAnsi="Gungsuh"/>
                    <w:b w:val="0"/>
                    <w:i w:val="0"/>
                    <w:color w:val="000000"/>
                    <w:sz w:val="22"/>
                    <w:szCs w:val="22"/>
                    <w:rtl w:val="0"/>
                  </w:rPr>
                  <w:t xml:space="preserve">面临宏观经济与市场波动风险，全球宏观经济存在不确定性，若未来出现经济增长放缓和市场需求下滑，将影响整个新能源以及动力和储能电池行业的发展。同时面临市场竞争加剧风险，随着全球新能源市场快速发展，国内外企业电池产能快速扩张。</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B">
            <w:pPr>
              <w:spacing w:after="0" w:before="0" w:lineRule="auto"/>
              <w:ind w:left="0" w:firstLine="0"/>
              <w:jc w:val="left"/>
              <w:rPr/>
            </w:pPr>
            <w:sdt>
              <w:sdtPr>
                <w:id w:val="-1579220124"/>
                <w:tag w:val="goog_rdk_46"/>
              </w:sdtPr>
              <w:sdtContent>
                <w:r w:rsidDel="00000000" w:rsidR="00000000" w:rsidRPr="00000000">
                  <w:rPr>
                    <w:rFonts w:ascii="Gungsuh" w:cs="Gungsuh" w:eastAsia="Gungsuh" w:hAnsi="Gungsuh"/>
                    <w:b w:val="0"/>
                    <w:i w:val="0"/>
                    <w:color w:val="000000"/>
                    <w:sz w:val="22"/>
                    <w:szCs w:val="22"/>
                    <w:rtl w:val="0"/>
                  </w:rPr>
                  <w:t xml:space="preserve">面临宏观经济与市场波动风险，全球宏观经济存在不确定性，若未来出现经济增长放缓和市场需求下滑，将影响整个新能源以及动力和储能电池行业的发展。同时面临市场竞争加剧风险，随着全球新能源市场快速发展，国内外企业电池产能快速扩张。</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C">
            <w:pPr>
              <w:spacing w:after="0" w:before="0" w:lineRule="auto"/>
              <w:ind w:left="0" w:firstLine="0"/>
              <w:jc w:val="left"/>
              <w:rPr/>
            </w:pPr>
            <w:r w:rsidDel="00000000" w:rsidR="00000000" w:rsidRPr="00000000">
              <w:rPr>
                <w:b w:val="0"/>
                <w:i w:val="0"/>
                <w:color w:val="000000"/>
                <w:sz w:val="22"/>
                <w:szCs w:val="22"/>
                <w:rtl w:val="0"/>
              </w:rPr>
              <w:t xml:space="preserve">Operational Risks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D">
            <w:pPr>
              <w:spacing w:after="0" w:before="0" w:lineRule="auto"/>
              <w:ind w:left="0" w:firstLine="0"/>
              <w:jc w:val="left"/>
              <w:rPr/>
            </w:pPr>
            <w:sdt>
              <w:sdtPr>
                <w:id w:val="807294583"/>
                <w:tag w:val="goog_rdk_47"/>
              </w:sdtPr>
              <w:sdtContent>
                <w:r w:rsidDel="00000000" w:rsidR="00000000" w:rsidRPr="00000000">
                  <w:rPr>
                    <w:rFonts w:ascii="Gungsuh" w:cs="Gungsuh" w:eastAsia="Gungsuh" w:hAnsi="Gungsuh"/>
                    <w:b w:val="0"/>
                    <w:i w:val="0"/>
                    <w:color w:val="000000"/>
                    <w:sz w:val="22"/>
                    <w:szCs w:val="22"/>
                    <w:rtl w:val="0"/>
                  </w:rPr>
                  <w:t xml:space="preserve">面临新产品和新技术开发风险，由于对能量密度、安全性、快充等更高性能电池技术的追求，全球知名的车企、电池企业、材料企业、研究机构纷纷加大对新技术路线的研究开发。如果不能有效预判且始终保持研发能力的行业领先，市场竞争力和盈利能力可能会受到影响。</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E">
            <w:pPr>
              <w:spacing w:after="0" w:before="0" w:lineRule="auto"/>
              <w:ind w:left="0" w:firstLine="0"/>
              <w:jc w:val="left"/>
              <w:rPr/>
            </w:pPr>
            <w:sdt>
              <w:sdtPr>
                <w:id w:val="-109467100"/>
                <w:tag w:val="goog_rdk_48"/>
              </w:sdtPr>
              <w:sdtContent>
                <w:r w:rsidDel="00000000" w:rsidR="00000000" w:rsidRPr="00000000">
                  <w:rPr>
                    <w:rFonts w:ascii="Gungsuh" w:cs="Gungsuh" w:eastAsia="Gungsuh" w:hAnsi="Gungsuh"/>
                    <w:b w:val="0"/>
                    <w:i w:val="0"/>
                    <w:color w:val="000000"/>
                    <w:sz w:val="22"/>
                    <w:szCs w:val="22"/>
                    <w:rtl w:val="0"/>
                  </w:rPr>
                  <w:t xml:space="preserve">面临新产品和新技术开发风险，由于对能量密度、安全性、快充等更高性能电池技术的追求，全球知名的车企、电池企业、材料企业、研究机构纷纷加大对新技术路线的研究开发。同时面临原材料价格波动及供应风险，主要原材料受锂、镍、钴等大宗商品或化工原料价格影响较大。</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F">
            <w:pPr>
              <w:spacing w:after="0" w:before="0" w:lineRule="auto"/>
              <w:ind w:left="0" w:firstLine="0"/>
              <w:jc w:val="left"/>
              <w:rPr/>
            </w:pPr>
            <w:r w:rsidDel="00000000" w:rsidR="00000000" w:rsidRPr="00000000">
              <w:rPr>
                <w:b w:val="0"/>
                <w:i w:val="0"/>
                <w:color w:val="000000"/>
                <w:sz w:val="22"/>
                <w:szCs w:val="22"/>
                <w:rtl w:val="0"/>
              </w:rPr>
              <w:t xml:space="preserve">Financial Risks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0">
            <w:pPr>
              <w:spacing w:after="0" w:before="0" w:lineRule="auto"/>
              <w:ind w:left="0" w:firstLine="0"/>
              <w:jc w:val="left"/>
              <w:rPr/>
            </w:pPr>
            <w:sdt>
              <w:sdtPr>
                <w:id w:val="573058080"/>
                <w:tag w:val="goog_rdk_49"/>
              </w:sdtPr>
              <w:sdtContent>
                <w:r w:rsidDel="00000000" w:rsidR="00000000" w:rsidRPr="00000000">
                  <w:rPr>
                    <w:rFonts w:ascii="Gungsuh" w:cs="Gungsuh" w:eastAsia="Gungsuh" w:hAnsi="Gungsuh"/>
                    <w:b w:val="0"/>
                    <w:i w:val="0"/>
                    <w:color w:val="000000"/>
                    <w:sz w:val="22"/>
                    <w:szCs w:val="22"/>
                    <w:rtl w:val="0"/>
                  </w:rPr>
                  <w:t xml:space="preserve">金融工具导致的主要风险包括信用风险、流动性风险、市场风险（包括汇率风险、利率风险和商品价格风险）。2024年资产负债率为65.24%，尚未使用的银行借款额度为3,441亿元。</w:t>
                  <w:br w:type="textWrapping"/>
                  <w:t xml:space="preserve">套期保值业务可能存在市场风险、系统风险、技术风险、操作风险及违约风险等。公司已制定《套期保值业务内部控制及风险管理制度》，成立了套期保值领导小组、工作小组和风控小组进行风险管控。</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1">
            <w:pPr>
              <w:spacing w:after="0" w:before="0" w:lineRule="auto"/>
              <w:ind w:left="0" w:firstLine="0"/>
              <w:jc w:val="left"/>
              <w:rPr/>
            </w:pPr>
            <w:sdt>
              <w:sdtPr>
                <w:id w:val="-955248621"/>
                <w:tag w:val="goog_rdk_50"/>
              </w:sdtPr>
              <w:sdtContent>
                <w:r w:rsidDel="00000000" w:rsidR="00000000" w:rsidRPr="00000000">
                  <w:rPr>
                    <w:rFonts w:ascii="Gungsuh" w:cs="Gungsuh" w:eastAsia="Gungsuh" w:hAnsi="Gungsuh"/>
                    <w:b w:val="0"/>
                    <w:i w:val="0"/>
                    <w:color w:val="000000"/>
                    <w:sz w:val="22"/>
                    <w:szCs w:val="22"/>
                    <w:rtl w:val="0"/>
                  </w:rPr>
                  <w:t xml:space="preserve">金融工具导致的主要风险包括信用风险、流动性风险、市场风险（包括汇率风险、利率风险和商品价格风险）。2023年资产负债率为69.34%，尚未使用的银行借款额度为3,373亿元。</w:t>
                  <w:br w:type="textWrapping"/>
                  <w:t xml:space="preserve">套期保值业务可能存在市场风险、系统风险、技术风险、操作风险及违约风险等。公司已制定《套期保值业务内部控制及风险管理制度》，成立了套期保值领导小组、工作小组和风控小组进行风险管控。</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2">
            <w:pPr>
              <w:spacing w:after="0" w:before="0" w:lineRule="auto"/>
              <w:ind w:left="0" w:firstLine="0"/>
              <w:jc w:val="left"/>
              <w:rPr/>
            </w:pPr>
            <w:r w:rsidDel="00000000" w:rsidR="00000000" w:rsidRPr="00000000">
              <w:rPr>
                <w:b w:val="0"/>
                <w:i w:val="0"/>
                <w:color w:val="000000"/>
                <w:sz w:val="22"/>
                <w:szCs w:val="22"/>
                <w:rtl w:val="0"/>
              </w:rPr>
              <w:t xml:space="preserve">Compliance Risks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3">
            <w:pPr>
              <w:spacing w:after="0" w:before="0" w:lineRule="auto"/>
              <w:ind w:left="0" w:firstLine="0"/>
              <w:jc w:val="left"/>
              <w:rPr/>
            </w:pPr>
            <w:sdt>
              <w:sdtPr>
                <w:id w:val="1174246170"/>
                <w:tag w:val="goog_rdk_51"/>
              </w:sdtPr>
              <w:sdtContent>
                <w:r w:rsidDel="00000000" w:rsidR="00000000" w:rsidRPr="00000000">
                  <w:rPr>
                    <w:rFonts w:ascii="Gungsuh" w:cs="Gungsuh" w:eastAsia="Gungsuh" w:hAnsi="Gungsuh"/>
                    <w:b w:val="0"/>
                    <w:i w:val="0"/>
                    <w:color w:val="000000"/>
                    <w:sz w:val="22"/>
                    <w:szCs w:val="22"/>
                    <w:rtl w:val="0"/>
                  </w:rPr>
                  <w:t xml:space="preserve">套期保值业务存在市场风险、系统风险、技术风险、操作风险、违约风险等。公司已制定《套期保值业务内部控制及风险管理制度》，成立了套期保值领导小组、工作小组和风控小组进行风险管控</w:t>
                </w:r>
              </w:sdtContent>
            </w:sdt>
            <w:sdt>
              <w:sdtPr>
                <w:id w:val="1721011721"/>
                <w:tag w:val="goog_rdk_52"/>
              </w:sdtPr>
              <w:sdtContent>
                <w:r w:rsidDel="00000000" w:rsidR="00000000" w:rsidRPr="00000000">
                  <w:rPr>
                    <w:rFonts w:ascii="Gungsuh" w:cs="Gungsuh" w:eastAsia="Gungsuh" w:hAnsi="Gungsuh"/>
                    <w:b w:val="0"/>
                    <w:i w:val="0"/>
                    <w:color w:val="000000"/>
                    <w:sz w:val="22"/>
                    <w:szCs w:val="22"/>
                    <w:rtl w:val="0"/>
                  </w:rPr>
                  <w:t xml:space="preserve">。</w:t>
                </w:r>
              </w:sdtContent>
            </w:sdt>
            <w:sdt>
              <w:sdtPr>
                <w:id w:val="163790353"/>
                <w:tag w:val="goog_rdk_53"/>
              </w:sdtPr>
              <w:sdtContent>
                <w:r w:rsidDel="00000000" w:rsidR="00000000" w:rsidRPr="00000000">
                  <w:rPr>
                    <w:rFonts w:ascii="Gungsuh" w:cs="Gungsuh" w:eastAsia="Gungsuh" w:hAnsi="Gungsuh"/>
                    <w:b w:val="0"/>
                    <w:i w:val="0"/>
                    <w:color w:val="000000"/>
                    <w:sz w:val="22"/>
                    <w:szCs w:val="22"/>
                    <w:rtl w:val="0"/>
                  </w:rPr>
                  <w:br w:type="textWrapping"/>
                  <w:t xml:space="preserve">公司面临合规与政策变化风险，包括行业监管、税收及环保法规等方面的变化。若未能及时应对或满足合规要求，可能对经营活动和财务表现造成不利影响。</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4">
            <w:pPr>
              <w:spacing w:after="0" w:before="0" w:lineRule="auto"/>
              <w:ind w:left="0" w:firstLine="0"/>
              <w:jc w:val="left"/>
              <w:rPr/>
            </w:pPr>
            <w:sdt>
              <w:sdtPr>
                <w:id w:val="-2020519700"/>
                <w:tag w:val="goog_rdk_54"/>
              </w:sdtPr>
              <w:sdtContent>
                <w:r w:rsidDel="00000000" w:rsidR="00000000" w:rsidRPr="00000000">
                  <w:rPr>
                    <w:rFonts w:ascii="Gungsuh" w:cs="Gungsuh" w:eastAsia="Gungsuh" w:hAnsi="Gungsuh"/>
                    <w:b w:val="0"/>
                    <w:i w:val="0"/>
                    <w:color w:val="000000"/>
                    <w:sz w:val="22"/>
                    <w:szCs w:val="22"/>
                    <w:rtl w:val="0"/>
                  </w:rPr>
                  <w:t xml:space="preserve">套期保值业务存在市场风险、系统风险、技术风险、操作风险、违约风险等。公司已制定《套期保值业务内部控制及风险管理制度》，成立了套期保值领导小组、工作小组和风控小组进行风险管控。</w:t>
                  <w:br w:type="textWrapping"/>
                  <w:t xml:space="preserve">公司面临政策法规变化风险，包括行业监管、税收及环保要求等方面的调整。若应对不足，可能导致合规成本上升或限制经营活动。</w:t>
                </w:r>
              </w:sdtContent>
            </w:sdt>
            <w:r w:rsidDel="00000000" w:rsidR="00000000" w:rsidRPr="00000000">
              <w:rPr>
                <w:rtl w:val="0"/>
              </w:rPr>
            </w:r>
          </w:p>
        </w:tc>
      </w:tr>
    </w:tbl>
    <w:p w:rsidR="00000000" w:rsidDel="00000000" w:rsidP="00000000" w:rsidRDefault="00000000" w:rsidRPr="00000000" w14:paraId="00000155">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56">
      <w:pPr>
        <w:spacing w:after="161" w:before="161" w:lineRule="auto"/>
        <w:ind w:left="0" w:firstLine="0"/>
        <w:jc w:val="left"/>
        <w:rPr/>
      </w:pPr>
      <w:r w:rsidDel="00000000" w:rsidR="00000000" w:rsidRPr="00000000">
        <w:rPr>
          <w:b w:val="1"/>
          <w:i w:val="0"/>
          <w:color w:val="000000"/>
          <w:sz w:val="44"/>
          <w:szCs w:val="44"/>
          <w:rtl w:val="0"/>
        </w:rPr>
        <w:t xml:space="preserve">Section 5: Corporate Governance</w:t>
      </w:r>
      <w:r w:rsidDel="00000000" w:rsidR="00000000" w:rsidRPr="00000000">
        <w:rPr>
          <w:rtl w:val="0"/>
        </w:rPr>
      </w:r>
    </w:p>
    <w:p w:rsidR="00000000" w:rsidDel="00000000" w:rsidP="00000000" w:rsidRDefault="00000000" w:rsidRPr="00000000" w14:paraId="00000157">
      <w:pPr>
        <w:spacing w:after="180" w:before="180" w:lineRule="auto"/>
        <w:ind w:left="0" w:firstLine="0"/>
        <w:jc w:val="left"/>
        <w:rPr/>
      </w:pPr>
      <w:r w:rsidDel="00000000" w:rsidR="00000000" w:rsidRPr="00000000">
        <w:rPr>
          <w:b w:val="1"/>
          <w:i w:val="0"/>
          <w:color w:val="000000"/>
          <w:sz w:val="33"/>
          <w:szCs w:val="33"/>
          <w:rtl w:val="0"/>
        </w:rPr>
        <w:t xml:space="preserve">S5.1: Board Composition</w:t>
      </w:r>
      <w:r w:rsidDel="00000000" w:rsidR="00000000" w:rsidRPr="00000000">
        <w:rPr>
          <w:rtl w:val="0"/>
        </w:rPr>
      </w:r>
    </w:p>
    <w:tbl>
      <w:tblPr>
        <w:tblStyle w:val="Table13"/>
        <w:tblW w:w="7291.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605"/>
        <w:gridCol w:w="2171"/>
        <w:gridCol w:w="3515"/>
        <w:tblGridChange w:id="0">
          <w:tblGrid>
            <w:gridCol w:w="1605"/>
            <w:gridCol w:w="2171"/>
            <w:gridCol w:w="35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8">
            <w:pPr>
              <w:spacing w:after="0" w:before="0" w:lineRule="auto"/>
              <w:ind w:left="0" w:firstLine="0"/>
              <w:jc w:val="left"/>
              <w:rPr/>
            </w:pPr>
            <w:r w:rsidDel="00000000" w:rsidR="00000000" w:rsidRPr="00000000">
              <w:rPr>
                <w:b w:val="1"/>
                <w:i w:val="0"/>
                <w:color w:val="000000"/>
                <w:sz w:val="22"/>
                <w:szCs w:val="22"/>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9">
            <w:pPr>
              <w:spacing w:after="0" w:before="0" w:lineRule="auto"/>
              <w:ind w:left="0" w:firstLine="0"/>
              <w:jc w:val="left"/>
              <w:rPr/>
            </w:pPr>
            <w:r w:rsidDel="00000000" w:rsidR="00000000" w:rsidRPr="00000000">
              <w:rPr>
                <w:b w:val="1"/>
                <w:i w:val="0"/>
                <w:color w:val="000000"/>
                <w:sz w:val="22"/>
                <w:szCs w:val="22"/>
                <w:rtl w:val="0"/>
              </w:rPr>
              <w:t xml:space="preserve">Position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A">
            <w:pPr>
              <w:spacing w:after="0" w:before="0" w:lineRule="auto"/>
              <w:ind w:left="0" w:firstLine="0"/>
              <w:jc w:val="left"/>
              <w:rPr/>
            </w:pPr>
            <w:r w:rsidDel="00000000" w:rsidR="00000000" w:rsidRPr="00000000">
              <w:rPr>
                <w:b w:val="1"/>
                <w:i w:val="0"/>
                <w:color w:val="000000"/>
                <w:sz w:val="22"/>
                <w:szCs w:val="22"/>
                <w:rtl w:val="0"/>
              </w:rPr>
              <w:t xml:space="preserve">Total Income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B">
            <w:pPr>
              <w:spacing w:after="0" w:before="0" w:lineRule="auto"/>
              <w:ind w:left="0" w:firstLine="0"/>
              <w:jc w:val="left"/>
              <w:rPr/>
            </w:pPr>
            <w:sdt>
              <w:sdtPr>
                <w:id w:val="-503336750"/>
                <w:tag w:val="goog_rdk_55"/>
              </w:sdtPr>
              <w:sdtContent>
                <w:r w:rsidDel="00000000" w:rsidR="00000000" w:rsidRPr="00000000">
                  <w:rPr>
                    <w:rFonts w:ascii="Gungsuh" w:cs="Gungsuh" w:eastAsia="Gungsuh" w:hAnsi="Gungsuh"/>
                    <w:b w:val="0"/>
                    <w:i w:val="0"/>
                    <w:color w:val="000000"/>
                    <w:sz w:val="22"/>
                    <w:szCs w:val="22"/>
                    <w:rtl w:val="0"/>
                  </w:rPr>
                  <w:t xml:space="preserve">曾毓群</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C">
            <w:pPr>
              <w:spacing w:after="0" w:before="0" w:lineRule="auto"/>
              <w:ind w:left="0" w:firstLine="0"/>
              <w:jc w:val="left"/>
              <w:rPr/>
            </w:pPr>
            <w:sdt>
              <w:sdtPr>
                <w:id w:val="-1871786061"/>
                <w:tag w:val="goog_rdk_56"/>
              </w:sdtPr>
              <w:sdtContent>
                <w:r w:rsidDel="00000000" w:rsidR="00000000" w:rsidRPr="00000000">
                  <w:rPr>
                    <w:rFonts w:ascii="Gungsuh" w:cs="Gungsuh" w:eastAsia="Gungsuh" w:hAnsi="Gungsuh"/>
                    <w:b w:val="0"/>
                    <w:i w:val="0"/>
                    <w:color w:val="000000"/>
                    <w:sz w:val="22"/>
                    <w:szCs w:val="22"/>
                    <w:rtl w:val="0"/>
                  </w:rPr>
                  <w:t xml:space="preserve">董事长、总经理</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D">
            <w:pPr>
              <w:spacing w:after="0" w:before="0" w:lineRule="auto"/>
              <w:ind w:left="0" w:firstLine="0"/>
              <w:jc w:val="left"/>
              <w:rPr/>
            </w:pPr>
            <w:sdt>
              <w:sdtPr>
                <w:id w:val="-676585617"/>
                <w:tag w:val="goog_rdk_57"/>
              </w:sdtPr>
              <w:sdtContent>
                <w:r w:rsidDel="00000000" w:rsidR="00000000" w:rsidRPr="00000000">
                  <w:rPr>
                    <w:rFonts w:ascii="Gungsuh" w:cs="Gungsuh" w:eastAsia="Gungsuh" w:hAnsi="Gungsuh"/>
                    <w:b w:val="0"/>
                    <w:i w:val="0"/>
                    <w:color w:val="000000"/>
                    <w:sz w:val="22"/>
                    <w:szCs w:val="22"/>
                    <w:rtl w:val="0"/>
                  </w:rPr>
                  <w:t xml:space="preserve">5,743千元</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E">
            <w:pPr>
              <w:spacing w:after="0" w:before="0" w:lineRule="auto"/>
              <w:ind w:left="0" w:firstLine="0"/>
              <w:jc w:val="left"/>
              <w:rPr/>
            </w:pPr>
            <w:sdt>
              <w:sdtPr>
                <w:id w:val="1570756285"/>
                <w:tag w:val="goog_rdk_58"/>
              </w:sdtPr>
              <w:sdtContent>
                <w:r w:rsidDel="00000000" w:rsidR="00000000" w:rsidRPr="00000000">
                  <w:rPr>
                    <w:rFonts w:ascii="Gungsuh" w:cs="Gungsuh" w:eastAsia="Gungsuh" w:hAnsi="Gungsuh"/>
                    <w:b w:val="0"/>
                    <w:i w:val="0"/>
                    <w:color w:val="000000"/>
                    <w:sz w:val="22"/>
                    <w:szCs w:val="22"/>
                    <w:rtl w:val="0"/>
                  </w:rPr>
                  <w:t xml:space="preserve">潘健</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F">
            <w:pPr>
              <w:spacing w:after="0" w:before="0" w:lineRule="auto"/>
              <w:ind w:left="0" w:firstLine="0"/>
              <w:jc w:val="left"/>
              <w:rPr/>
            </w:pPr>
            <w:sdt>
              <w:sdtPr>
                <w:id w:val="-1759196389"/>
                <w:tag w:val="goog_rdk_59"/>
              </w:sdtPr>
              <w:sdtContent>
                <w:r w:rsidDel="00000000" w:rsidR="00000000" w:rsidRPr="00000000">
                  <w:rPr>
                    <w:rFonts w:ascii="Gungsuh" w:cs="Gungsuh" w:eastAsia="Gungsuh" w:hAnsi="Gungsuh"/>
                    <w:b w:val="0"/>
                    <w:i w:val="0"/>
                    <w:color w:val="000000"/>
                    <w:sz w:val="22"/>
                    <w:szCs w:val="22"/>
                    <w:rtl w:val="0"/>
                  </w:rPr>
                  <w:t xml:space="preserve">联席董事长</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0">
            <w:pPr>
              <w:spacing w:after="0" w:before="0" w:lineRule="auto"/>
              <w:ind w:left="0" w:firstLine="0"/>
              <w:jc w:val="left"/>
              <w:rPr/>
            </w:pPr>
            <w:sdt>
              <w:sdtPr>
                <w:id w:val="793904740"/>
                <w:tag w:val="goog_rdk_60"/>
              </w:sdtPr>
              <w:sdtContent>
                <w:r w:rsidDel="00000000" w:rsidR="00000000" w:rsidRPr="00000000">
                  <w:rPr>
                    <w:rFonts w:ascii="Gungsuh" w:cs="Gungsuh" w:eastAsia="Gungsuh" w:hAnsi="Gungsuh"/>
                    <w:b w:val="0"/>
                    <w:i w:val="0"/>
                    <w:color w:val="000000"/>
                    <w:sz w:val="22"/>
                    <w:szCs w:val="22"/>
                    <w:rtl w:val="0"/>
                  </w:rPr>
                  <w:t xml:space="preserve">328千元</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1">
            <w:pPr>
              <w:spacing w:after="0" w:before="0" w:lineRule="auto"/>
              <w:ind w:left="0" w:firstLine="0"/>
              <w:jc w:val="left"/>
              <w:rPr/>
            </w:pPr>
            <w:sdt>
              <w:sdtPr>
                <w:id w:val="403463938"/>
                <w:tag w:val="goog_rdk_61"/>
              </w:sdtPr>
              <w:sdtContent>
                <w:r w:rsidDel="00000000" w:rsidR="00000000" w:rsidRPr="00000000">
                  <w:rPr>
                    <w:rFonts w:ascii="Gungsuh" w:cs="Gungsuh" w:eastAsia="Gungsuh" w:hAnsi="Gungsuh"/>
                    <w:b w:val="0"/>
                    <w:i w:val="0"/>
                    <w:color w:val="000000"/>
                    <w:sz w:val="22"/>
                    <w:szCs w:val="22"/>
                    <w:rtl w:val="0"/>
                  </w:rPr>
                  <w:t xml:space="preserve">李平</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2">
            <w:pPr>
              <w:spacing w:after="0" w:before="0" w:lineRule="auto"/>
              <w:ind w:left="0" w:firstLine="0"/>
              <w:jc w:val="left"/>
              <w:rPr/>
            </w:pPr>
            <w:sdt>
              <w:sdtPr>
                <w:id w:val="-389288399"/>
                <w:tag w:val="goog_rdk_62"/>
              </w:sdtPr>
              <w:sdtContent>
                <w:r w:rsidDel="00000000" w:rsidR="00000000" w:rsidRPr="00000000">
                  <w:rPr>
                    <w:rFonts w:ascii="Gungsuh" w:cs="Gungsuh" w:eastAsia="Gungsuh" w:hAnsi="Gungsuh"/>
                    <w:b w:val="0"/>
                    <w:i w:val="0"/>
                    <w:color w:val="000000"/>
                    <w:sz w:val="22"/>
                    <w:szCs w:val="22"/>
                    <w:rtl w:val="0"/>
                  </w:rPr>
                  <w:t xml:space="preserve">副董事长</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3">
            <w:pPr>
              <w:spacing w:after="0" w:before="0" w:lineRule="auto"/>
              <w:ind w:left="0" w:firstLine="0"/>
              <w:jc w:val="left"/>
              <w:rPr/>
            </w:pPr>
            <w:sdt>
              <w:sdtPr>
                <w:id w:val="1701449907"/>
                <w:tag w:val="goog_rdk_63"/>
              </w:sdtPr>
              <w:sdtContent>
                <w:r w:rsidDel="00000000" w:rsidR="00000000" w:rsidRPr="00000000">
                  <w:rPr>
                    <w:rFonts w:ascii="Gungsuh" w:cs="Gungsuh" w:eastAsia="Gungsuh" w:hAnsi="Gungsuh"/>
                    <w:b w:val="0"/>
                    <w:i w:val="0"/>
                    <w:color w:val="000000"/>
                    <w:sz w:val="22"/>
                    <w:szCs w:val="22"/>
                    <w:rtl w:val="0"/>
                  </w:rPr>
                  <w:t xml:space="preserve">538千元</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4">
            <w:pPr>
              <w:spacing w:after="0" w:before="0" w:lineRule="auto"/>
              <w:ind w:left="0" w:firstLine="0"/>
              <w:jc w:val="left"/>
              <w:rPr/>
            </w:pPr>
            <w:sdt>
              <w:sdtPr>
                <w:id w:val="1804608634"/>
                <w:tag w:val="goog_rdk_64"/>
              </w:sdtPr>
              <w:sdtContent>
                <w:r w:rsidDel="00000000" w:rsidR="00000000" w:rsidRPr="00000000">
                  <w:rPr>
                    <w:rFonts w:ascii="Gungsuh" w:cs="Gungsuh" w:eastAsia="Gungsuh" w:hAnsi="Gungsuh"/>
                    <w:b w:val="0"/>
                    <w:i w:val="0"/>
                    <w:color w:val="000000"/>
                    <w:sz w:val="22"/>
                    <w:szCs w:val="22"/>
                    <w:rtl w:val="0"/>
                  </w:rPr>
                  <w:t xml:space="preserve">周佳</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5">
            <w:pPr>
              <w:spacing w:after="0" w:before="0" w:lineRule="auto"/>
              <w:ind w:left="0" w:firstLine="0"/>
              <w:jc w:val="left"/>
              <w:rPr/>
            </w:pPr>
            <w:sdt>
              <w:sdtPr>
                <w:id w:val="-746420263"/>
                <w:tag w:val="goog_rdk_65"/>
              </w:sdtPr>
              <w:sdtContent>
                <w:r w:rsidDel="00000000" w:rsidR="00000000" w:rsidRPr="00000000">
                  <w:rPr>
                    <w:rFonts w:ascii="Gungsuh" w:cs="Gungsuh" w:eastAsia="Gungsuh" w:hAnsi="Gungsuh"/>
                    <w:b w:val="0"/>
                    <w:i w:val="0"/>
                    <w:color w:val="000000"/>
                    <w:sz w:val="22"/>
                    <w:szCs w:val="22"/>
                    <w:rtl w:val="0"/>
                  </w:rPr>
                  <w:t xml:space="preserve">副董事长</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6">
            <w:pPr>
              <w:spacing w:after="0" w:before="0" w:lineRule="auto"/>
              <w:ind w:left="0" w:firstLine="0"/>
              <w:jc w:val="left"/>
              <w:rPr/>
            </w:pPr>
            <w:sdt>
              <w:sdtPr>
                <w:id w:val="1475281149"/>
                <w:tag w:val="goog_rdk_66"/>
              </w:sdtPr>
              <w:sdtContent>
                <w:r w:rsidDel="00000000" w:rsidR="00000000" w:rsidRPr="00000000">
                  <w:rPr>
                    <w:rFonts w:ascii="Gungsuh" w:cs="Gungsuh" w:eastAsia="Gungsuh" w:hAnsi="Gungsuh"/>
                    <w:b w:val="0"/>
                    <w:i w:val="0"/>
                    <w:color w:val="000000"/>
                    <w:sz w:val="22"/>
                    <w:szCs w:val="22"/>
                    <w:rtl w:val="0"/>
                  </w:rPr>
                  <w:t xml:space="preserve">3,328千元</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7">
            <w:pPr>
              <w:spacing w:after="0" w:before="0" w:lineRule="auto"/>
              <w:ind w:left="0" w:firstLine="0"/>
              <w:jc w:val="left"/>
              <w:rPr/>
            </w:pPr>
            <w:sdt>
              <w:sdtPr>
                <w:id w:val="-93858240"/>
                <w:tag w:val="goog_rdk_67"/>
              </w:sdtPr>
              <w:sdtContent>
                <w:r w:rsidDel="00000000" w:rsidR="00000000" w:rsidRPr="00000000">
                  <w:rPr>
                    <w:rFonts w:ascii="Gungsuh" w:cs="Gungsuh" w:eastAsia="Gungsuh" w:hAnsi="Gungsuh"/>
                    <w:b w:val="0"/>
                    <w:i w:val="0"/>
                    <w:color w:val="000000"/>
                    <w:sz w:val="22"/>
                    <w:szCs w:val="22"/>
                    <w:rtl w:val="0"/>
                  </w:rPr>
                  <w:t xml:space="preserve">欧阳楚英</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8">
            <w:pPr>
              <w:spacing w:after="0" w:before="0" w:lineRule="auto"/>
              <w:ind w:left="0" w:firstLine="0"/>
              <w:jc w:val="left"/>
              <w:rPr/>
            </w:pPr>
            <w:sdt>
              <w:sdtPr>
                <w:id w:val="992403101"/>
                <w:tag w:val="goog_rdk_68"/>
              </w:sdtPr>
              <w:sdtContent>
                <w:r w:rsidDel="00000000" w:rsidR="00000000" w:rsidRPr="00000000">
                  <w:rPr>
                    <w:rFonts w:ascii="Gungsuh" w:cs="Gungsuh" w:eastAsia="Gungsuh" w:hAnsi="Gungsuh"/>
                    <w:b w:val="0"/>
                    <w:i w:val="0"/>
                    <w:color w:val="000000"/>
                    <w:sz w:val="22"/>
                    <w:szCs w:val="22"/>
                    <w:rtl w:val="0"/>
                  </w:rPr>
                  <w:t xml:space="preserve">董事</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9">
            <w:pPr>
              <w:spacing w:after="0" w:before="0" w:lineRule="auto"/>
              <w:ind w:left="0" w:firstLine="0"/>
              <w:jc w:val="left"/>
              <w:rPr/>
            </w:pPr>
            <w:sdt>
              <w:sdtPr>
                <w:id w:val="-1992492241"/>
                <w:tag w:val="goog_rdk_69"/>
              </w:sdtPr>
              <w:sdtContent>
                <w:r w:rsidDel="00000000" w:rsidR="00000000" w:rsidRPr="00000000">
                  <w:rPr>
                    <w:rFonts w:ascii="Gungsuh" w:cs="Gungsuh" w:eastAsia="Gungsuh" w:hAnsi="Gungsuh"/>
                    <w:b w:val="0"/>
                    <w:i w:val="0"/>
                    <w:color w:val="000000"/>
                    <w:sz w:val="22"/>
                    <w:szCs w:val="22"/>
                    <w:rtl w:val="0"/>
                  </w:rPr>
                  <w:t xml:space="preserve">3,096千元</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A">
            <w:pPr>
              <w:spacing w:after="0" w:before="0" w:lineRule="auto"/>
              <w:ind w:left="0" w:firstLine="0"/>
              <w:jc w:val="left"/>
              <w:rPr/>
            </w:pPr>
            <w:sdt>
              <w:sdtPr>
                <w:id w:val="-1160968746"/>
                <w:tag w:val="goog_rdk_70"/>
              </w:sdtPr>
              <w:sdtContent>
                <w:r w:rsidDel="00000000" w:rsidR="00000000" w:rsidRPr="00000000">
                  <w:rPr>
                    <w:rFonts w:ascii="Gungsuh" w:cs="Gungsuh" w:eastAsia="Gungsuh" w:hAnsi="Gungsuh"/>
                    <w:b w:val="0"/>
                    <w:i w:val="0"/>
                    <w:color w:val="000000"/>
                    <w:sz w:val="22"/>
                    <w:szCs w:val="22"/>
                    <w:rtl w:val="0"/>
                  </w:rPr>
                  <w:t xml:space="preserve">赵丰刚</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B">
            <w:pPr>
              <w:spacing w:after="0" w:before="0" w:lineRule="auto"/>
              <w:ind w:left="0" w:firstLine="0"/>
              <w:jc w:val="left"/>
              <w:rPr/>
            </w:pPr>
            <w:sdt>
              <w:sdtPr>
                <w:id w:val="-1427260022"/>
                <w:tag w:val="goog_rdk_71"/>
              </w:sdtPr>
              <w:sdtContent>
                <w:r w:rsidDel="00000000" w:rsidR="00000000" w:rsidRPr="00000000">
                  <w:rPr>
                    <w:rFonts w:ascii="Gungsuh" w:cs="Gungsuh" w:eastAsia="Gungsuh" w:hAnsi="Gungsuh"/>
                    <w:b w:val="0"/>
                    <w:i w:val="0"/>
                    <w:color w:val="000000"/>
                    <w:sz w:val="22"/>
                    <w:szCs w:val="22"/>
                    <w:rtl w:val="0"/>
                  </w:rPr>
                  <w:t xml:space="preserve">董事</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C">
            <w:pPr>
              <w:spacing w:after="0" w:before="0" w:lineRule="auto"/>
              <w:ind w:left="0" w:firstLine="0"/>
              <w:jc w:val="left"/>
              <w:rPr/>
            </w:pPr>
            <w:sdt>
              <w:sdtPr>
                <w:id w:val="-1942510073"/>
                <w:tag w:val="goog_rdk_72"/>
              </w:sdtPr>
              <w:sdtContent>
                <w:r w:rsidDel="00000000" w:rsidR="00000000" w:rsidRPr="00000000">
                  <w:rPr>
                    <w:rFonts w:ascii="Gungsuh" w:cs="Gungsuh" w:eastAsia="Gungsuh" w:hAnsi="Gungsuh"/>
                    <w:b w:val="0"/>
                    <w:i w:val="0"/>
                    <w:color w:val="000000"/>
                    <w:sz w:val="22"/>
                    <w:szCs w:val="22"/>
                    <w:rtl w:val="0"/>
                  </w:rPr>
                  <w:t xml:space="preserve">3,313千元</w:t>
                </w:r>
              </w:sdtContent>
            </w:sdt>
            <w:r w:rsidDel="00000000" w:rsidR="00000000" w:rsidRPr="00000000">
              <w:rPr>
                <w:rtl w:val="0"/>
              </w:rPr>
            </w:r>
          </w:p>
        </w:tc>
      </w:tr>
    </w:tbl>
    <w:p w:rsidR="00000000" w:rsidDel="00000000" w:rsidP="00000000" w:rsidRDefault="00000000" w:rsidRPr="00000000" w14:paraId="0000016D">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6E">
      <w:pPr>
        <w:spacing w:after="180" w:before="180" w:lineRule="auto"/>
        <w:ind w:left="0" w:firstLine="0"/>
        <w:jc w:val="left"/>
        <w:rPr/>
      </w:pPr>
      <w:r w:rsidDel="00000000" w:rsidR="00000000" w:rsidRPr="00000000">
        <w:rPr>
          <w:b w:val="1"/>
          <w:i w:val="0"/>
          <w:color w:val="000000"/>
          <w:sz w:val="33"/>
          <w:szCs w:val="33"/>
          <w:rtl w:val="0"/>
        </w:rPr>
        <w:t xml:space="preserve">S5.2: Internal Controls</w:t>
      </w:r>
      <w:r w:rsidDel="00000000" w:rsidR="00000000" w:rsidRPr="00000000">
        <w:rPr>
          <w:rtl w:val="0"/>
        </w:rPr>
      </w:r>
    </w:p>
    <w:tbl>
      <w:tblPr>
        <w:tblStyle w:val="Table14"/>
        <w:tblW w:w="1239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790"/>
        <w:gridCol w:w="4635"/>
        <w:gridCol w:w="4965"/>
        <w:tblGridChange w:id="0">
          <w:tblGrid>
            <w:gridCol w:w="2790"/>
            <w:gridCol w:w="4635"/>
            <w:gridCol w:w="49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F">
            <w:pPr>
              <w:spacing w:after="0" w:lineRule="auto"/>
              <w:rPr/>
            </w:pPr>
            <w:r w:rsidDel="00000000" w:rsidR="00000000" w:rsidRPr="00000000">
              <w:rPr>
                <w:b w:val="1"/>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0">
            <w:pPr>
              <w:spacing w:after="0" w:lineRule="auto"/>
              <w:rPr/>
            </w:pPr>
            <w:r w:rsidDel="00000000" w:rsidR="00000000" w:rsidRPr="00000000">
              <w:rPr>
                <w:b w:val="1"/>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1">
            <w:pPr>
              <w:spacing w:after="0" w:lineRule="auto"/>
              <w:rPr/>
            </w:pPr>
            <w:r w:rsidDel="00000000" w:rsidR="00000000" w:rsidRPr="00000000">
              <w:rPr>
                <w:b w:val="1"/>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2">
            <w:pPr>
              <w:spacing w:after="0" w:lineRule="auto"/>
              <w:rPr/>
            </w:pPr>
            <w:r w:rsidDel="00000000" w:rsidR="00000000" w:rsidRPr="00000000">
              <w:rPr>
                <w:rtl w:val="0"/>
              </w:rPr>
              <w:t xml:space="preserve">Risk assessment procedures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3">
            <w:pPr>
              <w:spacing w:after="0" w:lineRule="auto"/>
              <w:rPr/>
            </w:pPr>
            <w:sdt>
              <w:sdtPr>
                <w:id w:val="2044976834"/>
                <w:tag w:val="goog_rdk_73"/>
              </w:sdtPr>
              <w:sdtContent>
                <w:r w:rsidDel="00000000" w:rsidR="00000000" w:rsidRPr="00000000">
                  <w:rPr>
                    <w:rFonts w:ascii="Gungsuh" w:cs="Gungsuh" w:eastAsia="Gungsuh" w:hAnsi="Gungsuh"/>
                    <w:rtl w:val="0"/>
                  </w:rPr>
                  <w:t xml:space="preserve">公司从事风险管理的目标是在风险和收益之间取得适当的平衡，制定风险管理政策以辨别和分析面临的风险，设定适当的风险可接受水平并设计相应的内部控制程序。主要风险包括信用风险、流动性风险、市场风险。</w:t>
                </w:r>
              </w:sdtContent>
            </w:sdt>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4">
            <w:pPr>
              <w:spacing w:after="0" w:lineRule="auto"/>
              <w:rPr/>
            </w:pPr>
            <w:sdt>
              <w:sdtPr>
                <w:id w:val="-1891401329"/>
                <w:tag w:val="goog_rdk_74"/>
              </w:sdtPr>
              <w:sdtContent>
                <w:r w:rsidDel="00000000" w:rsidR="00000000" w:rsidRPr="00000000">
                  <w:rPr>
                    <w:rFonts w:ascii="Gungsuh" w:cs="Gungsuh" w:eastAsia="Gungsuh" w:hAnsi="Gungsuh"/>
                    <w:rtl w:val="0"/>
                  </w:rPr>
                  <w:t xml:space="preserve">公司从事风险管理的目标是在风险和收益之间取得适当的平衡，制定风险管理政策以辨别和分析面临的风险，设定适当的风险可接受水平并设计相应的内部控制程序。主要风险包括信用风险、流动性风险、市场风险。</w:t>
                </w:r>
              </w:sdtContent>
            </w:sdt>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5">
            <w:pPr>
              <w:spacing w:after="0" w:lineRule="auto"/>
              <w:rPr/>
            </w:pPr>
            <w:r w:rsidDel="00000000" w:rsidR="00000000" w:rsidRPr="00000000">
              <w:rPr>
                <w:rtl w:val="0"/>
              </w:rPr>
              <w:t xml:space="preserve">Control activities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6">
            <w:pPr>
              <w:spacing w:after="0" w:lineRule="auto"/>
              <w:rPr/>
            </w:pPr>
            <w:sdt>
              <w:sdtPr>
                <w:id w:val="1632561181"/>
                <w:tag w:val="goog_rdk_75"/>
              </w:sdtPr>
              <w:sdtContent>
                <w:r w:rsidDel="00000000" w:rsidR="00000000" w:rsidRPr="00000000">
                  <w:rPr>
                    <w:rFonts w:ascii="Gungsuh" w:cs="Gungsuh" w:eastAsia="Gungsuh" w:hAnsi="Gungsuh"/>
                    <w:rtl w:val="0"/>
                  </w:rPr>
                  <w:t xml:space="preserve">公司严格依照相关法规制定了涵盖公司经营管理各环节的内部控制体系，建立了子公司管理制度，通过委派人员、设置专门投后管理团队等方式对子公司进行管理，重点关注规范运作、会计核算、信息披露、资金安全、安全生产、合规运营等方面。</w:t>
                </w:r>
              </w:sdtContent>
            </w:sdt>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7">
            <w:pPr>
              <w:spacing w:after="0" w:lineRule="auto"/>
              <w:rPr/>
            </w:pPr>
            <w:sdt>
              <w:sdtPr>
                <w:id w:val="-1403638062"/>
                <w:tag w:val="goog_rdk_76"/>
              </w:sdtPr>
              <w:sdtContent>
                <w:r w:rsidDel="00000000" w:rsidR="00000000" w:rsidRPr="00000000">
                  <w:rPr>
                    <w:rFonts w:ascii="Gungsuh" w:cs="Gungsuh" w:eastAsia="Gungsuh" w:hAnsi="Gungsuh"/>
                    <w:rtl w:val="0"/>
                  </w:rPr>
                  <w:t xml:space="preserve">公司严格依照相关法规制定了涵盖公司经营管理各环节的内部控制体系，建立了子公司管理制度，通过委派人员、设置专门投后管理团队等方式对子公司进行管理，重点关注规范运作、会计核算、信息披露、资金安全、安全生产、合规运营等方面。</w:t>
                </w:r>
              </w:sdtContent>
            </w:sdt>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8">
            <w:pPr>
              <w:spacing w:after="0" w:lineRule="auto"/>
              <w:rPr/>
            </w:pPr>
            <w:r w:rsidDel="00000000" w:rsidR="00000000" w:rsidRPr="00000000">
              <w:rPr>
                <w:rtl w:val="0"/>
              </w:rPr>
              <w:t xml:space="preserve">Monitoring mechanisms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9">
            <w:pPr>
              <w:spacing w:after="0" w:lineRule="auto"/>
              <w:rPr/>
            </w:pPr>
            <w:sdt>
              <w:sdtPr>
                <w:id w:val="1210325263"/>
                <w:tag w:val="goog_rdk_77"/>
              </w:sdtPr>
              <w:sdtContent>
                <w:r w:rsidDel="00000000" w:rsidR="00000000" w:rsidRPr="00000000">
                  <w:rPr>
                    <w:rFonts w:ascii="Gungsuh" w:cs="Gungsuh" w:eastAsia="Gungsuh" w:hAnsi="Gungsuh"/>
                    <w:rtl w:val="0"/>
                  </w:rPr>
                  <w:t xml:space="preserve">公司会定期审阅风险管理政策及有关内部控制系统，以适应市场情况或公司经营活动的改变。内部审计部门定期或随机检查内部控制系统的执行是否符合风险管理政策。公司还定期、不定期对子公司的经营管理情况开展专项审计。</w:t>
                </w:r>
              </w:sdtContent>
            </w:sdt>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A">
            <w:pPr>
              <w:spacing w:after="0" w:lineRule="auto"/>
              <w:rPr/>
            </w:pPr>
            <w:sdt>
              <w:sdtPr>
                <w:id w:val="-1205332421"/>
                <w:tag w:val="goog_rdk_78"/>
              </w:sdtPr>
              <w:sdtContent>
                <w:r w:rsidDel="00000000" w:rsidR="00000000" w:rsidRPr="00000000">
                  <w:rPr>
                    <w:rFonts w:ascii="Gungsuh" w:cs="Gungsuh" w:eastAsia="Gungsuh" w:hAnsi="Gungsuh"/>
                    <w:rtl w:val="0"/>
                  </w:rPr>
                  <w:t xml:space="preserve">公司会定期审阅风险管理政策及有关内部控制系统，以适应市场情况或公司经营活动的改变。内部审计部门定期或随机检查内部控制系统的执行是否符合风险管理政策。公司还定期、不定期对子公司的经营管理情况开展专项审计。</w:t>
                </w:r>
              </w:sdtContent>
            </w:sdt>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B">
            <w:pPr>
              <w:spacing w:after="0" w:lineRule="auto"/>
              <w:rPr/>
            </w:pPr>
            <w:r w:rsidDel="00000000" w:rsidR="00000000" w:rsidRPr="00000000">
              <w:rPr>
                <w:rtl w:val="0"/>
              </w:rPr>
              <w:t xml:space="preserve">Identified material weaknesses or deficiencies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C">
            <w:pPr>
              <w:spacing w:after="0" w:lineRule="auto"/>
              <w:rPr/>
            </w:pPr>
            <w:sdt>
              <w:sdtPr>
                <w:id w:val="-1068483695"/>
                <w:tag w:val="goog_rdk_79"/>
              </w:sdtPr>
              <w:sdtContent>
                <w:r w:rsidDel="00000000" w:rsidR="00000000" w:rsidRPr="00000000">
                  <w:rPr>
                    <w:rFonts w:ascii="Gungsuh" w:cs="Gungsuh" w:eastAsia="Gungsuh" w:hAnsi="Gungsuh"/>
                    <w:rtl w:val="0"/>
                  </w:rPr>
                  <w:t xml:space="preserve">根据公司内部控制重大缺陷的认定情况，于内部控制评价报告基准日，公司不存在财务报告、非财务报告的内部控制重大缺陷。财务报告重大缺陷数量为0个，非财务报告重大缺陷数量为0个。报告期内，公司未发现子公司内部控制存在重大缺陷的情形。</w:t>
                </w:r>
              </w:sdtContent>
            </w:sdt>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D">
            <w:pPr>
              <w:spacing w:after="0" w:lineRule="auto"/>
              <w:rPr/>
            </w:pPr>
            <w:sdt>
              <w:sdtPr>
                <w:id w:val="-1695577637"/>
                <w:tag w:val="goog_rdk_80"/>
              </w:sdtPr>
              <w:sdtContent>
                <w:r w:rsidDel="00000000" w:rsidR="00000000" w:rsidRPr="00000000">
                  <w:rPr>
                    <w:rFonts w:ascii="Gungsuh" w:cs="Gungsuh" w:eastAsia="Gungsuh" w:hAnsi="Gungsuh"/>
                    <w:rtl w:val="0"/>
                  </w:rPr>
                  <w:t xml:space="preserve">根据公司内部控制重大缺陷的认定情况，于内部控制评价报告基准日，公司不存在财务报告、非财务报告的内部控制重大缺陷。财务报告重大缺陷数量为0个，非财务报告重大缺陷数量为0个。报告期内，公司未发现子公司内部控制存在重大缺陷的情形。</w:t>
                </w:r>
              </w:sdtContent>
            </w:sdt>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E">
            <w:pPr>
              <w:spacing w:after="0" w:lineRule="auto"/>
              <w:rPr/>
            </w:pPr>
            <w:r w:rsidDel="00000000" w:rsidR="00000000" w:rsidRPr="00000000">
              <w:rPr>
                <w:rtl w:val="0"/>
              </w:rPr>
              <w:t xml:space="preserve">Effectiveness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F">
            <w:pPr>
              <w:spacing w:after="0" w:lineRule="auto"/>
              <w:rPr/>
            </w:pPr>
            <w:sdt>
              <w:sdtPr>
                <w:id w:val="-68330058"/>
                <w:tag w:val="goog_rdk_81"/>
              </w:sdtPr>
              <w:sdtContent>
                <w:r w:rsidDel="00000000" w:rsidR="00000000" w:rsidRPr="00000000">
                  <w:rPr>
                    <w:rFonts w:ascii="Gungsuh" w:cs="Gungsuh" w:eastAsia="Gungsuh" w:hAnsi="Gungsuh"/>
                    <w:rtl w:val="0"/>
                  </w:rPr>
                  <w:t xml:space="preserve">董事会认为，公司已经按照企业内部控制规范体系和相关规定的要求在所有重大方面保持了有效的财务报告及非财务报告的内部控制。根据致同会计师事务所出具的内部控制审计报告，公司于2024年12月31日按照相关规定在所有重大方面保持了有效的财务报告内部控制。</w:t>
                </w:r>
              </w:sdtContent>
            </w:sdt>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0">
            <w:pPr>
              <w:spacing w:after="0" w:lineRule="auto"/>
              <w:rPr/>
            </w:pPr>
            <w:sdt>
              <w:sdtPr>
                <w:id w:val="-298277670"/>
                <w:tag w:val="goog_rdk_82"/>
              </w:sdtPr>
              <w:sdtContent>
                <w:r w:rsidDel="00000000" w:rsidR="00000000" w:rsidRPr="00000000">
                  <w:rPr>
                    <w:rFonts w:ascii="Gungsuh" w:cs="Gungsuh" w:eastAsia="Gungsuh" w:hAnsi="Gungsuh"/>
                    <w:rtl w:val="0"/>
                  </w:rPr>
                  <w:t xml:space="preserve">董事会认为，公司已经按照企业内部控制规范体系和相关规定的要求在所有重大方面保持了有效的财务报告及非财务报告的内部控制。</w:t>
                </w:r>
              </w:sdtContent>
            </w:sdt>
          </w:p>
        </w:tc>
      </w:tr>
    </w:tbl>
    <w:p w:rsidR="00000000" w:rsidDel="00000000" w:rsidP="00000000" w:rsidRDefault="00000000" w:rsidRPr="00000000" w14:paraId="00000181">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82">
      <w:pPr>
        <w:spacing w:after="161" w:before="161" w:lineRule="auto"/>
        <w:ind w:left="0" w:firstLine="0"/>
        <w:jc w:val="left"/>
        <w:rPr/>
      </w:pPr>
      <w:r w:rsidDel="00000000" w:rsidR="00000000" w:rsidRPr="00000000">
        <w:rPr>
          <w:b w:val="1"/>
          <w:i w:val="0"/>
          <w:color w:val="000000"/>
          <w:sz w:val="44"/>
          <w:szCs w:val="44"/>
          <w:rtl w:val="0"/>
        </w:rPr>
        <w:t xml:space="preserve">Section 6: Future Outlook</w:t>
      </w:r>
      <w:r w:rsidDel="00000000" w:rsidR="00000000" w:rsidRPr="00000000">
        <w:rPr>
          <w:rtl w:val="0"/>
        </w:rPr>
      </w:r>
    </w:p>
    <w:p w:rsidR="00000000" w:rsidDel="00000000" w:rsidP="00000000" w:rsidRDefault="00000000" w:rsidRPr="00000000" w14:paraId="00000183">
      <w:pPr>
        <w:spacing w:after="180" w:before="180" w:lineRule="auto"/>
        <w:ind w:left="0" w:firstLine="0"/>
        <w:jc w:val="left"/>
        <w:rPr/>
      </w:pPr>
      <w:r w:rsidDel="00000000" w:rsidR="00000000" w:rsidRPr="00000000">
        <w:rPr>
          <w:b w:val="1"/>
          <w:i w:val="0"/>
          <w:color w:val="000000"/>
          <w:sz w:val="33"/>
          <w:szCs w:val="33"/>
          <w:rtl w:val="0"/>
        </w:rPr>
        <w:t xml:space="preserve">S6.1: Strategic Direction</w:t>
      </w:r>
      <w:r w:rsidDel="00000000" w:rsidR="00000000" w:rsidRPr="00000000">
        <w:rPr>
          <w:rtl w:val="0"/>
        </w:rPr>
      </w:r>
    </w:p>
    <w:tbl>
      <w:tblPr>
        <w:tblStyle w:val="Table15"/>
        <w:tblW w:w="11085.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730"/>
        <w:gridCol w:w="4290"/>
        <w:gridCol w:w="4065"/>
        <w:tblGridChange w:id="0">
          <w:tblGrid>
            <w:gridCol w:w="2730"/>
            <w:gridCol w:w="4290"/>
            <w:gridCol w:w="40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4">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5">
            <w:pPr>
              <w:spacing w:after="0" w:before="0" w:lineRule="auto"/>
              <w:ind w:left="0" w:firstLine="0"/>
              <w:jc w:val="left"/>
              <w:rPr/>
            </w:pPr>
            <w:sdt>
              <w:sdtPr>
                <w:id w:val="116045914"/>
                <w:tag w:val="goog_rdk_83"/>
              </w:sdtPr>
              <w:sdtContent>
                <w:r w:rsidDel="00000000" w:rsidR="00000000" w:rsidRPr="00000000">
                  <w:rPr>
                    <w:rFonts w:ascii="Gungsuh" w:cs="Gungsuh" w:eastAsia="Gungsuh" w:hAnsi="Gungsuh"/>
                    <w:i w:val="0"/>
                    <w:color w:val="000000"/>
                    <w:sz w:val="22"/>
                    <w:szCs w:val="22"/>
                    <w:rtl w:val="0"/>
                  </w:rPr>
                  <w:t xml:space="preserve">宁德时代新能源科技股份有限公司 2024 年年度报告.pdf</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6">
            <w:pPr>
              <w:spacing w:after="0" w:before="0" w:lineRule="auto"/>
              <w:ind w:left="0" w:firstLine="0"/>
              <w:jc w:val="left"/>
              <w:rPr/>
            </w:pPr>
            <w:sdt>
              <w:sdtPr>
                <w:id w:val="-1152660325"/>
                <w:tag w:val="goog_rdk_84"/>
              </w:sdtPr>
              <w:sdtContent>
                <w:r w:rsidDel="00000000" w:rsidR="00000000" w:rsidRPr="00000000">
                  <w:rPr>
                    <w:rFonts w:ascii="Gungsuh" w:cs="Gungsuh" w:eastAsia="Gungsuh" w:hAnsi="Gungsuh"/>
                    <w:i w:val="0"/>
                    <w:color w:val="000000"/>
                    <w:sz w:val="22"/>
                    <w:szCs w:val="22"/>
                    <w:rtl w:val="0"/>
                  </w:rPr>
                  <w:t xml:space="preserve">宁德时代新能源科技股份有限公司 2023 年年度报告.pdf</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7">
            <w:pPr>
              <w:spacing w:after="0" w:before="0" w:lineRule="auto"/>
              <w:ind w:left="0" w:firstLine="0"/>
              <w:jc w:val="left"/>
              <w:rPr/>
            </w:pPr>
            <w:r w:rsidDel="00000000" w:rsidR="00000000" w:rsidRPr="00000000">
              <w:rPr>
                <w:b w:val="0"/>
                <w:i w:val="0"/>
                <w:color w:val="000000"/>
                <w:sz w:val="22"/>
                <w:szCs w:val="22"/>
                <w:rtl w:val="0"/>
              </w:rPr>
              <w:t xml:space="preserve">Mergers and Acquisition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8">
            <w:pPr>
              <w:spacing w:after="0" w:before="0" w:lineRule="auto"/>
              <w:ind w:left="0" w:firstLine="0"/>
              <w:jc w:val="left"/>
              <w:rPr/>
            </w:pPr>
            <w:sdt>
              <w:sdtPr>
                <w:id w:val="1169508549"/>
                <w:tag w:val="goog_rdk_85"/>
              </w:sdtPr>
              <w:sdtContent>
                <w:r w:rsidDel="00000000" w:rsidR="00000000" w:rsidRPr="00000000">
                  <w:rPr>
                    <w:rFonts w:ascii="Gungsuh" w:cs="Gungsuh" w:eastAsia="Gungsuh" w:hAnsi="Gungsuh"/>
                    <w:b w:val="0"/>
                    <w:i w:val="0"/>
                    <w:color w:val="000000"/>
                    <w:sz w:val="22"/>
                    <w:szCs w:val="22"/>
                    <w:rtl w:val="0"/>
                  </w:rPr>
                  <w:t xml:space="preserve">2024年报告未披露重大并购作为未来战略重点，公司报告期内未有重大资产和股权出售，也未披露未来并购计划。公司通过自建、参股、合资等方式</w:t>
                </w:r>
              </w:sdtContent>
            </w:sdt>
            <w:sdt>
              <w:sdtPr>
                <w:id w:val="-1514209669"/>
                <w:tag w:val="goog_rdk_86"/>
              </w:sdtPr>
              <w:sdtContent>
                <w:r w:rsidDel="00000000" w:rsidR="00000000" w:rsidRPr="00000000">
                  <w:rPr>
                    <w:rFonts w:ascii="Gungsuh" w:cs="Gungsuh" w:eastAsia="Gungsuh" w:hAnsi="Gungsuh"/>
                    <w:rtl w:val="0"/>
                  </w:rPr>
                  <w:t xml:space="preserve">参与锂、镍、钴、磷等上游资源及相关产品投资、建设与运营</w:t>
                </w:r>
              </w:sdtContent>
            </w:sdt>
            <w:sdt>
              <w:sdtPr>
                <w:id w:val="-715924703"/>
                <w:tag w:val="goog_rdk_87"/>
              </w:sdtPr>
              <w:sdtContent>
                <w:r w:rsidDel="00000000" w:rsidR="00000000" w:rsidRPr="00000000">
                  <w:rPr>
                    <w:rFonts w:ascii="Gungsuh" w:cs="Gungsuh" w:eastAsia="Gungsuh" w:hAnsi="Gungsuh"/>
                    <w:b w:val="0"/>
                    <w:i w:val="0"/>
                    <w:color w:val="000000"/>
                    <w:sz w:val="22"/>
                    <w:szCs w:val="22"/>
                    <w:rtl w:val="0"/>
                  </w:rPr>
                  <w:t xml:space="preserve">，但未将并购作为核心发展战略</w:t>
                </w:r>
              </w:sdtContent>
            </w:sdt>
            <w:sdt>
              <w:sdtPr>
                <w:id w:val="-1460909449"/>
                <w:tag w:val="goog_rdk_88"/>
              </w:sdtPr>
              <w:sdtContent>
                <w:r w:rsidDel="00000000" w:rsidR="00000000" w:rsidRPr="00000000">
                  <w:rPr>
                    <w:rFonts w:ascii="Gungsuh" w:cs="Gungsuh" w:eastAsia="Gungsuh" w:hAnsi="Gungsuh"/>
                    <w:b w:val="0"/>
                    <w:i w:val="0"/>
                    <w:color w:val="000000"/>
                    <w:sz w:val="22"/>
                    <w:szCs w:val="22"/>
                    <w:rtl w:val="0"/>
                  </w:rPr>
                  <w:t xml:space="preserve">。</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9">
            <w:pPr>
              <w:spacing w:after="0" w:before="0" w:lineRule="auto"/>
              <w:ind w:left="0" w:firstLine="0"/>
              <w:jc w:val="left"/>
              <w:rPr/>
            </w:pPr>
            <w:sdt>
              <w:sdtPr>
                <w:id w:val="2001833417"/>
                <w:tag w:val="goog_rdk_89"/>
              </w:sdtPr>
              <w:sdtContent>
                <w:r w:rsidDel="00000000" w:rsidR="00000000" w:rsidRPr="00000000">
                  <w:rPr>
                    <w:rFonts w:ascii="Gungsuh" w:cs="Gungsuh" w:eastAsia="Gungsuh" w:hAnsi="Gungsuh"/>
                    <w:b w:val="0"/>
                    <w:i w:val="0"/>
                    <w:color w:val="000000"/>
                    <w:sz w:val="22"/>
                    <w:szCs w:val="22"/>
                    <w:rtl w:val="0"/>
                  </w:rPr>
                  <w:t xml:space="preserve">2023年报告同样未披露重大并购作为未来战略重点，公司报告期内未有重大资产和股权出售，也未披露未来并购计划。公司通过自建、参股、合资等方式参与上游资源布局，但未将并购作为核心发展战略。</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A">
            <w:pPr>
              <w:spacing w:after="0" w:before="0" w:lineRule="auto"/>
              <w:ind w:left="0" w:firstLine="0"/>
              <w:jc w:val="left"/>
              <w:rPr/>
            </w:pPr>
            <w:r w:rsidDel="00000000" w:rsidR="00000000" w:rsidRPr="00000000">
              <w:rPr>
                <w:b w:val="0"/>
                <w:i w:val="0"/>
                <w:color w:val="000000"/>
                <w:sz w:val="22"/>
                <w:szCs w:val="22"/>
                <w:rtl w:val="0"/>
              </w:rPr>
              <w:t xml:space="preserve">New technologies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B">
            <w:pPr>
              <w:spacing w:after="0" w:before="0" w:lineRule="auto"/>
              <w:ind w:left="0" w:firstLine="0"/>
              <w:jc w:val="left"/>
              <w:rPr/>
            </w:pPr>
            <w:sdt>
              <w:sdtPr>
                <w:id w:val="1439310344"/>
                <w:tag w:val="goog_rdk_90"/>
              </w:sdtPr>
              <w:sdtContent>
                <w:r w:rsidDel="00000000" w:rsidR="00000000" w:rsidRPr="00000000">
                  <w:rPr>
                    <w:rFonts w:ascii="Gungsuh" w:cs="Gungsuh" w:eastAsia="Gungsuh" w:hAnsi="Gungsuh"/>
                    <w:b w:val="0"/>
                    <w:i w:val="0"/>
                    <w:color w:val="000000"/>
                    <w:sz w:val="22"/>
                    <w:szCs w:val="22"/>
                    <w:rtl w:val="0"/>
                  </w:rPr>
                  <w:t xml:space="preserve">公司将“材料及材料体系创新”、“系统结构创新”、“绿色极限制造创新”和“商业模式创新”作为四大创新体系，持续加大研发投入，推动高能量密度、高安全性、长寿命等新一代电池技术开发。重点推进麒麟电池、神行电池、天恒储能系统、巧克力换电、骐骥换电、滑板底盘等创新产品和解决方案，利用数字化、智能化平台提升研发效率，保持技术领先。</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C">
            <w:pPr>
              <w:spacing w:after="0" w:before="0" w:lineRule="auto"/>
              <w:ind w:left="0" w:firstLine="0"/>
              <w:jc w:val="left"/>
              <w:rPr/>
            </w:pPr>
            <w:sdt>
              <w:sdtPr>
                <w:id w:val="-805432388"/>
                <w:tag w:val="goog_rdk_91"/>
              </w:sdtPr>
              <w:sdtContent>
                <w:r w:rsidDel="00000000" w:rsidR="00000000" w:rsidRPr="00000000">
                  <w:rPr>
                    <w:rFonts w:ascii="Gungsuh" w:cs="Gungsuh" w:eastAsia="Gungsuh" w:hAnsi="Gungsuh"/>
                    <w:b w:val="0"/>
                    <w:i w:val="0"/>
                    <w:color w:val="000000"/>
                    <w:sz w:val="22"/>
                    <w:szCs w:val="22"/>
                    <w:rtl w:val="0"/>
                  </w:rPr>
                  <w:t xml:space="preserve">公司同样以“四大创新体系”为核心，持续加大研发投入，推动高能量密度、高安全性、长寿命等新一代电池技术开发。重点推进麒麟电池、神行电池、M3P电池、钠离子电池、凝聚态电池、零辅源光储直流耦合等创新产品和解决方案，利用数字化、智能化平台提升研发效率，保持技术领先。</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D">
            <w:pPr>
              <w:spacing w:after="0" w:before="0" w:lineRule="auto"/>
              <w:ind w:left="0" w:firstLine="0"/>
              <w:jc w:val="left"/>
              <w:rPr/>
            </w:pPr>
            <w:r w:rsidDel="00000000" w:rsidR="00000000" w:rsidRPr="00000000">
              <w:rPr>
                <w:b w:val="0"/>
                <w:i w:val="0"/>
                <w:color w:val="000000"/>
                <w:sz w:val="22"/>
                <w:szCs w:val="22"/>
                <w:rtl w:val="0"/>
              </w:rPr>
              <w:t xml:space="preserve">Organisational Restructuring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E">
            <w:pPr>
              <w:spacing w:after="0" w:before="0" w:lineRule="auto"/>
              <w:ind w:left="0" w:firstLine="0"/>
              <w:jc w:val="left"/>
              <w:rPr/>
            </w:pPr>
            <w:sdt>
              <w:sdtPr>
                <w:id w:val="-951559192"/>
                <w:tag w:val="goog_rdk_92"/>
              </w:sdtPr>
              <w:sdtContent>
                <w:r w:rsidDel="00000000" w:rsidR="00000000" w:rsidRPr="00000000">
                  <w:rPr>
                    <w:rFonts w:ascii="Gungsuh" w:cs="Gungsuh" w:eastAsia="Gungsuh" w:hAnsi="Gungsuh"/>
                    <w:b w:val="0"/>
                    <w:i w:val="0"/>
                    <w:color w:val="000000"/>
                    <w:sz w:val="22"/>
                    <w:szCs w:val="22"/>
                    <w:rtl w:val="0"/>
                  </w:rPr>
                  <w:t xml:space="preserve">2024年报告未披露重大组织架构调整或重组计划。公司强调全球化、数智化、低碳化经营，持续完善全球研发、生产、供应链和销售体系，吸纳国际化人才，构建高效跨国运营体系，但未涉及具体组织重组措施将数字化、智能化贯彻至研发、采购、生产、销售、管理等运营环节；不断推进全球化体系建设，包括海外产能建设运营、海外供应链布局、海外资源及回收布局，广泛吸纳国际化人才，构建高效跨国运营体系；未披露具体组织重组措施。</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F">
            <w:pPr>
              <w:spacing w:after="0" w:before="0" w:lineRule="auto"/>
              <w:ind w:left="0" w:firstLine="0"/>
              <w:jc w:val="left"/>
              <w:rPr/>
            </w:pPr>
            <w:sdt>
              <w:sdtPr>
                <w:id w:val="138097179"/>
                <w:tag w:val="goog_rdk_93"/>
              </w:sdtPr>
              <w:sdtContent>
                <w:r w:rsidDel="00000000" w:rsidR="00000000" w:rsidRPr="00000000">
                  <w:rPr>
                    <w:rFonts w:ascii="Gungsuh" w:cs="Gungsuh" w:eastAsia="Gungsuh" w:hAnsi="Gungsuh"/>
                    <w:b w:val="0"/>
                    <w:i w:val="0"/>
                    <w:color w:val="000000"/>
                    <w:sz w:val="22"/>
                    <w:szCs w:val="22"/>
                    <w:rtl w:val="0"/>
                  </w:rPr>
                  <w:t xml:space="preserve">2023年报告同样未披露重大组织架构调整或重组计划。</w:t>
                </w:r>
              </w:sdtContent>
            </w:sdt>
            <w:sdt>
              <w:sdtPr>
                <w:id w:val="136253514"/>
                <w:tag w:val="goog_rdk_94"/>
              </w:sdtPr>
              <w:sdtContent>
                <w:r w:rsidDel="00000000" w:rsidR="00000000" w:rsidRPr="00000000">
                  <w:rPr>
                    <w:rFonts w:ascii="Gungsuh" w:cs="Gungsuh" w:eastAsia="Gungsuh" w:hAnsi="Gungsuh"/>
                    <w:rtl w:val="0"/>
                  </w:rPr>
                  <w:t xml:space="preserve">公司强调数智化、全球化、低碳化经营，将数字化、智能化贯彻至研发、采购、生产、销售、管理等运营环节；不断推进全球化体系建设，包括海外产能建设运营、海外供应链布局、海外资源及回收布局，广泛吸纳国际化人才，构建高效跨国运营体系；未披露具体组织重组措施</w:t>
                </w:r>
              </w:sdtContent>
            </w:sdt>
            <w:sdt>
              <w:sdtPr>
                <w:id w:val="1099122735"/>
                <w:tag w:val="goog_rdk_95"/>
              </w:sdtPr>
              <w:sdtContent>
                <w:r w:rsidDel="00000000" w:rsidR="00000000" w:rsidRPr="00000000">
                  <w:rPr>
                    <w:rFonts w:ascii="Gungsuh" w:cs="Gungsuh" w:eastAsia="Gungsuh" w:hAnsi="Gungsuh"/>
                    <w:b w:val="0"/>
                    <w:i w:val="0"/>
                    <w:color w:val="000000"/>
                    <w:sz w:val="22"/>
                    <w:szCs w:val="22"/>
                    <w:rtl w:val="0"/>
                  </w:rPr>
                  <w:t xml:space="preserve">。</w:t>
                </w:r>
              </w:sdtContent>
            </w:sdt>
            <w:r w:rsidDel="00000000" w:rsidR="00000000" w:rsidRPr="00000000">
              <w:rPr>
                <w:rtl w:val="0"/>
              </w:rPr>
            </w:r>
          </w:p>
        </w:tc>
      </w:tr>
    </w:tbl>
    <w:p w:rsidR="00000000" w:rsidDel="00000000" w:rsidP="00000000" w:rsidRDefault="00000000" w:rsidRPr="00000000" w14:paraId="00000190">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91">
      <w:pPr>
        <w:spacing w:after="180" w:before="180" w:lineRule="auto"/>
        <w:ind w:left="0" w:firstLine="0"/>
        <w:jc w:val="left"/>
        <w:rPr/>
      </w:pPr>
      <w:r w:rsidDel="00000000" w:rsidR="00000000" w:rsidRPr="00000000">
        <w:rPr>
          <w:b w:val="1"/>
          <w:i w:val="0"/>
          <w:color w:val="000000"/>
          <w:sz w:val="33"/>
          <w:szCs w:val="33"/>
          <w:rtl w:val="0"/>
        </w:rPr>
        <w:t xml:space="preserve">S6.2: Challenges and Uncertainties</w:t>
      </w:r>
      <w:r w:rsidDel="00000000" w:rsidR="00000000" w:rsidRPr="00000000">
        <w:rPr>
          <w:rtl w:val="0"/>
        </w:rPr>
      </w:r>
    </w:p>
    <w:tbl>
      <w:tblPr>
        <w:tblStyle w:val="Table16"/>
        <w:tblW w:w="10485.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880"/>
        <w:gridCol w:w="3600"/>
        <w:gridCol w:w="4005"/>
        <w:tblGridChange w:id="0">
          <w:tblGrid>
            <w:gridCol w:w="2880"/>
            <w:gridCol w:w="3600"/>
            <w:gridCol w:w="40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2">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3">
            <w:pPr>
              <w:spacing w:after="0" w:before="0" w:lineRule="auto"/>
              <w:ind w:left="0" w:firstLine="0"/>
              <w:jc w:val="left"/>
              <w:rPr/>
            </w:pPr>
            <w:sdt>
              <w:sdtPr>
                <w:id w:val="-2077575059"/>
                <w:tag w:val="goog_rdk_96"/>
              </w:sdtPr>
              <w:sdtContent>
                <w:r w:rsidDel="00000000" w:rsidR="00000000" w:rsidRPr="00000000">
                  <w:rPr>
                    <w:rFonts w:ascii="Gungsuh" w:cs="Gungsuh" w:eastAsia="Gungsuh" w:hAnsi="Gungsuh"/>
                    <w:b w:val="1"/>
                    <w:i w:val="0"/>
                    <w:color w:val="000000"/>
                    <w:sz w:val="22"/>
                    <w:szCs w:val="22"/>
                    <w:rtl w:val="0"/>
                  </w:rPr>
                  <w:t xml:space="preserve">宁德时代新能源科技股份有限公司+2024+年年度报告</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4">
            <w:pPr>
              <w:spacing w:after="0" w:before="0" w:lineRule="auto"/>
              <w:ind w:left="0" w:firstLine="0"/>
              <w:jc w:val="left"/>
              <w:rPr/>
            </w:pPr>
            <w:sdt>
              <w:sdtPr>
                <w:id w:val="-1555244545"/>
                <w:tag w:val="goog_rdk_97"/>
              </w:sdtPr>
              <w:sdtContent>
                <w:r w:rsidDel="00000000" w:rsidR="00000000" w:rsidRPr="00000000">
                  <w:rPr>
                    <w:rFonts w:ascii="Gungsuh" w:cs="Gungsuh" w:eastAsia="Gungsuh" w:hAnsi="Gungsuh"/>
                    <w:b w:val="1"/>
                    <w:i w:val="0"/>
                    <w:color w:val="000000"/>
                    <w:sz w:val="22"/>
                    <w:szCs w:val="22"/>
                    <w:rtl w:val="0"/>
                  </w:rPr>
                  <w:t xml:space="preserve">宁德时代新能源科技股份有限公司+2023+年年度报告</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5">
            <w:pPr>
              <w:spacing w:after="0" w:before="0" w:lineRule="auto"/>
              <w:ind w:left="0" w:firstLine="0"/>
              <w:jc w:val="left"/>
              <w:rPr/>
            </w:pPr>
            <w:r w:rsidDel="00000000" w:rsidR="00000000" w:rsidRPr="00000000">
              <w:rPr>
                <w:b w:val="0"/>
                <w:i w:val="0"/>
                <w:color w:val="000000"/>
                <w:sz w:val="22"/>
                <w:szCs w:val="22"/>
                <w:rtl w:val="0"/>
              </w:rPr>
              <w:t xml:space="preserve">Economic challenges such as inflation, recession risks, and shifting consumer behavior that could impact revenue and profitability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6">
            <w:pPr>
              <w:spacing w:after="0" w:before="0" w:lineRule="auto"/>
              <w:ind w:left="0" w:firstLine="0"/>
              <w:jc w:val="left"/>
              <w:rPr/>
            </w:pPr>
            <w:sdt>
              <w:sdtPr>
                <w:id w:val="457386511"/>
                <w:tag w:val="goog_rdk_98"/>
              </w:sdtPr>
              <w:sdtContent>
                <w:r w:rsidDel="00000000" w:rsidR="00000000" w:rsidRPr="00000000">
                  <w:rPr>
                    <w:rFonts w:ascii="Gungsuh" w:cs="Gungsuh" w:eastAsia="Gungsuh" w:hAnsi="Gungsuh"/>
                    <w:b w:val="0"/>
                    <w:i w:val="0"/>
                    <w:color w:val="000000"/>
                    <w:sz w:val="22"/>
                    <w:szCs w:val="22"/>
                    <w:rtl w:val="0"/>
                  </w:rPr>
                  <w:t xml:space="preserve">公司面临全球宏观经济不确定性风险，若未来出现经济增长放缓和市场需求下滑，将影响整个新能源以及动力和储能电池行业的发展，进而对公司的经营业绩和财务状况产生不利影响。原材料价格波动风险持续存在，主要原材料受锂、镍、钴等大宗商品价格影响较大。</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7">
            <w:pPr>
              <w:spacing w:after="0" w:before="0" w:lineRule="auto"/>
              <w:ind w:left="0" w:firstLine="0"/>
              <w:jc w:val="left"/>
              <w:rPr/>
            </w:pPr>
            <w:sdt>
              <w:sdtPr>
                <w:id w:val="1219193416"/>
                <w:tag w:val="goog_rdk_99"/>
              </w:sdtPr>
              <w:sdtContent>
                <w:r w:rsidDel="00000000" w:rsidR="00000000" w:rsidRPr="00000000">
                  <w:rPr>
                    <w:rFonts w:ascii="Gungsuh" w:cs="Gungsuh" w:eastAsia="Gungsuh" w:hAnsi="Gungsuh"/>
                    <w:b w:val="0"/>
                    <w:i w:val="0"/>
                    <w:color w:val="000000"/>
                    <w:sz w:val="22"/>
                    <w:szCs w:val="22"/>
                    <w:rtl w:val="0"/>
                  </w:rPr>
                  <w:t xml:space="preserve">公司面临全球宏观经济不确定性风险，若未来出现经济增长放缓和市场需求下滑，将影响整个新能源以及动力和储能电池行业的发展，进而对公司的经营业绩和财务状况产生不利影响。原材料价格波动及供应风险显著，主要原材料受锂、镍、钴等大宗商品或化工原料价格影响较大；以碳酸锂为代表的原材料价格大幅上涨后回落，对成本造成较大波动。</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8">
            <w:pPr>
              <w:spacing w:after="0" w:before="0" w:lineRule="auto"/>
              <w:ind w:left="0" w:firstLine="0"/>
              <w:jc w:val="left"/>
              <w:rPr/>
            </w:pPr>
            <w:r w:rsidDel="00000000" w:rsidR="00000000" w:rsidRPr="00000000">
              <w:rPr>
                <w:b w:val="0"/>
                <w:i w:val="0"/>
                <w:color w:val="000000"/>
                <w:sz w:val="22"/>
                <w:szCs w:val="22"/>
                <w:rtl w:val="0"/>
              </w:rPr>
              <w:t xml:space="preserve">Competitive pressures from both established industry players and new, disruptive market entrants that the company faces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9">
            <w:pPr>
              <w:spacing w:after="0" w:before="0" w:lineRule="auto"/>
              <w:ind w:left="0" w:firstLine="0"/>
              <w:jc w:val="left"/>
              <w:rPr/>
            </w:pPr>
            <w:sdt>
              <w:sdtPr>
                <w:id w:val="707878585"/>
                <w:tag w:val="goog_rdk_100"/>
              </w:sdtPr>
              <w:sdtContent>
                <w:r w:rsidDel="00000000" w:rsidR="00000000" w:rsidRPr="00000000">
                  <w:rPr>
                    <w:rFonts w:ascii="Gungsuh" w:cs="Gungsuh" w:eastAsia="Gungsuh" w:hAnsi="Gungsuh"/>
                    <w:b w:val="0"/>
                    <w:i w:val="0"/>
                    <w:color w:val="000000"/>
                    <w:sz w:val="22"/>
                    <w:szCs w:val="22"/>
                    <w:rtl w:val="0"/>
                  </w:rPr>
                  <w:t xml:space="preserve">随着全球新能源市场快速发展，国内外企业电池产能快速扩张，存在市场竞争加剧的风险。由于对能量密度、安全性、快充等更高性能电池技术的追求，全球知名的车企、电池企业、材料企业、研究机构纷纷加大对新技术路线的研究开发，公司如果不能有效预判且始终保持研发能力的行业领先，市场竞争力和盈利能力可能会受到影响。</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A">
            <w:pPr>
              <w:spacing w:after="0" w:before="0" w:lineRule="auto"/>
              <w:ind w:left="0" w:firstLine="0"/>
              <w:jc w:val="left"/>
              <w:rPr/>
            </w:pPr>
            <w:sdt>
              <w:sdtPr>
                <w:id w:val="-1404164812"/>
                <w:tag w:val="goog_rdk_101"/>
              </w:sdtPr>
              <w:sdtContent>
                <w:r w:rsidDel="00000000" w:rsidR="00000000" w:rsidRPr="00000000">
                  <w:rPr>
                    <w:rFonts w:ascii="Gungsuh" w:cs="Gungsuh" w:eastAsia="Gungsuh" w:hAnsi="Gungsuh"/>
                    <w:b w:val="0"/>
                    <w:i w:val="0"/>
                    <w:color w:val="000000"/>
                    <w:sz w:val="22"/>
                    <w:szCs w:val="22"/>
                    <w:rtl w:val="0"/>
                  </w:rPr>
                  <w:t xml:space="preserve">随着全球新能源市场快速发展，国内外企业电池产能快速扩张，存在市场竞争加剧的风险。全球知名的车企、电池企业、材料企业、研究机构纷纷加大对新技术路线的研究开发，公司如果不能有效预判且始终保持研发能力的行业领先，市场竞争力和盈利能力可能会受到影响。</w:t>
                </w:r>
              </w:sdtContent>
            </w:sdt>
            <w:r w:rsidDel="00000000" w:rsidR="00000000" w:rsidRPr="00000000">
              <w:rPr>
                <w:rtl w:val="0"/>
              </w:rPr>
            </w:r>
          </w:p>
        </w:tc>
      </w:tr>
    </w:tbl>
    <w:p w:rsidR="00000000" w:rsidDel="00000000" w:rsidP="00000000" w:rsidRDefault="00000000" w:rsidRPr="00000000" w14:paraId="0000019B">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9C">
      <w:pPr>
        <w:spacing w:after="180" w:before="180" w:lineRule="auto"/>
        <w:ind w:left="0" w:firstLine="0"/>
        <w:jc w:val="left"/>
        <w:rPr/>
      </w:pPr>
      <w:r w:rsidDel="00000000" w:rsidR="00000000" w:rsidRPr="00000000">
        <w:rPr>
          <w:b w:val="1"/>
          <w:i w:val="0"/>
          <w:color w:val="000000"/>
          <w:sz w:val="33"/>
          <w:szCs w:val="33"/>
          <w:rtl w:val="0"/>
        </w:rPr>
        <w:t xml:space="preserve">S6.3: Innovation and Development Plans</w:t>
      </w:r>
      <w:r w:rsidDel="00000000" w:rsidR="00000000" w:rsidRPr="00000000">
        <w:rPr>
          <w:rtl w:val="0"/>
        </w:rPr>
      </w:r>
    </w:p>
    <w:tbl>
      <w:tblPr>
        <w:tblStyle w:val="Table17"/>
        <w:tblW w:w="10545.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880"/>
        <w:gridCol w:w="3600"/>
        <w:gridCol w:w="4065"/>
        <w:tblGridChange w:id="0">
          <w:tblGrid>
            <w:gridCol w:w="2880"/>
            <w:gridCol w:w="3600"/>
            <w:gridCol w:w="40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D">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E">
            <w:pPr>
              <w:spacing w:after="0" w:before="0" w:lineRule="auto"/>
              <w:ind w:left="0" w:firstLine="0"/>
              <w:jc w:val="left"/>
              <w:rPr/>
            </w:pPr>
            <w:sdt>
              <w:sdtPr>
                <w:id w:val="708976839"/>
                <w:tag w:val="goog_rdk_102"/>
              </w:sdtPr>
              <w:sdtContent>
                <w:r w:rsidDel="00000000" w:rsidR="00000000" w:rsidRPr="00000000">
                  <w:rPr>
                    <w:rFonts w:ascii="Gungsuh" w:cs="Gungsuh" w:eastAsia="Gungsuh" w:hAnsi="Gungsuh"/>
                    <w:b w:val="1"/>
                    <w:i w:val="0"/>
                    <w:color w:val="000000"/>
                    <w:sz w:val="22"/>
                    <w:szCs w:val="22"/>
                    <w:rtl w:val="0"/>
                  </w:rPr>
                  <w:t xml:space="preserve">宁德时代新能源科技股份有限公司 2024 年年度报告</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F">
            <w:pPr>
              <w:spacing w:after="0" w:before="0" w:lineRule="auto"/>
              <w:ind w:left="0" w:firstLine="0"/>
              <w:jc w:val="left"/>
              <w:rPr/>
            </w:pPr>
            <w:sdt>
              <w:sdtPr>
                <w:id w:val="-738124891"/>
                <w:tag w:val="goog_rdk_103"/>
              </w:sdtPr>
              <w:sdtContent>
                <w:r w:rsidDel="00000000" w:rsidR="00000000" w:rsidRPr="00000000">
                  <w:rPr>
                    <w:rFonts w:ascii="Gungsuh" w:cs="Gungsuh" w:eastAsia="Gungsuh" w:hAnsi="Gungsuh"/>
                    <w:b w:val="1"/>
                    <w:i w:val="0"/>
                    <w:color w:val="000000"/>
                    <w:sz w:val="22"/>
                    <w:szCs w:val="22"/>
                    <w:rtl w:val="0"/>
                  </w:rPr>
                  <w:t xml:space="preserve">宁德时代新能源科技股份有限公司 2023 年年度报告</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0">
            <w:pPr>
              <w:spacing w:after="0" w:before="0" w:lineRule="auto"/>
              <w:ind w:left="0" w:firstLine="0"/>
              <w:jc w:val="left"/>
              <w:rPr/>
            </w:pPr>
            <w:r w:rsidDel="00000000" w:rsidR="00000000" w:rsidRPr="00000000">
              <w:rPr>
                <w:b w:val="0"/>
                <w:i w:val="0"/>
                <w:color w:val="000000"/>
                <w:sz w:val="22"/>
                <w:szCs w:val="22"/>
                <w:rtl w:val="0"/>
              </w:rPr>
              <w:t xml:space="preserve">R&amp;D investments, with a focus on advancing technology, improving products, and creating new solutions to cater to market trends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1">
            <w:pPr>
              <w:spacing w:after="0" w:before="0" w:lineRule="auto"/>
              <w:ind w:left="0" w:firstLine="0"/>
              <w:jc w:val="left"/>
              <w:rPr/>
            </w:pPr>
            <w:sdt>
              <w:sdtPr>
                <w:id w:val="-1892545623"/>
                <w:tag w:val="goog_rdk_104"/>
              </w:sdtPr>
              <w:sdtContent>
                <w:r w:rsidDel="00000000" w:rsidR="00000000" w:rsidRPr="00000000">
                  <w:rPr>
                    <w:rFonts w:ascii="Gungsuh" w:cs="Gungsuh" w:eastAsia="Gungsuh" w:hAnsi="Gungsuh"/>
                    <w:b w:val="0"/>
                    <w:i w:val="0"/>
                    <w:color w:val="000000"/>
                    <w:sz w:val="22"/>
                    <w:szCs w:val="22"/>
                    <w:rtl w:val="0"/>
                  </w:rPr>
                  <w:t xml:space="preserve">公司持续加大研发投入，2024年研发费用达186.07亿元，同比增长1.37%。公司拥有六大研发中心，研发人员超2万人，研发体系涵盖高通量材料集成计算、智能化电芯设计等平台，推动材料、系统结构、绿色极限制造和商业模式创新。研发投入占营业收入比例提升至5.14%。公司通过高强度研发投入和智能化平台，保持新产品新技术开发的前瞻性和领先性，增强产品竞争力，满足市场多元化需求。</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2">
            <w:pPr>
              <w:spacing w:after="0" w:before="0" w:lineRule="auto"/>
              <w:ind w:left="0" w:firstLine="0"/>
              <w:jc w:val="left"/>
              <w:rPr/>
            </w:pPr>
            <w:sdt>
              <w:sdtPr>
                <w:id w:val="-471983207"/>
                <w:tag w:val="goog_rdk_105"/>
              </w:sdtPr>
              <w:sdtContent>
                <w:r w:rsidDel="00000000" w:rsidR="00000000" w:rsidRPr="00000000">
                  <w:rPr>
                    <w:rFonts w:ascii="Gungsuh" w:cs="Gungsuh" w:eastAsia="Gungsuh" w:hAnsi="Gungsuh"/>
                    <w:b w:val="0"/>
                    <w:i w:val="0"/>
                    <w:color w:val="000000"/>
                    <w:sz w:val="22"/>
                    <w:szCs w:val="22"/>
                    <w:rtl w:val="0"/>
                  </w:rPr>
                  <w:t xml:space="preserve">公司持续加大研发投入，2023年研发费用达183.56亿元，同比增长18.35%。公司拥有六大研发中心，研发人员超2万人，研发体系涵盖材料研发、产品研发、工程设计、智能制造等领域。研发投入占营业收入比例为4.58%。公司通过高强度研发投入和智能化平台，保持新产品新技术开发的前瞻性和领先性，推动材料、系统结构、绿色极限制造和商业模式创新，提升产品竞争力。</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3">
            <w:pPr>
              <w:spacing w:after="0" w:before="0" w:lineRule="auto"/>
              <w:ind w:left="0" w:firstLine="0"/>
              <w:jc w:val="left"/>
              <w:rPr/>
            </w:pPr>
            <w:r w:rsidDel="00000000" w:rsidR="00000000" w:rsidRPr="00000000">
              <w:rPr>
                <w:b w:val="0"/>
                <w:i w:val="0"/>
                <w:color w:val="000000"/>
                <w:sz w:val="22"/>
                <w:szCs w:val="22"/>
                <w:rtl w:val="0"/>
              </w:rPr>
              <w:t xml:space="preserve">New product launches, emphasizing the company’s commitment to continuously introducing differentiated products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4">
            <w:pPr>
              <w:spacing w:after="0" w:before="0" w:lineRule="auto"/>
              <w:ind w:left="0" w:firstLine="0"/>
              <w:jc w:val="left"/>
              <w:rPr/>
            </w:pPr>
            <w:sdt>
              <w:sdtPr>
                <w:id w:val="538015816"/>
                <w:tag w:val="goog_rdk_106"/>
              </w:sdtPr>
              <w:sdtContent>
                <w:r w:rsidDel="00000000" w:rsidR="00000000" w:rsidRPr="00000000">
                  <w:rPr>
                    <w:rFonts w:ascii="Gungsuh" w:cs="Gungsuh" w:eastAsia="Gungsuh" w:hAnsi="Gungsuh"/>
                    <w:b w:val="0"/>
                    <w:i w:val="0"/>
                    <w:color w:val="000000"/>
                    <w:sz w:val="22"/>
                    <w:szCs w:val="22"/>
                    <w:rtl w:val="0"/>
                  </w:rPr>
                  <w:t xml:space="preserve">公司持续推出创新产品。2024年，乘用车领域发布神行Plus电池（系统能量密度超200Wh/kg，全球首个兼备1000km续航及4C超充的磷酸铁锂电池）、新一代麒麟高功率电池（放电功率超1300kW）、骁遥增混电池（纯电续航超400公里且4C超充），商用车领域推出天行L-超充、天行L-长续航、天行客车版、天行重型商用车版，储能领域发布天恒储能系统（全球首款5年零衰减、单体6.25MWh），PU100储能产品等。公司还持续拓展工程机械、船舶、航空器等新兴应用场景，推出滑板底盘、巧克力换电、骐骥换电等创新解决方案。</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5">
            <w:pPr>
              <w:spacing w:after="0" w:before="0" w:lineRule="auto"/>
              <w:ind w:left="0" w:firstLine="0"/>
              <w:jc w:val="left"/>
              <w:rPr/>
            </w:pPr>
            <w:sdt>
              <w:sdtPr>
                <w:id w:val="-1465491112"/>
                <w:tag w:val="goog_rdk_107"/>
              </w:sdtPr>
              <w:sdtContent>
                <w:r w:rsidDel="00000000" w:rsidR="00000000" w:rsidRPr="00000000">
                  <w:rPr>
                    <w:rFonts w:ascii="Gungsuh" w:cs="Gungsuh" w:eastAsia="Gungsuh" w:hAnsi="Gungsuh"/>
                    <w:b w:val="0"/>
                    <w:i w:val="0"/>
                    <w:color w:val="000000"/>
                    <w:sz w:val="22"/>
                    <w:szCs w:val="22"/>
                    <w:rtl w:val="0"/>
                  </w:rPr>
                  <w:t xml:space="preserve">公司持续推出高比能、超快充、高安全、长寿命的新产品。2023年，动力电池领域发布高比能高安全的凝聚态电池、超快充的神行电池，第一代钠离子电池、M3P电池在奇瑞车型量产，麒麟电池与理想合作量产。神行电池实现常温4C快充，广受客户青睐。储能领域发布零辅源光储直流耦合解决方案，升级EnerOne Plus、EnerD等产品，能量密度与充放电效率大幅提升。公司还积极拓展工程机械、船舶、航空器等新兴应用场景，推出滑板底盘、巧克力换电、骐骥换电等创新解决方案。</w:t>
                </w:r>
              </w:sdtContent>
            </w:sdt>
            <w:r w:rsidDel="00000000" w:rsidR="00000000" w:rsidRPr="00000000">
              <w:rPr>
                <w:rtl w:val="0"/>
              </w:rPr>
            </w:r>
          </w:p>
        </w:tc>
      </w:tr>
    </w:tbl>
    <w:p w:rsidR="00000000" w:rsidDel="00000000" w:rsidP="00000000" w:rsidRDefault="00000000" w:rsidRPr="00000000" w14:paraId="000001A6">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sectPr>
      <w:pgSz w:h="23811" w:w="16838"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480" w:lineRule="auto"/>
    </w:pPr>
    <w:rPr>
      <w:b w:val="1"/>
      <w:color w:val="365f91"/>
      <w:sz w:val="28"/>
      <w:szCs w:val="28"/>
    </w:rPr>
  </w:style>
  <w:style w:type="paragraph" w:styleId="Heading2">
    <w:name w:val="heading 2"/>
    <w:basedOn w:val="Normal"/>
    <w:next w:val="Normal"/>
    <w:pPr>
      <w:keepNext w:val="1"/>
      <w:keepLines w:val="1"/>
      <w:spacing w:before="200" w:lineRule="auto"/>
    </w:pPr>
    <w:rPr>
      <w:b w:val="1"/>
      <w:color w:val="4f81bd"/>
      <w:sz w:val="26"/>
      <w:szCs w:val="26"/>
    </w:rPr>
  </w:style>
  <w:style w:type="paragraph" w:styleId="Heading3">
    <w:name w:val="heading 3"/>
    <w:basedOn w:val="Normal"/>
    <w:next w:val="Normal"/>
    <w:pPr>
      <w:keepNext w:val="1"/>
      <w:keepLines w:val="1"/>
      <w:spacing w:before="200" w:lineRule="auto"/>
    </w:pPr>
    <w:rPr>
      <w:b w:val="1"/>
      <w:color w:val="4f81bd"/>
    </w:rPr>
  </w:style>
  <w:style w:type="paragraph" w:styleId="Heading4">
    <w:name w:val="heading 4"/>
    <w:basedOn w:val="Normal"/>
    <w:next w:val="Normal"/>
    <w:pPr>
      <w:keepNext w:val="1"/>
      <w:keepLines w:val="1"/>
      <w:spacing w:before="200" w:lineRule="auto"/>
    </w:pPr>
    <w:rPr>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color w:val="17365d"/>
      <w:sz w:val="52"/>
      <w:szCs w:val="52"/>
    </w:rPr>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paragraph" w:styleId="Header">
    <w:name w:val="header"/>
    <w:basedOn w:val="Normal"/>
    <w:link w:val="HeaderChar"/>
    <w:uiPriority w:val="99"/>
    <w:unhideWhenUsed w:val="1"/>
    <w:rsid w:val="00841CD9"/>
    <w:pPr>
      <w:tabs>
        <w:tab w:val="center" w:pos="4680"/>
        <w:tab w:val="right" w:pos="9360"/>
      </w:tabs>
    </w:pPr>
  </w:style>
  <w:style w:type="character" w:styleId="HeaderChar" w:customStyle="1">
    <w:name w:val="Header Char"/>
    <w:basedOn w:val="DefaultParagraphFont"/>
    <w:link w:val="Header"/>
    <w:uiPriority w:val="99"/>
    <w:rsid w:val="00841CD9"/>
  </w:style>
  <w:style w:type="character" w:styleId="Heading1Char" w:customStyle="1">
    <w:name w:val="Heading 1 Char"/>
    <w:basedOn w:val="DefaultParagraphFont"/>
    <w:link w:val="Heading1"/>
    <w:uiPriority w:val="9"/>
    <w:rsid w:val="00841CD9"/>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841CD9"/>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841CD9"/>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sid w:val="00841CD9"/>
    <w:rPr>
      <w:rFonts w:asciiTheme="majorHAnsi" w:cstheme="majorBidi" w:eastAsiaTheme="majorEastAsia" w:hAnsiTheme="majorHAnsi"/>
      <w:b w:val="1"/>
      <w:bCs w:val="1"/>
      <w:i w:val="1"/>
      <w:iCs w:val="1"/>
      <w:color w:val="4f81bd" w:themeColor="accent1"/>
    </w:rPr>
  </w:style>
  <w:style w:type="paragraph" w:styleId="NormalIndent">
    <w:name w:val="Normal Indent"/>
    <w:basedOn w:val="Normal"/>
    <w:uiPriority w:val="99"/>
    <w:unhideWhenUsed w:val="1"/>
    <w:rsid w:val="00841CD9"/>
    <w:pPr>
      <w:ind w:left="720"/>
    </w:pPr>
  </w:style>
  <w:style w:type="character" w:styleId="SubtitleChar" w:customStyle="1">
    <w:name w:val="Subtitle Char"/>
    <w:basedOn w:val="DefaultParagraphFont"/>
    <w:link w:val="Subtitle"/>
    <w:uiPriority w:val="11"/>
    <w:rsid w:val="00841CD9"/>
    <w:rPr>
      <w:rFonts w:asciiTheme="majorHAnsi" w:cstheme="majorBidi" w:eastAsiaTheme="majorEastAsia" w:hAnsiTheme="majorHAnsi"/>
      <w:i w:val="1"/>
      <w:iCs w:val="1"/>
      <w:color w:val="4f81bd" w:themeColor="accent1"/>
      <w:spacing w:val="15"/>
      <w:sz w:val="24"/>
      <w:szCs w:val="24"/>
    </w:rPr>
  </w:style>
  <w:style w:type="character" w:styleId="TitleChar" w:customStyle="1">
    <w:name w:val="Title Char"/>
    <w:basedOn w:val="DefaultParagraphFont"/>
    <w:link w:val="Title"/>
    <w:uiPriority w:val="10"/>
    <w:rsid w:val="00841CD9"/>
    <w:rPr>
      <w:rFonts w:asciiTheme="majorHAnsi" w:cstheme="majorBidi" w:eastAsiaTheme="majorEastAsia" w:hAnsiTheme="majorHAnsi"/>
      <w:color w:val="17365d" w:themeColor="text2" w:themeShade="0000BF"/>
      <w:spacing w:val="5"/>
      <w:kern w:val="28"/>
      <w:sz w:val="52"/>
      <w:szCs w:val="52"/>
    </w:rPr>
  </w:style>
  <w:style w:type="character" w:styleId="Emphasis">
    <w:name w:val="Emphasis"/>
    <w:basedOn w:val="DefaultParagraphFont"/>
    <w:uiPriority w:val="20"/>
    <w:qFormat w:val="1"/>
    <w:rsid w:val="00D1197D"/>
    <w:rPr>
      <w:i w:val="1"/>
      <w:iCs w:val="1"/>
    </w:rPr>
  </w:style>
  <w:style w:type="character" w:styleId="Hyperlink">
    <w:name w:val="Hyperlink"/>
    <w:basedOn w:val="DefaultParagraphFont"/>
    <w:uiPriority w:val="99"/>
    <w:unhideWhenUsed w:val="1"/>
    <w:rPr>
      <w:color w:val="0000ff" w:themeColor="hyperlink"/>
      <w:u w:val="single"/>
    </w:rPr>
  </w:style>
  <w:style w:type="table" w:styleId="TableGrid">
    <w:name w:val="Table Grid"/>
    <w:basedOn w:val="TableNormal"/>
    <w:uiPriority w:val="59"/>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paragraph" w:styleId="Caption">
    <w:name w:val="caption"/>
    <w:basedOn w:val="Normal"/>
    <w:next w:val="Normal"/>
    <w:uiPriority w:val="35"/>
    <w:semiHidden w:val="1"/>
    <w:unhideWhenUsed w:val="1"/>
    <w:qFormat w:val="1"/>
    <w:rsid w:val="007109C0"/>
    <w:pPr>
      <w:spacing w:line="240" w:lineRule="auto"/>
    </w:pPr>
    <w:rPr>
      <w:b w:val="1"/>
      <w:bCs w:val="1"/>
      <w:color w:val="4f81bd" w:themeColor="accent1"/>
      <w:sz w:val="18"/>
      <w:szCs w:val="1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ind w:left="86"/>
    </w:pPr>
    <w:rPr>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CvJe49rjHgrO2UkqOo8fEuMv3g==">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