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1" w:before="161" w:lineRule="auto"/>
        <w:ind w:left="0" w:firstLine="0"/>
        <w:jc w:val="left"/>
        <w:rPr/>
      </w:pPr>
      <w:r w:rsidDel="00000000" w:rsidR="00000000" w:rsidRPr="00000000">
        <w:rPr>
          <w:b w:val="1"/>
          <w:i w:val="0"/>
          <w:color w:val="000000"/>
          <w:sz w:val="44"/>
          <w:szCs w:val="44"/>
          <w:rtl w:val="0"/>
        </w:rPr>
        <w:t xml:space="preserve">Section 1: Company Overview</w:t>
      </w:r>
      <w:r w:rsidDel="00000000" w:rsidR="00000000" w:rsidRPr="00000000">
        <w:rPr>
          <w:rtl w:val="0"/>
        </w:rPr>
      </w:r>
    </w:p>
    <w:p w:rsidR="00000000" w:rsidDel="00000000" w:rsidP="00000000" w:rsidRDefault="00000000" w:rsidRPr="00000000" w14:paraId="00000002">
      <w:pPr>
        <w:spacing w:after="180" w:before="180" w:lineRule="auto"/>
        <w:ind w:left="0" w:firstLine="0"/>
        <w:jc w:val="left"/>
        <w:rPr/>
      </w:pPr>
      <w:r w:rsidDel="00000000" w:rsidR="00000000" w:rsidRPr="00000000">
        <w:rPr>
          <w:b w:val="1"/>
          <w:i w:val="0"/>
          <w:color w:val="000000"/>
          <w:sz w:val="33"/>
          <w:szCs w:val="33"/>
          <w:rtl w:val="0"/>
        </w:rPr>
        <w:t xml:space="preserve">S1.1: Basic Information</w:t>
      </w:r>
      <w:r w:rsidDel="00000000" w:rsidR="00000000" w:rsidRPr="00000000">
        <w:rPr>
          <w:rtl w:val="0"/>
        </w:rPr>
      </w:r>
    </w:p>
    <w:tbl>
      <w:tblPr>
        <w:tblStyle w:val="Table1"/>
        <w:tblW w:w="697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4680"/>
        <w:gridCol w:w="2295"/>
        <w:tblGridChange w:id="0">
          <w:tblGrid>
            <w:gridCol w:w="4680"/>
            <w:gridCol w:w="229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3">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4">
            <w:pPr>
              <w:spacing w:after="0" w:before="0" w:lineRule="auto"/>
              <w:ind w:left="0" w:firstLine="0"/>
              <w:jc w:val="left"/>
              <w:rPr/>
            </w:pPr>
            <w:r w:rsidDel="00000000" w:rsidR="00000000" w:rsidRPr="00000000">
              <w:rPr>
                <w:b w:val="1"/>
                <w:i w:val="0"/>
                <w:color w:val="000000"/>
                <w:sz w:val="22"/>
                <w:szCs w:val="22"/>
                <w:rtl w:val="0"/>
              </w:rPr>
              <w:t xml:space="preserve">Value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5">
            <w:pPr>
              <w:spacing w:after="0" w:before="0" w:lineRule="auto"/>
              <w:ind w:left="0" w:firstLine="0"/>
              <w:jc w:val="left"/>
              <w:rPr/>
            </w:pPr>
            <w:r w:rsidDel="00000000" w:rsidR="00000000" w:rsidRPr="00000000">
              <w:rPr>
                <w:b w:val="0"/>
                <w:i w:val="0"/>
                <w:color w:val="000000"/>
                <w:sz w:val="22"/>
                <w:szCs w:val="22"/>
                <w:rtl w:val="0"/>
              </w:rPr>
              <w:t xml:space="preserve">Company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6">
            <w:pPr>
              <w:spacing w:after="0" w:before="0" w:lineRule="auto"/>
              <w:ind w:left="0" w:firstLine="0"/>
              <w:jc w:val="left"/>
              <w:rPr/>
            </w:pPr>
            <w:sdt>
              <w:sdtPr>
                <w:id w:val="462768414"/>
                <w:tag w:val="goog_rdk_0"/>
              </w:sdtPr>
              <w:sdtContent>
                <w:r w:rsidDel="00000000" w:rsidR="00000000" w:rsidRPr="00000000">
                  <w:rPr>
                    <w:rFonts w:ascii="Gungsuh" w:cs="Gungsuh" w:eastAsia="Gungsuh" w:hAnsi="Gungsuh"/>
                    <w:b w:val="0"/>
                    <w:i w:val="0"/>
                    <w:color w:val="000000"/>
                    <w:sz w:val="22"/>
                    <w:szCs w:val="22"/>
                    <w:rtl w:val="0"/>
                  </w:rPr>
                  <w:t xml:space="preserve">騰訊控股有限公司</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spacing w:after="0" w:before="0" w:lineRule="auto"/>
              <w:ind w:left="0" w:firstLine="0"/>
              <w:jc w:val="left"/>
              <w:rPr/>
            </w:pPr>
            <w:r w:rsidDel="00000000" w:rsidR="00000000" w:rsidRPr="00000000">
              <w:rPr>
                <w:b w:val="0"/>
                <w:i w:val="0"/>
                <w:color w:val="000000"/>
                <w:sz w:val="22"/>
                <w:szCs w:val="22"/>
                <w:rtl w:val="0"/>
              </w:rPr>
              <w:t xml:space="preserve">Establishment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8">
            <w:pPr>
              <w:spacing w:after="0" w:before="0" w:lineRule="auto"/>
              <w:ind w:left="0" w:firstLine="0"/>
              <w:jc w:val="left"/>
              <w:rPr/>
            </w:pPr>
            <w:sdt>
              <w:sdtPr>
                <w:id w:val="-1026402983"/>
                <w:tag w:val="goog_rdk_1"/>
              </w:sdtPr>
              <w:sdtContent>
                <w:r w:rsidDel="00000000" w:rsidR="00000000" w:rsidRPr="00000000">
                  <w:rPr>
                    <w:rFonts w:ascii="Gungsuh" w:cs="Gungsuh" w:eastAsia="Gungsuh" w:hAnsi="Gungsuh"/>
                    <w:b w:val="0"/>
                    <w:i w:val="0"/>
                    <w:color w:val="000000"/>
                    <w:sz w:val="22"/>
                    <w:szCs w:val="22"/>
                    <w:rtl w:val="0"/>
                  </w:rPr>
                  <w:t xml:space="preserve">1998年</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spacing w:after="0" w:before="0" w:lineRule="auto"/>
              <w:ind w:left="0" w:firstLine="0"/>
              <w:jc w:val="left"/>
              <w:rPr/>
            </w:pPr>
            <w:r w:rsidDel="00000000" w:rsidR="00000000" w:rsidRPr="00000000">
              <w:rPr>
                <w:b w:val="0"/>
                <w:i w:val="0"/>
                <w:color w:val="000000"/>
                <w:sz w:val="22"/>
                <w:szCs w:val="22"/>
                <w:rtl w:val="0"/>
              </w:rPr>
              <w:t xml:space="preserve">Headquarters Location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spacing w:after="0" w:before="0" w:lineRule="auto"/>
              <w:ind w:left="0" w:firstLine="0"/>
              <w:jc w:val="left"/>
              <w:rPr/>
            </w:pPr>
            <w:sdt>
              <w:sdtPr>
                <w:id w:val="-1202639385"/>
                <w:tag w:val="goog_rdk_2"/>
              </w:sdtPr>
              <w:sdtContent>
                <w:r w:rsidDel="00000000" w:rsidR="00000000" w:rsidRPr="00000000">
                  <w:rPr>
                    <w:rFonts w:ascii="Gungsuh" w:cs="Gungsuh" w:eastAsia="Gungsuh" w:hAnsi="Gungsuh"/>
                    <w:b w:val="0"/>
                    <w:i w:val="0"/>
                    <w:color w:val="000000"/>
                    <w:sz w:val="22"/>
                    <w:szCs w:val="22"/>
                    <w:rtl w:val="0"/>
                  </w:rPr>
                  <w:t xml:space="preserve">中國廣東省深圳市</w:t>
                </w:r>
              </w:sdtContent>
            </w:sdt>
            <w:r w:rsidDel="00000000" w:rsidR="00000000" w:rsidRPr="00000000">
              <w:rPr>
                <w:rtl w:val="0"/>
              </w:rPr>
            </w:r>
          </w:p>
        </w:tc>
      </w:tr>
    </w:tbl>
    <w:p w:rsidR="00000000" w:rsidDel="00000000" w:rsidP="00000000" w:rsidRDefault="00000000" w:rsidRPr="00000000" w14:paraId="0000000B">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0C">
      <w:pPr>
        <w:spacing w:after="180" w:before="180" w:lineRule="auto"/>
        <w:ind w:left="0" w:firstLine="0"/>
        <w:jc w:val="left"/>
        <w:rPr/>
      </w:pPr>
      <w:r w:rsidDel="00000000" w:rsidR="00000000" w:rsidRPr="00000000">
        <w:rPr>
          <w:b w:val="1"/>
          <w:i w:val="0"/>
          <w:color w:val="000000"/>
          <w:sz w:val="33"/>
          <w:szCs w:val="33"/>
          <w:rtl w:val="0"/>
        </w:rPr>
        <w:t xml:space="preserve">S1.2 : Core Competencies</w:t>
      </w:r>
      <w:r w:rsidDel="00000000" w:rsidR="00000000" w:rsidRPr="00000000">
        <w:rPr>
          <w:rtl w:val="0"/>
        </w:rPr>
      </w:r>
    </w:p>
    <w:tbl>
      <w:tblPr>
        <w:tblStyle w:val="Table2"/>
        <w:tblW w:w="1087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280"/>
        <w:gridCol w:w="4470"/>
        <w:gridCol w:w="4125"/>
        <w:tblGridChange w:id="0">
          <w:tblGrid>
            <w:gridCol w:w="2280"/>
            <w:gridCol w:w="4470"/>
            <w:gridCol w:w="41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D">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spacing w:after="0" w:before="0" w:lineRule="auto"/>
              <w:ind w:left="0" w:firstLine="0"/>
              <w:jc w:val="left"/>
              <w:rPr/>
            </w:pPr>
            <w:r w:rsidDel="00000000" w:rsidR="00000000" w:rsidRPr="00000000">
              <w:rPr>
                <w:b w:val="0"/>
                <w:i w:val="0"/>
                <w:color w:val="000000"/>
                <w:sz w:val="22"/>
                <w:szCs w:val="22"/>
                <w:rtl w:val="0"/>
              </w:rPr>
              <w:t xml:space="preserve">Innovation 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spacing w:after="0" w:before="0" w:lineRule="auto"/>
              <w:ind w:left="0" w:firstLine="0"/>
              <w:jc w:val="left"/>
              <w:rPr/>
            </w:pPr>
            <w:sdt>
              <w:sdtPr>
                <w:id w:val="-1952103073"/>
                <w:tag w:val="goog_rdk_3"/>
              </w:sdtPr>
              <w:sdtContent>
                <w:r w:rsidDel="00000000" w:rsidR="00000000" w:rsidRPr="00000000">
                  <w:rPr>
                    <w:rFonts w:ascii="Gungsuh" w:cs="Gungsuh" w:eastAsia="Gungsuh" w:hAnsi="Gungsuh"/>
                    <w:i w:val="0"/>
                    <w:color w:val="000000"/>
                    <w:sz w:val="22"/>
                    <w:szCs w:val="22"/>
                    <w:rtl w:val="0"/>
                  </w:rPr>
                  <w:t xml:space="preserve">騰訊持續加大技術投入，</w:t>
                </w:r>
              </w:sdtContent>
            </w:sdt>
            <w:sdt>
              <w:sdtPr>
                <w:id w:val="-1786688763"/>
                <w:tag w:val="goog_rdk_4"/>
              </w:sdtPr>
              <w:sdtContent>
                <w:r w:rsidDel="00000000" w:rsidR="00000000" w:rsidRPr="00000000">
                  <w:rPr>
                    <w:rFonts w:ascii="Arial Unicode MS" w:cs="Arial Unicode MS" w:eastAsia="Arial Unicode MS" w:hAnsi="Arial Unicode MS"/>
                    <w:color w:val="131314"/>
                    <w:sz w:val="21"/>
                    <w:szCs w:val="21"/>
                    <w:highlight w:val="white"/>
                    <w:rtl w:val="0"/>
                  </w:rPr>
                  <w:t xml:space="preserve">利用混元基礎模型等AI核心技術提升產品智能化水平，並深化產學研合作以促進AI、量子計算等前沿技術轉化。</w:t>
                </w:r>
              </w:sdtContent>
            </w:sdt>
            <w:sdt>
              <w:sdtPr>
                <w:id w:val="-1143375788"/>
                <w:tag w:val="goog_rdk_5"/>
              </w:sdtPr>
              <w:sdtContent>
                <w:r w:rsidDel="00000000" w:rsidR="00000000" w:rsidRPr="00000000">
                  <w:rPr>
                    <w:rFonts w:ascii="Gungsuh" w:cs="Gungsuh" w:eastAsia="Gungsuh" w:hAnsi="Gungsuh"/>
                    <w:i w:val="0"/>
                    <w:color w:val="000000"/>
                    <w:sz w:val="22"/>
                    <w:szCs w:val="22"/>
                    <w:rtl w:val="0"/>
                  </w:rPr>
                  <w:t xml:space="preserve">將AI能力廣泛應用於搜索、推薦、廣告等場景，</w:t>
                </w:r>
              </w:sdtContent>
            </w:sdt>
            <w:sdt>
              <w:sdtPr>
                <w:id w:val="-1321819408"/>
                <w:tag w:val="goog_rdk_6"/>
              </w:sdtPr>
              <w:sdtContent>
                <w:r w:rsidDel="00000000" w:rsidR="00000000" w:rsidRPr="00000000">
                  <w:rPr>
                    <w:rFonts w:ascii="Arial Unicode MS" w:cs="Arial Unicode MS" w:eastAsia="Arial Unicode MS" w:hAnsi="Arial Unicode MS"/>
                    <w:color w:val="131314"/>
                    <w:sz w:val="21"/>
                    <w:szCs w:val="21"/>
                    <w:highlight w:val="white"/>
                    <w:rtl w:val="0"/>
                  </w:rPr>
                  <w:t xml:space="preserve">依托元寶和微信應用為AI在消費端的大規模普及做好充分準備，</w:t>
                </w:r>
              </w:sdtContent>
            </w:sdt>
            <w:sdt>
              <w:sdtPr>
                <w:id w:val="1551615061"/>
                <w:tag w:val="goog_rdk_7"/>
              </w:sdtPr>
              <w:sdtContent>
                <w:r w:rsidDel="00000000" w:rsidR="00000000" w:rsidRPr="00000000">
                  <w:rPr>
                    <w:rFonts w:ascii="Gungsuh" w:cs="Gungsuh" w:eastAsia="Gungsuh" w:hAnsi="Gungsuh"/>
                    <w:i w:val="0"/>
                    <w:color w:val="000000"/>
                    <w:sz w:val="22"/>
                    <w:szCs w:val="22"/>
                    <w:rtl w:val="0"/>
                  </w:rPr>
                  <w:t xml:space="preserve">展現強大創新實力。</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2">
            <w:pPr>
              <w:spacing w:after="0" w:before="0" w:lineRule="auto"/>
              <w:ind w:left="0" w:firstLine="0"/>
              <w:jc w:val="left"/>
              <w:rPr/>
            </w:pPr>
            <w:sdt>
              <w:sdtPr>
                <w:id w:val="1295540690"/>
                <w:tag w:val="goog_rdk_8"/>
              </w:sdtPr>
              <w:sdtContent>
                <w:r w:rsidDel="00000000" w:rsidR="00000000" w:rsidRPr="00000000">
                  <w:rPr>
                    <w:rFonts w:ascii="Gungsuh" w:cs="Gungsuh" w:eastAsia="Gungsuh" w:hAnsi="Gungsuh"/>
                    <w:i w:val="0"/>
                    <w:color w:val="000000"/>
                    <w:sz w:val="22"/>
                    <w:szCs w:val="22"/>
                    <w:rtl w:val="0"/>
                  </w:rPr>
                  <w:t xml:space="preserve">騰訊重視科技創新，混元大模型在數學推導、邏輯推理和多輪對話等方面表現卓越，廣告AI模型顯著提升精準投放效果，推動業務高質量發展。</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3">
            <w:pPr>
              <w:spacing w:after="0" w:before="0" w:lineRule="auto"/>
              <w:ind w:left="0" w:firstLine="0"/>
              <w:jc w:val="left"/>
              <w:rPr/>
            </w:pPr>
            <w:r w:rsidDel="00000000" w:rsidR="00000000" w:rsidRPr="00000000">
              <w:rPr>
                <w:b w:val="0"/>
                <w:i w:val="0"/>
                <w:color w:val="000000"/>
                <w:sz w:val="22"/>
                <w:szCs w:val="22"/>
                <w:rtl w:val="0"/>
              </w:rPr>
              <w:t xml:space="preserve">Product 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4">
            <w:pPr>
              <w:spacing w:after="0" w:before="0" w:lineRule="auto"/>
              <w:ind w:left="0" w:firstLine="0"/>
              <w:jc w:val="left"/>
              <w:rPr/>
            </w:pPr>
            <w:sdt>
              <w:sdtPr>
                <w:id w:val="1311828294"/>
                <w:tag w:val="goog_rdk_9"/>
              </w:sdtPr>
              <w:sdtContent>
                <w:r w:rsidDel="00000000" w:rsidR="00000000" w:rsidRPr="00000000">
                  <w:rPr>
                    <w:rFonts w:ascii="Gungsuh" w:cs="Gungsuh" w:eastAsia="Gungsuh" w:hAnsi="Gungsuh"/>
                    <w:i w:val="0"/>
                    <w:color w:val="000000"/>
                    <w:sz w:val="22"/>
                    <w:szCs w:val="22"/>
                    <w:rtl w:val="0"/>
                  </w:rPr>
                  <w:t xml:space="preserve">產品線多元且領先，包括微信、視頻號、騰訊視頻、騰訊音樂、長青遊戲等，均在中國市場保持領先地位。視頻號用戶時長、視頻和音樂付費會員數持續增長，長青遊戲組合擴展至14款，產品具備持續增長潛力。</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5">
            <w:pPr>
              <w:spacing w:after="0" w:before="0" w:lineRule="auto"/>
              <w:ind w:left="0" w:firstLine="0"/>
              <w:jc w:val="left"/>
              <w:rPr/>
            </w:pPr>
            <w:sdt>
              <w:sdtPr>
                <w:id w:val="1656114104"/>
                <w:tag w:val="goog_rdk_10"/>
              </w:sdtPr>
              <w:sdtContent>
                <w:r w:rsidDel="00000000" w:rsidR="00000000" w:rsidRPr="00000000">
                  <w:rPr>
                    <w:rFonts w:ascii="Gungsuh" w:cs="Gungsuh" w:eastAsia="Gungsuh" w:hAnsi="Gungsuh"/>
                    <w:i w:val="0"/>
                    <w:color w:val="000000"/>
                    <w:sz w:val="22"/>
                    <w:szCs w:val="22"/>
                    <w:rtl w:val="0"/>
                  </w:rPr>
                  <w:t xml:space="preserve">產品組合豐富，視頻號用戶時長翻番，國際市場遊戲收入佔比創新高。</w:t>
                </w:r>
              </w:sdtContent>
            </w:sdt>
            <w:sdt>
              <w:sdtPr>
                <w:id w:val="-1055170686"/>
                <w:tag w:val="goog_rdk_11"/>
              </w:sdtPr>
              <w:sdtContent>
                <w:r w:rsidDel="00000000" w:rsidR="00000000" w:rsidRPr="00000000">
                  <w:rPr>
                    <w:rFonts w:ascii="Arial Unicode MS" w:cs="Arial Unicode MS" w:eastAsia="Arial Unicode MS" w:hAnsi="Arial Unicode MS"/>
                    <w:color w:val="131314"/>
                    <w:sz w:val="21"/>
                    <w:szCs w:val="21"/>
                    <w:highlight w:val="white"/>
                    <w:rtl w:val="0"/>
                  </w:rPr>
                  <w:t xml:space="preserve">騰訊視頻和TME擴大了在長視頻和音樂流媒體行業中的領先地位，長青遊戲組合穩健。</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6">
            <w:pPr>
              <w:spacing w:after="0" w:before="0" w:lineRule="auto"/>
              <w:ind w:left="0" w:firstLine="0"/>
              <w:jc w:val="left"/>
              <w:rPr/>
            </w:pPr>
            <w:r w:rsidDel="00000000" w:rsidR="00000000" w:rsidRPr="00000000">
              <w:rPr>
                <w:b w:val="0"/>
                <w:i w:val="0"/>
                <w:color w:val="000000"/>
                <w:sz w:val="22"/>
                <w:szCs w:val="22"/>
                <w:rtl w:val="0"/>
              </w:rPr>
              <w:t xml:space="preserve">Brand Recognition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7">
            <w:pPr>
              <w:spacing w:after="0" w:before="0" w:lineRule="auto"/>
              <w:ind w:left="0" w:firstLine="0"/>
              <w:jc w:val="left"/>
              <w:rPr/>
            </w:pPr>
            <w:sdt>
              <w:sdtPr>
                <w:id w:val="-2128514830"/>
                <w:tag w:val="goog_rdk_12"/>
              </w:sdtPr>
              <w:sdtContent>
                <w:r w:rsidDel="00000000" w:rsidR="00000000" w:rsidRPr="00000000">
                  <w:rPr>
                    <w:rFonts w:ascii="Gungsuh" w:cs="Gungsuh" w:eastAsia="Gungsuh" w:hAnsi="Gungsuh"/>
                    <w:i w:val="0"/>
                    <w:color w:val="000000"/>
                    <w:sz w:val="22"/>
                    <w:szCs w:val="22"/>
                    <w:rtl w:val="0"/>
                  </w:rPr>
                  <w:t xml:space="preserve">騰訊品牌認知度高，強調「用戶為本，科技向善」使命，積極推動公益、數字包容、環境保護等，鞏固品牌形象。公司是中國首家設立公益慈善基金會的互聯網企業，持續推動可持續社會價值創新。</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8">
            <w:pPr>
              <w:spacing w:after="0" w:before="0" w:lineRule="auto"/>
              <w:ind w:left="0" w:firstLine="0"/>
              <w:jc w:val="left"/>
              <w:rPr/>
            </w:pPr>
            <w:sdt>
              <w:sdtPr>
                <w:id w:val="1449559315"/>
                <w:tag w:val="goog_rdk_13"/>
              </w:sdtPr>
              <w:sdtContent>
                <w:r w:rsidDel="00000000" w:rsidR="00000000" w:rsidRPr="00000000">
                  <w:rPr>
                    <w:rFonts w:ascii="Gungsuh" w:cs="Gungsuh" w:eastAsia="Gungsuh" w:hAnsi="Gungsuh"/>
                    <w:i w:val="0"/>
                    <w:color w:val="000000"/>
                    <w:sz w:val="22"/>
                    <w:szCs w:val="22"/>
                    <w:rtl w:val="0"/>
                  </w:rPr>
                  <w:t xml:space="preserve">騰訊作為中國及全球領先的互聯網科技企業，品牌認知度極高，積極參與公益與社會責任，</w:t>
                </w:r>
              </w:sdtContent>
            </w:sdt>
            <w:sdt>
              <w:sdtPr>
                <w:id w:val="-1350785454"/>
                <w:tag w:val="goog_rdk_14"/>
              </w:sdtPr>
              <w:sdtContent>
                <w:r w:rsidDel="00000000" w:rsidR="00000000" w:rsidRPr="00000000">
                  <w:rPr>
                    <w:rFonts w:ascii="Arial Unicode MS" w:cs="Arial Unicode MS" w:eastAsia="Arial Unicode MS" w:hAnsi="Arial Unicode MS"/>
                    <w:color w:val="131314"/>
                    <w:sz w:val="21"/>
                    <w:szCs w:val="21"/>
                    <w:highlight w:val="white"/>
                    <w:rtl w:val="0"/>
                  </w:rPr>
                  <w:t xml:space="preserve">其騰訊數字公益平台已發展成為全球最大的數字公益服務平台之一，</w:t>
                </w:r>
              </w:sdtContent>
            </w:sdt>
            <w:sdt>
              <w:sdtPr>
                <w:id w:val="-1436042665"/>
                <w:tag w:val="goog_rdk_15"/>
              </w:sdtPr>
              <w:sdtContent>
                <w:r w:rsidDel="00000000" w:rsidR="00000000" w:rsidRPr="00000000">
                  <w:rPr>
                    <w:rFonts w:ascii="Gungsuh" w:cs="Gungsuh" w:eastAsia="Gungsuh" w:hAnsi="Gungsuh"/>
                    <w:i w:val="0"/>
                    <w:color w:val="000000"/>
                    <w:sz w:val="22"/>
                    <w:szCs w:val="22"/>
                    <w:rtl w:val="0"/>
                  </w:rPr>
                  <w:t xml:space="preserve">99公益日創下公眾捐款記錄，提升品牌社會責任感。</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9">
            <w:pPr>
              <w:spacing w:after="0" w:before="0" w:lineRule="auto"/>
              <w:ind w:left="0" w:firstLine="0"/>
              <w:jc w:val="left"/>
              <w:rPr/>
            </w:pPr>
            <w:r w:rsidDel="00000000" w:rsidR="00000000" w:rsidRPr="00000000">
              <w:rPr>
                <w:b w:val="0"/>
                <w:i w:val="0"/>
                <w:color w:val="000000"/>
                <w:sz w:val="22"/>
                <w:szCs w:val="22"/>
                <w:rtl w:val="0"/>
              </w:rPr>
              <w:t xml:space="preserve">Reputation Ratings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A">
            <w:pPr>
              <w:spacing w:after="0" w:before="0" w:lineRule="auto"/>
              <w:ind w:left="0" w:firstLine="0"/>
              <w:jc w:val="left"/>
              <w:rPr/>
            </w:pPr>
            <w:sdt>
              <w:sdtPr>
                <w:id w:val="-2036765040"/>
                <w:tag w:val="goog_rdk_16"/>
              </w:sdtPr>
              <w:sdtContent>
                <w:r w:rsidDel="00000000" w:rsidR="00000000" w:rsidRPr="00000000">
                  <w:rPr>
                    <w:rFonts w:ascii="Gungsuh" w:cs="Gungsuh" w:eastAsia="Gungsuh" w:hAnsi="Gungsuh"/>
                    <w:i w:val="0"/>
                    <w:color w:val="000000"/>
                    <w:sz w:val="22"/>
                    <w:szCs w:val="22"/>
                    <w:rtl w:val="0"/>
                  </w:rPr>
                  <w:t xml:space="preserve">騰訊高度重視聲譽管理，建立完善的危機處理、公關與聲譽管理機制，強調公開透明、及時溝通。公司持續加強信息安全與數據保護，獲多項權威認證，積極應對全球監管與地緣政治挑戰，維護良好聲譽。</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B">
            <w:pPr>
              <w:spacing w:after="0" w:before="0" w:lineRule="auto"/>
              <w:ind w:left="0" w:firstLine="0"/>
              <w:jc w:val="left"/>
              <w:rPr/>
            </w:pPr>
            <w:sdt>
              <w:sdtPr>
                <w:id w:val="-1405401681"/>
                <w:tag w:val="goog_rdk_17"/>
              </w:sdtPr>
              <w:sdtContent>
                <w:r w:rsidDel="00000000" w:rsidR="00000000" w:rsidRPr="00000000">
                  <w:rPr>
                    <w:rFonts w:ascii="Gungsuh" w:cs="Gungsuh" w:eastAsia="Gungsuh" w:hAnsi="Gungsuh"/>
                    <w:i w:val="0"/>
                    <w:color w:val="000000"/>
                    <w:sz w:val="22"/>
                    <w:szCs w:val="22"/>
                    <w:rtl w:val="0"/>
                  </w:rPr>
                  <w:t xml:space="preserve">公司建立危機處理、公關與聲譽管理機制，重視信息安全與數據保護，獲得多項權威認證，並強調公開透明、及時溝通，維護良好聲譽。</w:t>
                </w:r>
              </w:sdtContent>
            </w:sdt>
            <w:r w:rsidDel="00000000" w:rsidR="00000000" w:rsidRPr="00000000">
              <w:rPr>
                <w:rtl w:val="0"/>
              </w:rPr>
            </w:r>
          </w:p>
        </w:tc>
      </w:tr>
    </w:tbl>
    <w:p w:rsidR="00000000" w:rsidDel="00000000" w:rsidP="00000000" w:rsidRDefault="00000000" w:rsidRPr="00000000" w14:paraId="0000001C">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1D">
      <w:pPr>
        <w:spacing w:after="180" w:before="180" w:lineRule="auto"/>
        <w:ind w:left="0" w:firstLine="0"/>
        <w:jc w:val="left"/>
        <w:rPr/>
      </w:pPr>
      <w:r w:rsidDel="00000000" w:rsidR="00000000" w:rsidRPr="00000000">
        <w:rPr>
          <w:b w:val="1"/>
          <w:i w:val="0"/>
          <w:color w:val="000000"/>
          <w:sz w:val="33"/>
          <w:szCs w:val="33"/>
          <w:rtl w:val="0"/>
        </w:rPr>
        <w:t xml:space="preserve">S1.3 : Mission &amp; Vision</w:t>
      </w:r>
      <w:r w:rsidDel="00000000" w:rsidR="00000000" w:rsidRPr="00000000">
        <w:rPr>
          <w:rtl w:val="0"/>
        </w:rPr>
      </w:r>
    </w:p>
    <w:tbl>
      <w:tblPr>
        <w:tblStyle w:val="Table3"/>
        <w:tblW w:w="549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460"/>
        <w:gridCol w:w="3030"/>
        <w:tblGridChange w:id="0">
          <w:tblGrid>
            <w:gridCol w:w="2460"/>
            <w:gridCol w:w="30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E">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spacing w:after="0" w:before="0" w:lineRule="auto"/>
              <w:ind w:left="0" w:firstLine="0"/>
              <w:jc w:val="left"/>
              <w:rPr/>
            </w:pPr>
            <w:r w:rsidDel="00000000" w:rsidR="00000000" w:rsidRPr="00000000">
              <w:rPr>
                <w:b w:val="1"/>
                <w:i w:val="0"/>
                <w:color w:val="000000"/>
                <w:sz w:val="22"/>
                <w:szCs w:val="22"/>
                <w:rtl w:val="0"/>
              </w:rPr>
              <w:t xml:space="preserve">Value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0">
            <w:pPr>
              <w:spacing w:after="0" w:before="0" w:lineRule="auto"/>
              <w:ind w:left="0" w:firstLine="0"/>
              <w:jc w:val="left"/>
              <w:rPr/>
            </w:pPr>
            <w:r w:rsidDel="00000000" w:rsidR="00000000" w:rsidRPr="00000000">
              <w:rPr>
                <w:b w:val="0"/>
                <w:i w:val="0"/>
                <w:color w:val="000000"/>
                <w:sz w:val="22"/>
                <w:szCs w:val="22"/>
                <w:rtl w:val="0"/>
              </w:rPr>
              <w:t xml:space="preserve">Mission Statement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1">
            <w:pPr>
              <w:spacing w:after="0" w:before="0" w:lineRule="auto"/>
              <w:ind w:left="0" w:firstLine="0"/>
              <w:jc w:val="left"/>
              <w:rPr/>
            </w:pPr>
            <w:sdt>
              <w:sdtPr>
                <w:id w:val="1624066847"/>
                <w:tag w:val="goog_rdk_18"/>
              </w:sdtPr>
              <w:sdtContent>
                <w:r w:rsidDel="00000000" w:rsidR="00000000" w:rsidRPr="00000000">
                  <w:rPr>
                    <w:rFonts w:ascii="Gungsuh" w:cs="Gungsuh" w:eastAsia="Gungsuh" w:hAnsi="Gungsuh"/>
                    <w:b w:val="0"/>
                    <w:i w:val="0"/>
                    <w:color w:val="000000"/>
                    <w:sz w:val="22"/>
                    <w:szCs w:val="22"/>
                    <w:rtl w:val="0"/>
                  </w:rPr>
                  <w:t xml:space="preserve">用戶為本,科技向善</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2">
            <w:pPr>
              <w:spacing w:after="0" w:before="0" w:lineRule="auto"/>
              <w:ind w:left="0" w:firstLine="0"/>
              <w:jc w:val="left"/>
              <w:rPr/>
            </w:pPr>
            <w:r w:rsidDel="00000000" w:rsidR="00000000" w:rsidRPr="00000000">
              <w:rPr>
                <w:b w:val="0"/>
                <w:i w:val="0"/>
                <w:color w:val="000000"/>
                <w:sz w:val="22"/>
                <w:szCs w:val="22"/>
                <w:rtl w:val="0"/>
              </w:rPr>
              <w:t xml:space="preserve">Vision Statement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3">
            <w:pPr>
              <w:spacing w:after="0" w:before="0" w:lineRule="auto"/>
              <w:ind w:left="0" w:firstLine="0"/>
              <w:jc w:val="left"/>
              <w:rPr/>
            </w:pPr>
            <w:sdt>
              <w:sdtPr>
                <w:id w:val="801902217"/>
                <w:tag w:val="goog_rdk_19"/>
              </w:sdtPr>
              <w:sdtContent>
                <w:r w:rsidDel="00000000" w:rsidR="00000000" w:rsidRPr="00000000">
                  <w:rPr>
                    <w:rFonts w:ascii="Gungsuh" w:cs="Gungsuh" w:eastAsia="Gungsuh" w:hAnsi="Gungsuh"/>
                    <w:b w:val="0"/>
                    <w:i w:val="0"/>
                    <w:color w:val="000000"/>
                    <w:sz w:val="22"/>
                    <w:szCs w:val="22"/>
                    <w:rtl w:val="0"/>
                  </w:rPr>
                  <w:t xml:space="preserve">智慧溝通 靈感無限</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4">
            <w:pPr>
              <w:spacing w:after="0" w:before="0" w:lineRule="auto"/>
              <w:ind w:left="0" w:firstLine="0"/>
              <w:jc w:val="left"/>
              <w:rPr/>
            </w:pPr>
            <w:r w:rsidDel="00000000" w:rsidR="00000000" w:rsidRPr="00000000">
              <w:rPr>
                <w:b w:val="0"/>
                <w:i w:val="0"/>
                <w:color w:val="000000"/>
                <w:sz w:val="22"/>
                <w:szCs w:val="22"/>
                <w:rtl w:val="0"/>
              </w:rPr>
              <w:t xml:space="preserve">Core Values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5">
            <w:pPr>
              <w:spacing w:after="0" w:before="0" w:lineRule="auto"/>
              <w:ind w:left="0" w:firstLine="0"/>
              <w:jc w:val="left"/>
              <w:rPr/>
            </w:pPr>
            <w:sdt>
              <w:sdtPr>
                <w:id w:val="603367495"/>
                <w:tag w:val="goog_rdk_20"/>
              </w:sdtPr>
              <w:sdtContent>
                <w:r w:rsidDel="00000000" w:rsidR="00000000" w:rsidRPr="00000000">
                  <w:rPr>
                    <w:rFonts w:ascii="Gungsuh" w:cs="Gungsuh" w:eastAsia="Gungsuh" w:hAnsi="Gungsuh"/>
                    <w:b w:val="0"/>
                    <w:i w:val="0"/>
                    <w:color w:val="000000"/>
                    <w:sz w:val="22"/>
                    <w:szCs w:val="22"/>
                    <w:rtl w:val="0"/>
                  </w:rPr>
                  <w:t xml:space="preserve">正直、進取、協作、創造</w:t>
                </w:r>
              </w:sdtContent>
            </w:sdt>
            <w:r w:rsidDel="00000000" w:rsidR="00000000" w:rsidRPr="00000000">
              <w:rPr>
                <w:rtl w:val="0"/>
              </w:rPr>
            </w:r>
          </w:p>
        </w:tc>
      </w:tr>
    </w:tbl>
    <w:p w:rsidR="00000000" w:rsidDel="00000000" w:rsidP="00000000" w:rsidRDefault="00000000" w:rsidRPr="00000000" w14:paraId="00000026">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27">
      <w:pPr>
        <w:spacing w:after="161" w:before="161" w:lineRule="auto"/>
        <w:ind w:left="0" w:firstLine="0"/>
        <w:jc w:val="left"/>
        <w:rPr/>
      </w:pPr>
      <w:r w:rsidDel="00000000" w:rsidR="00000000" w:rsidRPr="00000000">
        <w:rPr>
          <w:b w:val="1"/>
          <w:i w:val="0"/>
          <w:color w:val="000000"/>
          <w:sz w:val="44"/>
          <w:szCs w:val="44"/>
          <w:rtl w:val="0"/>
        </w:rPr>
        <w:t xml:space="preserve">Section 2: Financial Performance</w:t>
      </w:r>
      <w:r w:rsidDel="00000000" w:rsidR="00000000" w:rsidRPr="00000000">
        <w:rPr>
          <w:rtl w:val="0"/>
        </w:rPr>
      </w:r>
    </w:p>
    <w:p w:rsidR="00000000" w:rsidDel="00000000" w:rsidP="00000000" w:rsidRDefault="00000000" w:rsidRPr="00000000" w14:paraId="00000028">
      <w:pPr>
        <w:spacing w:after="180" w:before="180" w:lineRule="auto"/>
        <w:ind w:left="0" w:firstLine="0"/>
        <w:jc w:val="left"/>
        <w:rPr/>
      </w:pPr>
      <w:r w:rsidDel="00000000" w:rsidR="00000000" w:rsidRPr="00000000">
        <w:rPr>
          <w:b w:val="1"/>
          <w:i w:val="0"/>
          <w:color w:val="000000"/>
          <w:sz w:val="33"/>
          <w:szCs w:val="33"/>
          <w:rtl w:val="0"/>
        </w:rPr>
        <w:t xml:space="preserve">S2.1: Income Statement</w:t>
      </w:r>
      <w:r w:rsidDel="00000000" w:rsidR="00000000" w:rsidRPr="00000000">
        <w:rPr>
          <w:rtl w:val="0"/>
        </w:rPr>
      </w:r>
    </w:p>
    <w:tbl>
      <w:tblPr>
        <w:tblStyle w:val="Table4"/>
        <w:tblW w:w="9488.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705"/>
        <w:gridCol w:w="1314"/>
        <w:gridCol w:w="1314"/>
        <w:gridCol w:w="1314"/>
        <w:gridCol w:w="1465"/>
        <w:gridCol w:w="1376"/>
        <w:tblGridChange w:id="0">
          <w:tblGrid>
            <w:gridCol w:w="2705"/>
            <w:gridCol w:w="1314"/>
            <w:gridCol w:w="1314"/>
            <w:gridCol w:w="1314"/>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9">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A">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B">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C">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D">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E">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2F">
            <w:pPr>
              <w:spacing w:after="0" w:before="0" w:lineRule="auto"/>
              <w:ind w:left="0" w:firstLine="0"/>
              <w:jc w:val="left"/>
              <w:rPr/>
            </w:pPr>
            <w:r w:rsidDel="00000000" w:rsidR="00000000" w:rsidRPr="00000000">
              <w:rPr>
                <w:b w:val="0"/>
                <w:i w:val="0"/>
                <w:color w:val="000000"/>
                <w:sz w:val="22"/>
                <w:szCs w:val="22"/>
                <w:rtl w:val="0"/>
              </w:rPr>
              <w:t xml:space="preserve">Revenue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0">
            <w:pPr>
              <w:spacing w:after="0" w:before="0" w:lineRule="auto"/>
              <w:ind w:left="0" w:firstLine="0"/>
              <w:jc w:val="left"/>
              <w:rPr/>
            </w:pPr>
            <w:r w:rsidDel="00000000" w:rsidR="00000000" w:rsidRPr="00000000">
              <w:rPr>
                <w:b w:val="0"/>
                <w:i w:val="0"/>
                <w:color w:val="000000"/>
                <w:sz w:val="22"/>
                <w:szCs w:val="22"/>
                <w:rtl w:val="0"/>
              </w:rPr>
              <w:t xml:space="preserve">660,257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1">
            <w:pPr>
              <w:spacing w:after="0" w:before="0" w:lineRule="auto"/>
              <w:ind w:left="0" w:firstLine="0"/>
              <w:jc w:val="left"/>
              <w:rPr/>
            </w:pPr>
            <w:r w:rsidDel="00000000" w:rsidR="00000000" w:rsidRPr="00000000">
              <w:rPr>
                <w:b w:val="0"/>
                <w:i w:val="0"/>
                <w:color w:val="000000"/>
                <w:sz w:val="22"/>
                <w:szCs w:val="22"/>
                <w:rtl w:val="0"/>
              </w:rPr>
              <w:t xml:space="preserve">609,015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2">
            <w:pPr>
              <w:spacing w:after="0" w:before="0" w:lineRule="auto"/>
              <w:ind w:left="0" w:firstLine="0"/>
              <w:jc w:val="left"/>
              <w:rPr/>
            </w:pPr>
            <w:r w:rsidDel="00000000" w:rsidR="00000000" w:rsidRPr="00000000">
              <w:rPr>
                <w:b w:val="0"/>
                <w:i w:val="0"/>
                <w:color w:val="000000"/>
                <w:sz w:val="22"/>
                <w:szCs w:val="22"/>
                <w:rtl w:val="0"/>
              </w:rPr>
              <w:t xml:space="preserve">554,552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3">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4">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5">
            <w:pPr>
              <w:spacing w:after="0" w:before="0" w:lineRule="auto"/>
              <w:ind w:left="0" w:firstLine="0"/>
              <w:jc w:val="left"/>
              <w:rPr/>
            </w:pPr>
            <w:r w:rsidDel="00000000" w:rsidR="00000000" w:rsidRPr="00000000">
              <w:rPr>
                <w:b w:val="0"/>
                <w:i w:val="0"/>
                <w:color w:val="000000"/>
                <w:sz w:val="22"/>
                <w:szCs w:val="22"/>
                <w:rtl w:val="0"/>
              </w:rPr>
              <w:t xml:space="preserve">Cost of Goods Sold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6">
            <w:pPr>
              <w:spacing w:after="0" w:before="0" w:lineRule="auto"/>
              <w:ind w:left="0" w:firstLine="0"/>
              <w:jc w:val="left"/>
              <w:rPr/>
            </w:pPr>
            <w:r w:rsidDel="00000000" w:rsidR="00000000" w:rsidRPr="00000000">
              <w:rPr>
                <w:b w:val="0"/>
                <w:i w:val="0"/>
                <w:color w:val="000000"/>
                <w:sz w:val="22"/>
                <w:szCs w:val="22"/>
                <w:rtl w:val="0"/>
              </w:rPr>
              <w:t xml:space="preserve">(311,011)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7">
            <w:pPr>
              <w:spacing w:after="0" w:before="0" w:lineRule="auto"/>
              <w:ind w:left="0" w:firstLine="0"/>
              <w:jc w:val="left"/>
              <w:rPr/>
            </w:pPr>
            <w:r w:rsidDel="00000000" w:rsidR="00000000" w:rsidRPr="00000000">
              <w:rPr>
                <w:b w:val="0"/>
                <w:i w:val="0"/>
                <w:color w:val="000000"/>
                <w:sz w:val="22"/>
                <w:szCs w:val="22"/>
                <w:rtl w:val="0"/>
              </w:rPr>
              <w:t xml:space="preserve">(315,906)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8">
            <w:pPr>
              <w:spacing w:after="0" w:before="0" w:lineRule="auto"/>
              <w:ind w:left="0" w:firstLine="0"/>
              <w:jc w:val="left"/>
              <w:rPr/>
            </w:pPr>
            <w:r w:rsidDel="00000000" w:rsidR="00000000" w:rsidRPr="00000000">
              <w:rPr>
                <w:b w:val="0"/>
                <w:i w:val="0"/>
                <w:color w:val="000000"/>
                <w:sz w:val="22"/>
                <w:szCs w:val="22"/>
                <w:rtl w:val="0"/>
              </w:rPr>
              <w:t xml:space="preserve">(315,806)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9">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A">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B">
            <w:pPr>
              <w:spacing w:after="0" w:before="0" w:lineRule="auto"/>
              <w:ind w:left="0" w:firstLine="0"/>
              <w:jc w:val="left"/>
              <w:rPr/>
            </w:pPr>
            <w:r w:rsidDel="00000000" w:rsidR="00000000" w:rsidRPr="00000000">
              <w:rPr>
                <w:b w:val="0"/>
                <w:i w:val="0"/>
                <w:color w:val="000000"/>
                <w:sz w:val="22"/>
                <w:szCs w:val="22"/>
                <w:rtl w:val="0"/>
              </w:rPr>
              <w:t xml:space="preserve">Gross Profit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C">
            <w:pPr>
              <w:spacing w:after="0" w:before="0" w:lineRule="auto"/>
              <w:ind w:left="0" w:firstLine="0"/>
              <w:jc w:val="left"/>
              <w:rPr/>
            </w:pPr>
            <w:r w:rsidDel="00000000" w:rsidR="00000000" w:rsidRPr="00000000">
              <w:rPr>
                <w:b w:val="0"/>
                <w:i w:val="0"/>
                <w:color w:val="000000"/>
                <w:sz w:val="22"/>
                <w:szCs w:val="22"/>
                <w:rtl w:val="0"/>
              </w:rPr>
              <w:t xml:space="preserve">349,246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D">
            <w:pPr>
              <w:spacing w:after="0" w:before="0" w:lineRule="auto"/>
              <w:ind w:left="0" w:firstLine="0"/>
              <w:jc w:val="left"/>
              <w:rPr/>
            </w:pPr>
            <w:r w:rsidDel="00000000" w:rsidR="00000000" w:rsidRPr="00000000">
              <w:rPr>
                <w:b w:val="0"/>
                <w:i w:val="0"/>
                <w:color w:val="000000"/>
                <w:sz w:val="22"/>
                <w:szCs w:val="22"/>
                <w:rtl w:val="0"/>
              </w:rPr>
              <w:t xml:space="preserve">293,109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E">
            <w:pPr>
              <w:spacing w:after="0" w:before="0" w:lineRule="auto"/>
              <w:ind w:left="0" w:firstLine="0"/>
              <w:jc w:val="left"/>
              <w:rPr/>
            </w:pPr>
            <w:r w:rsidDel="00000000" w:rsidR="00000000" w:rsidRPr="00000000">
              <w:rPr>
                <w:b w:val="0"/>
                <w:i w:val="0"/>
                <w:color w:val="000000"/>
                <w:sz w:val="22"/>
                <w:szCs w:val="22"/>
                <w:rtl w:val="0"/>
              </w:rPr>
              <w:t xml:space="preserve">238,746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3F">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0">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1">
            <w:pPr>
              <w:spacing w:after="0" w:before="0" w:lineRule="auto"/>
              <w:ind w:left="0" w:firstLine="0"/>
              <w:jc w:val="left"/>
              <w:rPr/>
            </w:pPr>
            <w:r w:rsidDel="00000000" w:rsidR="00000000" w:rsidRPr="00000000">
              <w:rPr>
                <w:b w:val="0"/>
                <w:i w:val="0"/>
                <w:color w:val="000000"/>
                <w:sz w:val="22"/>
                <w:szCs w:val="22"/>
                <w:rtl w:val="0"/>
              </w:rPr>
              <w:t xml:space="preserve">Operating Expense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2">
            <w:pPr>
              <w:spacing w:after="0" w:before="0" w:lineRule="auto"/>
              <w:ind w:left="0" w:firstLine="0"/>
              <w:jc w:val="left"/>
              <w:rPr/>
            </w:pPr>
            <w:r w:rsidDel="00000000" w:rsidR="00000000" w:rsidRPr="00000000">
              <w:rPr>
                <w:b w:val="0"/>
                <w:i w:val="0"/>
                <w:color w:val="000000"/>
                <w:sz w:val="22"/>
                <w:szCs w:val="22"/>
                <w:rtl w:val="0"/>
              </w:rPr>
              <w:t xml:space="preserve">(149,149)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spacing w:after="0" w:before="0" w:lineRule="auto"/>
              <w:ind w:left="0" w:firstLine="0"/>
              <w:jc w:val="left"/>
              <w:rPr/>
            </w:pPr>
            <w:r w:rsidDel="00000000" w:rsidR="00000000" w:rsidRPr="00000000">
              <w:rPr>
                <w:b w:val="0"/>
                <w:i w:val="0"/>
                <w:color w:val="000000"/>
                <w:sz w:val="22"/>
                <w:szCs w:val="22"/>
                <w:rtl w:val="0"/>
              </w:rPr>
              <w:t xml:space="preserve">(137,736)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4">
            <w:pPr>
              <w:spacing w:after="0" w:before="0" w:lineRule="auto"/>
              <w:ind w:left="0" w:firstLine="0"/>
              <w:jc w:val="left"/>
              <w:rPr/>
            </w:pPr>
            <w:r w:rsidDel="00000000" w:rsidR="00000000" w:rsidRPr="00000000">
              <w:rPr>
                <w:b w:val="0"/>
                <w:i w:val="0"/>
                <w:color w:val="000000"/>
                <w:sz w:val="22"/>
                <w:szCs w:val="22"/>
                <w:rtl w:val="0"/>
              </w:rPr>
              <w:t xml:space="preserve">(135,925)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5">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6">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7">
            <w:pPr>
              <w:spacing w:after="0" w:before="0" w:lineRule="auto"/>
              <w:ind w:left="0" w:firstLine="0"/>
              <w:jc w:val="left"/>
              <w:rPr/>
            </w:pPr>
            <w:r w:rsidDel="00000000" w:rsidR="00000000" w:rsidRPr="00000000">
              <w:rPr>
                <w:b w:val="0"/>
                <w:i w:val="0"/>
                <w:color w:val="000000"/>
                <w:sz w:val="22"/>
                <w:szCs w:val="22"/>
                <w:rtl w:val="0"/>
              </w:rPr>
              <w:t xml:space="preserve">Operating income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8">
            <w:pPr>
              <w:spacing w:after="0" w:before="0" w:lineRule="auto"/>
              <w:ind w:left="0" w:firstLine="0"/>
              <w:jc w:val="left"/>
              <w:rPr/>
            </w:pPr>
            <w:r w:rsidDel="00000000" w:rsidR="00000000" w:rsidRPr="00000000">
              <w:rPr>
                <w:b w:val="0"/>
                <w:i w:val="0"/>
                <w:color w:val="000000"/>
                <w:sz w:val="22"/>
                <w:szCs w:val="22"/>
                <w:rtl w:val="0"/>
              </w:rPr>
              <w:t xml:space="preserve">208,099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spacing w:after="0" w:before="0" w:lineRule="auto"/>
              <w:ind w:left="0" w:firstLine="0"/>
              <w:jc w:val="left"/>
              <w:rPr/>
            </w:pPr>
            <w:r w:rsidDel="00000000" w:rsidR="00000000" w:rsidRPr="00000000">
              <w:rPr>
                <w:b w:val="0"/>
                <w:i w:val="0"/>
                <w:color w:val="000000"/>
                <w:sz w:val="22"/>
                <w:szCs w:val="22"/>
                <w:rtl w:val="0"/>
              </w:rPr>
              <w:t xml:space="preserve">160,074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spacing w:after="0" w:before="0" w:lineRule="auto"/>
              <w:ind w:left="0" w:firstLine="0"/>
              <w:jc w:val="left"/>
              <w:rPr/>
            </w:pPr>
            <w:r w:rsidDel="00000000" w:rsidR="00000000" w:rsidRPr="00000000">
              <w:rPr>
                <w:b w:val="0"/>
                <w:i w:val="0"/>
                <w:color w:val="000000"/>
                <w:sz w:val="22"/>
                <w:szCs w:val="22"/>
                <w:rtl w:val="0"/>
              </w:rPr>
              <w:t xml:space="preserve">110,827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B">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C">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D">
            <w:pPr>
              <w:spacing w:after="0" w:before="0" w:lineRule="auto"/>
              <w:ind w:left="0" w:firstLine="0"/>
              <w:jc w:val="left"/>
              <w:rPr/>
            </w:pPr>
            <w:r w:rsidDel="00000000" w:rsidR="00000000" w:rsidRPr="00000000">
              <w:rPr>
                <w:b w:val="0"/>
                <w:i w:val="0"/>
                <w:color w:val="000000"/>
                <w:sz w:val="22"/>
                <w:szCs w:val="22"/>
                <w:rtl w:val="0"/>
              </w:rPr>
              <w:t xml:space="preserve">Income before income taxes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E">
            <w:pPr>
              <w:spacing w:after="0" w:before="0" w:lineRule="auto"/>
              <w:ind w:left="0" w:firstLine="0"/>
              <w:jc w:val="left"/>
              <w:rPr/>
            </w:pPr>
            <w:r w:rsidDel="00000000" w:rsidR="00000000" w:rsidRPr="00000000">
              <w:rPr>
                <w:b w:val="0"/>
                <w:i w:val="0"/>
                <w:color w:val="000000"/>
                <w:sz w:val="22"/>
                <w:szCs w:val="22"/>
                <w:rtl w:val="0"/>
              </w:rPr>
              <w:t xml:space="preserve">241,485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F">
            <w:pPr>
              <w:spacing w:after="0" w:before="0" w:lineRule="auto"/>
              <w:ind w:left="0" w:firstLine="0"/>
              <w:jc w:val="left"/>
              <w:rPr/>
            </w:pPr>
            <w:r w:rsidDel="00000000" w:rsidR="00000000" w:rsidRPr="00000000">
              <w:rPr>
                <w:b w:val="0"/>
                <w:i w:val="0"/>
                <w:color w:val="000000"/>
                <w:sz w:val="22"/>
                <w:szCs w:val="22"/>
                <w:rtl w:val="0"/>
              </w:rPr>
              <w:t xml:space="preserve">161,324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0">
            <w:pPr>
              <w:spacing w:after="0" w:before="0" w:lineRule="auto"/>
              <w:ind w:left="0" w:firstLine="0"/>
              <w:jc w:val="left"/>
              <w:rPr/>
            </w:pPr>
            <w:r w:rsidDel="00000000" w:rsidR="00000000" w:rsidRPr="00000000">
              <w:rPr>
                <w:b w:val="0"/>
                <w:i w:val="0"/>
                <w:color w:val="000000"/>
                <w:sz w:val="22"/>
                <w:szCs w:val="22"/>
                <w:rtl w:val="0"/>
              </w:rPr>
              <w:t xml:space="preserve">210,225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1">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spacing w:after="0" w:before="0" w:lineRule="auto"/>
              <w:ind w:left="0" w:firstLine="0"/>
              <w:jc w:val="left"/>
              <w:rPr/>
            </w:pPr>
            <w:r w:rsidDel="00000000" w:rsidR="00000000" w:rsidRPr="00000000">
              <w:rPr>
                <w:b w:val="0"/>
                <w:i w:val="0"/>
                <w:color w:val="000000"/>
                <w:sz w:val="22"/>
                <w:szCs w:val="22"/>
                <w:rtl w:val="0"/>
              </w:rPr>
              <w:t xml:space="preserve">Income tax expense(benefit)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4">
            <w:pPr>
              <w:spacing w:after="0" w:before="0" w:lineRule="auto"/>
              <w:ind w:left="0" w:firstLine="0"/>
              <w:jc w:val="left"/>
              <w:rPr/>
            </w:pPr>
            <w:r w:rsidDel="00000000" w:rsidR="00000000" w:rsidRPr="00000000">
              <w:rPr>
                <w:b w:val="0"/>
                <w:i w:val="0"/>
                <w:color w:val="000000"/>
                <w:sz w:val="22"/>
                <w:szCs w:val="22"/>
                <w:rtl w:val="0"/>
              </w:rPr>
              <w:t xml:space="preserve">(45,018)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5">
            <w:pPr>
              <w:spacing w:after="0" w:before="0" w:lineRule="auto"/>
              <w:ind w:left="0" w:firstLine="0"/>
              <w:jc w:val="left"/>
              <w:rPr/>
            </w:pPr>
            <w:r w:rsidDel="00000000" w:rsidR="00000000" w:rsidRPr="00000000">
              <w:rPr>
                <w:b w:val="0"/>
                <w:i w:val="0"/>
                <w:color w:val="000000"/>
                <w:sz w:val="22"/>
                <w:szCs w:val="22"/>
                <w:rtl w:val="0"/>
              </w:rPr>
              <w:t xml:space="preserve">(43,276)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6">
            <w:pPr>
              <w:spacing w:after="0" w:before="0" w:lineRule="auto"/>
              <w:ind w:left="0" w:firstLine="0"/>
              <w:jc w:val="left"/>
              <w:rPr/>
            </w:pPr>
            <w:r w:rsidDel="00000000" w:rsidR="00000000" w:rsidRPr="00000000">
              <w:rPr>
                <w:b w:val="0"/>
                <w:i w:val="0"/>
                <w:color w:val="000000"/>
                <w:sz w:val="22"/>
                <w:szCs w:val="22"/>
                <w:rtl w:val="0"/>
              </w:rPr>
              <w:t xml:space="preserve">(21,516)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7">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8">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9">
            <w:pPr>
              <w:spacing w:after="0" w:before="0" w:lineRule="auto"/>
              <w:ind w:left="0" w:firstLine="0"/>
              <w:jc w:val="left"/>
              <w:rPr/>
            </w:pPr>
            <w:r w:rsidDel="00000000" w:rsidR="00000000" w:rsidRPr="00000000">
              <w:rPr>
                <w:b w:val="0"/>
                <w:i w:val="0"/>
                <w:color w:val="000000"/>
                <w:sz w:val="22"/>
                <w:szCs w:val="22"/>
                <w:rtl w:val="0"/>
              </w:rPr>
              <w:t xml:space="preserve">Net Profit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A">
            <w:pPr>
              <w:spacing w:after="0" w:before="0" w:lineRule="auto"/>
              <w:ind w:left="0" w:firstLine="0"/>
              <w:jc w:val="left"/>
              <w:rPr/>
            </w:pPr>
            <w:r w:rsidDel="00000000" w:rsidR="00000000" w:rsidRPr="00000000">
              <w:rPr>
                <w:b w:val="0"/>
                <w:i w:val="0"/>
                <w:color w:val="000000"/>
                <w:sz w:val="22"/>
                <w:szCs w:val="22"/>
                <w:rtl w:val="0"/>
              </w:rPr>
              <w:t xml:space="preserve">196,467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B">
            <w:pPr>
              <w:spacing w:after="0" w:before="0" w:lineRule="auto"/>
              <w:ind w:left="0" w:firstLine="0"/>
              <w:jc w:val="left"/>
              <w:rPr/>
            </w:pPr>
            <w:r w:rsidDel="00000000" w:rsidR="00000000" w:rsidRPr="00000000">
              <w:rPr>
                <w:b w:val="0"/>
                <w:i w:val="0"/>
                <w:color w:val="000000"/>
                <w:sz w:val="22"/>
                <w:szCs w:val="22"/>
                <w:rtl w:val="0"/>
              </w:rPr>
              <w:t xml:space="preserve">118,048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C">
            <w:pPr>
              <w:spacing w:after="0" w:before="0" w:lineRule="auto"/>
              <w:ind w:left="0" w:firstLine="0"/>
              <w:jc w:val="left"/>
              <w:rPr/>
            </w:pPr>
            <w:r w:rsidDel="00000000" w:rsidR="00000000" w:rsidRPr="00000000">
              <w:rPr>
                <w:b w:val="0"/>
                <w:i w:val="0"/>
                <w:color w:val="000000"/>
                <w:sz w:val="22"/>
                <w:szCs w:val="22"/>
                <w:rtl w:val="0"/>
              </w:rPr>
              <w:t xml:space="preserve">188,709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D">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E">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F">
            <w:pPr>
              <w:spacing w:after="0" w:before="0" w:lineRule="auto"/>
              <w:ind w:left="0" w:firstLine="0"/>
              <w:jc w:val="left"/>
              <w:rPr/>
            </w:pPr>
            <w:r w:rsidDel="00000000" w:rsidR="00000000" w:rsidRPr="00000000">
              <w:rPr>
                <w:b w:val="0"/>
                <w:i w:val="0"/>
                <w:color w:val="000000"/>
                <w:sz w:val="22"/>
                <w:szCs w:val="22"/>
                <w:rtl w:val="0"/>
              </w:rPr>
              <w:t xml:space="preserve">Interest Expense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0">
            <w:pPr>
              <w:spacing w:after="0" w:before="0" w:lineRule="auto"/>
              <w:ind w:left="0" w:firstLine="0"/>
              <w:jc w:val="left"/>
              <w:rPr/>
            </w:pPr>
            <w:r w:rsidDel="00000000" w:rsidR="00000000" w:rsidRPr="00000000">
              <w:rPr>
                <w:b w:val="0"/>
                <w:i w:val="0"/>
                <w:color w:val="000000"/>
                <w:sz w:val="22"/>
                <w:szCs w:val="22"/>
                <w:rtl w:val="0"/>
              </w:rPr>
              <w:t xml:space="preserve">(</w:t>
            </w:r>
            <w:r w:rsidDel="00000000" w:rsidR="00000000" w:rsidRPr="00000000">
              <w:rPr>
                <w:rtl w:val="0"/>
              </w:rPr>
              <w:t xml:space="preserve">12447</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1">
            <w:pPr>
              <w:spacing w:after="0" w:before="0" w:lineRule="auto"/>
              <w:ind w:left="0" w:firstLine="0"/>
              <w:jc w:val="left"/>
              <w:rPr/>
            </w:pPr>
            <w:r w:rsidDel="00000000" w:rsidR="00000000" w:rsidRPr="00000000">
              <w:rPr>
                <w:b w:val="0"/>
                <w:i w:val="0"/>
                <w:color w:val="000000"/>
                <w:sz w:val="22"/>
                <w:szCs w:val="22"/>
                <w:rtl w:val="0"/>
              </w:rPr>
              <w:t xml:space="preserve">(</w:t>
            </w:r>
            <w:r w:rsidDel="00000000" w:rsidR="00000000" w:rsidRPr="00000000">
              <w:rPr>
                <w:rtl w:val="0"/>
              </w:rPr>
              <w:t xml:space="preserve">11885</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2">
            <w:pPr>
              <w:spacing w:after="0" w:before="0" w:lineRule="auto"/>
              <w:ind w:left="0" w:firstLine="0"/>
              <w:jc w:val="left"/>
              <w:rPr/>
            </w:pPr>
            <w:r w:rsidDel="00000000" w:rsidR="00000000" w:rsidRPr="00000000">
              <w:rPr>
                <w:b w:val="0"/>
                <w:i w:val="0"/>
                <w:color w:val="000000"/>
                <w:sz w:val="22"/>
                <w:szCs w:val="22"/>
                <w:rtl w:val="0"/>
              </w:rPr>
              <w:t xml:space="preserve">(9,352)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3">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bl>
    <w:p w:rsidR="00000000" w:rsidDel="00000000" w:rsidP="00000000" w:rsidRDefault="00000000" w:rsidRPr="00000000" w14:paraId="0000006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66">
      <w:pPr>
        <w:spacing w:after="180" w:before="180" w:lineRule="auto"/>
        <w:ind w:left="0" w:firstLine="0"/>
        <w:jc w:val="left"/>
        <w:rPr/>
      </w:pPr>
      <w:r w:rsidDel="00000000" w:rsidR="00000000" w:rsidRPr="00000000">
        <w:rPr>
          <w:b w:val="1"/>
          <w:i w:val="0"/>
          <w:color w:val="000000"/>
          <w:sz w:val="33"/>
          <w:szCs w:val="33"/>
          <w:rtl w:val="0"/>
        </w:rPr>
        <w:t xml:space="preserve">S2.2: Balance Sheet</w:t>
      </w:r>
      <w:r w:rsidDel="00000000" w:rsidR="00000000" w:rsidRPr="00000000">
        <w:rPr>
          <w:rtl w:val="0"/>
        </w:rPr>
      </w:r>
    </w:p>
    <w:tbl>
      <w:tblPr>
        <w:tblStyle w:val="Table5"/>
        <w:tblW w:w="9392.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531"/>
        <w:gridCol w:w="1340"/>
        <w:gridCol w:w="1340"/>
        <w:gridCol w:w="1340"/>
        <w:gridCol w:w="1465"/>
        <w:gridCol w:w="1376"/>
        <w:tblGridChange w:id="0">
          <w:tblGrid>
            <w:gridCol w:w="2531"/>
            <w:gridCol w:w="1340"/>
            <w:gridCol w:w="1340"/>
            <w:gridCol w:w="1340"/>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7">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8">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9">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A">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B">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C">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D">
            <w:pPr>
              <w:spacing w:after="0" w:before="0" w:lineRule="auto"/>
              <w:ind w:left="0" w:firstLine="0"/>
              <w:jc w:val="left"/>
              <w:rPr/>
            </w:pPr>
            <w:r w:rsidDel="00000000" w:rsidR="00000000" w:rsidRPr="00000000">
              <w:rPr>
                <w:b w:val="0"/>
                <w:i w:val="0"/>
                <w:color w:val="000000"/>
                <w:sz w:val="22"/>
                <w:szCs w:val="22"/>
                <w:rtl w:val="0"/>
              </w:rPr>
              <w:t xml:space="preserve">Total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spacing w:after="0" w:before="0" w:lineRule="auto"/>
              <w:ind w:left="0" w:firstLine="0"/>
              <w:jc w:val="left"/>
              <w:rPr/>
            </w:pPr>
            <w:r w:rsidDel="00000000" w:rsidR="00000000" w:rsidRPr="00000000">
              <w:rPr>
                <w:b w:val="0"/>
                <w:i w:val="0"/>
                <w:color w:val="000000"/>
                <w:sz w:val="22"/>
                <w:szCs w:val="22"/>
                <w:rtl w:val="0"/>
              </w:rPr>
              <w:t xml:space="preserve">1,780,995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F">
            <w:pPr>
              <w:spacing w:after="0" w:before="0" w:lineRule="auto"/>
              <w:ind w:left="0" w:firstLine="0"/>
              <w:jc w:val="left"/>
              <w:rPr/>
            </w:pPr>
            <w:r w:rsidDel="00000000" w:rsidR="00000000" w:rsidRPr="00000000">
              <w:rPr>
                <w:b w:val="0"/>
                <w:i w:val="0"/>
                <w:color w:val="000000"/>
                <w:sz w:val="22"/>
                <w:szCs w:val="22"/>
                <w:rtl w:val="0"/>
              </w:rPr>
              <w:t xml:space="preserve">1,577,246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spacing w:after="0" w:before="0" w:lineRule="auto"/>
              <w:ind w:left="0" w:firstLine="0"/>
              <w:jc w:val="left"/>
              <w:rPr/>
            </w:pPr>
            <w:r w:rsidDel="00000000" w:rsidR="00000000" w:rsidRPr="00000000">
              <w:rPr>
                <w:b w:val="0"/>
                <w:i w:val="0"/>
                <w:color w:val="000000"/>
                <w:sz w:val="22"/>
                <w:szCs w:val="22"/>
                <w:rtl w:val="0"/>
              </w:rPr>
              <w:t xml:space="preserve">1,578,131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spacing w:after="0" w:before="0" w:lineRule="auto"/>
              <w:ind w:left="0" w:firstLine="0"/>
              <w:jc w:val="left"/>
              <w:rPr/>
            </w:pPr>
            <w:r w:rsidDel="00000000" w:rsidR="00000000" w:rsidRPr="00000000">
              <w:rPr>
                <w:b w:val="0"/>
                <w:i w:val="0"/>
                <w:color w:val="000000"/>
                <w:sz w:val="22"/>
                <w:szCs w:val="22"/>
                <w:rtl w:val="0"/>
              </w:rPr>
              <w:t xml:space="preserve">Current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spacing w:after="0" w:before="0" w:lineRule="auto"/>
              <w:ind w:left="0" w:firstLine="0"/>
              <w:jc w:val="left"/>
              <w:rPr/>
            </w:pPr>
            <w:r w:rsidDel="00000000" w:rsidR="00000000" w:rsidRPr="00000000">
              <w:rPr>
                <w:b w:val="0"/>
                <w:i w:val="0"/>
                <w:color w:val="000000"/>
                <w:sz w:val="22"/>
                <w:szCs w:val="22"/>
                <w:rtl w:val="0"/>
              </w:rPr>
              <w:t xml:space="preserve">496,180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spacing w:after="0" w:before="0" w:lineRule="auto"/>
              <w:ind w:left="0" w:firstLine="0"/>
              <w:jc w:val="left"/>
              <w:rPr/>
            </w:pPr>
            <w:r w:rsidDel="00000000" w:rsidR="00000000" w:rsidRPr="00000000">
              <w:rPr>
                <w:b w:val="0"/>
                <w:i w:val="0"/>
                <w:color w:val="000000"/>
                <w:sz w:val="22"/>
                <w:szCs w:val="22"/>
                <w:rtl w:val="0"/>
              </w:rPr>
              <w:t xml:space="preserve">518,446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spacing w:after="0" w:before="0" w:lineRule="auto"/>
              <w:ind w:left="0" w:firstLine="0"/>
              <w:jc w:val="left"/>
              <w:rPr/>
            </w:pPr>
            <w:r w:rsidDel="00000000" w:rsidR="00000000" w:rsidRPr="00000000">
              <w:rPr>
                <w:b w:val="0"/>
                <w:i w:val="0"/>
                <w:color w:val="000000"/>
                <w:sz w:val="22"/>
                <w:szCs w:val="22"/>
                <w:rtl w:val="0"/>
              </w:rPr>
              <w:t xml:space="preserve">565,989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7">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8">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spacing w:after="0" w:before="0" w:lineRule="auto"/>
              <w:ind w:left="0" w:firstLine="0"/>
              <w:jc w:val="left"/>
              <w:rPr/>
            </w:pPr>
            <w:r w:rsidDel="00000000" w:rsidR="00000000" w:rsidRPr="00000000">
              <w:rPr>
                <w:b w:val="0"/>
                <w:i w:val="0"/>
                <w:color w:val="000000"/>
                <w:sz w:val="22"/>
                <w:szCs w:val="22"/>
                <w:rtl w:val="0"/>
              </w:rPr>
              <w:t xml:space="preserve">Non-Current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A">
            <w:pPr>
              <w:spacing w:after="0" w:before="0" w:lineRule="auto"/>
              <w:ind w:left="0" w:firstLine="0"/>
              <w:jc w:val="left"/>
              <w:rPr/>
            </w:pPr>
            <w:r w:rsidDel="00000000" w:rsidR="00000000" w:rsidRPr="00000000">
              <w:rPr>
                <w:b w:val="0"/>
                <w:i w:val="0"/>
                <w:color w:val="000000"/>
                <w:sz w:val="22"/>
                <w:szCs w:val="22"/>
                <w:rtl w:val="0"/>
              </w:rPr>
              <w:t xml:space="preserve">1,284,815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B">
            <w:pPr>
              <w:spacing w:after="0" w:before="0" w:lineRule="auto"/>
              <w:ind w:left="0" w:firstLine="0"/>
              <w:jc w:val="left"/>
              <w:rPr/>
            </w:pPr>
            <w:r w:rsidDel="00000000" w:rsidR="00000000" w:rsidRPr="00000000">
              <w:rPr>
                <w:b w:val="0"/>
                <w:i w:val="0"/>
                <w:color w:val="000000"/>
                <w:sz w:val="22"/>
                <w:szCs w:val="22"/>
                <w:rtl w:val="0"/>
              </w:rPr>
              <w:t xml:space="preserve">1,058,800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C">
            <w:pPr>
              <w:spacing w:after="0" w:before="0" w:lineRule="auto"/>
              <w:ind w:left="0" w:firstLine="0"/>
              <w:jc w:val="left"/>
              <w:rPr/>
            </w:pPr>
            <w:r w:rsidDel="00000000" w:rsidR="00000000" w:rsidRPr="00000000">
              <w:rPr>
                <w:b w:val="0"/>
                <w:i w:val="0"/>
                <w:color w:val="000000"/>
                <w:sz w:val="22"/>
                <w:szCs w:val="22"/>
                <w:rtl w:val="0"/>
              </w:rPr>
              <w:t xml:space="preserve">1,012,142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E">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F">
            <w:pPr>
              <w:spacing w:after="0" w:before="0" w:lineRule="auto"/>
              <w:ind w:left="0" w:firstLine="0"/>
              <w:jc w:val="left"/>
              <w:rPr/>
            </w:pPr>
            <w:r w:rsidDel="00000000" w:rsidR="00000000" w:rsidRPr="00000000">
              <w:rPr>
                <w:b w:val="0"/>
                <w:i w:val="0"/>
                <w:color w:val="000000"/>
                <w:sz w:val="22"/>
                <w:szCs w:val="22"/>
                <w:rtl w:val="0"/>
              </w:rPr>
              <w:t xml:space="preserve">Total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spacing w:after="0" w:before="0" w:lineRule="auto"/>
              <w:ind w:left="0" w:firstLine="0"/>
              <w:jc w:val="left"/>
              <w:rPr/>
            </w:pPr>
            <w:r w:rsidDel="00000000" w:rsidR="00000000" w:rsidRPr="00000000">
              <w:rPr>
                <w:b w:val="0"/>
                <w:i w:val="0"/>
                <w:color w:val="000000"/>
                <w:sz w:val="22"/>
                <w:szCs w:val="22"/>
                <w:rtl w:val="0"/>
              </w:rPr>
              <w:t xml:space="preserve">727,099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1">
            <w:pPr>
              <w:spacing w:after="0" w:before="0" w:lineRule="auto"/>
              <w:ind w:left="0" w:firstLine="0"/>
              <w:jc w:val="left"/>
              <w:rPr/>
            </w:pPr>
            <w:r w:rsidDel="00000000" w:rsidR="00000000" w:rsidRPr="00000000">
              <w:rPr>
                <w:b w:val="0"/>
                <w:i w:val="0"/>
                <w:color w:val="000000"/>
                <w:sz w:val="22"/>
                <w:szCs w:val="22"/>
                <w:rtl w:val="0"/>
              </w:rPr>
              <w:t xml:space="preserve">703,565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spacing w:after="0" w:before="0" w:lineRule="auto"/>
              <w:ind w:left="0" w:firstLine="0"/>
              <w:jc w:val="left"/>
              <w:rPr/>
            </w:pPr>
            <w:r w:rsidDel="00000000" w:rsidR="00000000" w:rsidRPr="00000000">
              <w:rPr>
                <w:b w:val="0"/>
                <w:i w:val="0"/>
                <w:color w:val="000000"/>
                <w:sz w:val="22"/>
                <w:szCs w:val="22"/>
                <w:rtl w:val="0"/>
              </w:rPr>
              <w:t xml:space="preserve">795,271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after="0" w:before="0" w:lineRule="auto"/>
              <w:ind w:left="0" w:firstLine="0"/>
              <w:jc w:val="left"/>
              <w:rPr/>
            </w:pPr>
            <w:r w:rsidDel="00000000" w:rsidR="00000000" w:rsidRPr="00000000">
              <w:rPr>
                <w:b w:val="0"/>
                <w:i w:val="0"/>
                <w:color w:val="000000"/>
                <w:sz w:val="22"/>
                <w:szCs w:val="22"/>
                <w:rtl w:val="0"/>
              </w:rPr>
              <w:t xml:space="preserve">Current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after="0" w:before="0" w:lineRule="auto"/>
              <w:ind w:left="0" w:firstLine="0"/>
              <w:jc w:val="left"/>
              <w:rPr/>
            </w:pPr>
            <w:r w:rsidDel="00000000" w:rsidR="00000000" w:rsidRPr="00000000">
              <w:rPr>
                <w:b w:val="0"/>
                <w:i w:val="0"/>
                <w:color w:val="000000"/>
                <w:sz w:val="22"/>
                <w:szCs w:val="22"/>
                <w:rtl w:val="0"/>
              </w:rPr>
              <w:t xml:space="preserve">396,909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after="0" w:before="0" w:lineRule="auto"/>
              <w:ind w:left="0" w:firstLine="0"/>
              <w:jc w:val="left"/>
              <w:rPr/>
            </w:pPr>
            <w:r w:rsidDel="00000000" w:rsidR="00000000" w:rsidRPr="00000000">
              <w:rPr>
                <w:b w:val="0"/>
                <w:i w:val="0"/>
                <w:color w:val="000000"/>
                <w:sz w:val="22"/>
                <w:szCs w:val="22"/>
                <w:rtl w:val="0"/>
              </w:rPr>
              <w:t xml:space="preserve">352,157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after="0" w:before="0" w:lineRule="auto"/>
              <w:ind w:left="0" w:firstLine="0"/>
              <w:jc w:val="left"/>
              <w:rPr/>
            </w:pPr>
            <w:r w:rsidDel="00000000" w:rsidR="00000000" w:rsidRPr="00000000">
              <w:rPr>
                <w:b w:val="0"/>
                <w:i w:val="0"/>
                <w:color w:val="000000"/>
                <w:sz w:val="22"/>
                <w:szCs w:val="22"/>
                <w:rtl w:val="0"/>
              </w:rPr>
              <w:t xml:space="preserve">434,204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after="0" w:before="0" w:lineRule="auto"/>
              <w:ind w:left="0" w:firstLine="0"/>
              <w:jc w:val="left"/>
              <w:rPr/>
            </w:pPr>
            <w:r w:rsidDel="00000000" w:rsidR="00000000" w:rsidRPr="00000000">
              <w:rPr>
                <w:b w:val="0"/>
                <w:i w:val="0"/>
                <w:color w:val="000000"/>
                <w:sz w:val="22"/>
                <w:szCs w:val="22"/>
                <w:rtl w:val="0"/>
              </w:rPr>
              <w:t xml:space="preserve">Non-Current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after="0" w:before="0" w:lineRule="auto"/>
              <w:ind w:left="0" w:firstLine="0"/>
              <w:jc w:val="left"/>
              <w:rPr/>
            </w:pPr>
            <w:r w:rsidDel="00000000" w:rsidR="00000000" w:rsidRPr="00000000">
              <w:rPr>
                <w:b w:val="0"/>
                <w:i w:val="0"/>
                <w:color w:val="000000"/>
                <w:sz w:val="22"/>
                <w:szCs w:val="22"/>
                <w:rtl w:val="0"/>
              </w:rPr>
              <w:t xml:space="preserve">330,190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after="0" w:before="0" w:lineRule="auto"/>
              <w:ind w:left="0" w:firstLine="0"/>
              <w:jc w:val="left"/>
              <w:rPr/>
            </w:pPr>
            <w:r w:rsidDel="00000000" w:rsidR="00000000" w:rsidRPr="00000000">
              <w:rPr>
                <w:b w:val="0"/>
                <w:i w:val="0"/>
                <w:color w:val="000000"/>
                <w:sz w:val="22"/>
                <w:szCs w:val="22"/>
                <w:rtl w:val="0"/>
              </w:rPr>
              <w:t xml:space="preserve">351,408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after="0" w:before="0" w:lineRule="auto"/>
              <w:ind w:left="0" w:firstLine="0"/>
              <w:jc w:val="left"/>
              <w:rPr/>
            </w:pPr>
            <w:r w:rsidDel="00000000" w:rsidR="00000000" w:rsidRPr="00000000">
              <w:rPr>
                <w:b w:val="0"/>
                <w:i w:val="0"/>
                <w:color w:val="000000"/>
                <w:sz w:val="22"/>
                <w:szCs w:val="22"/>
                <w:rtl w:val="0"/>
              </w:rPr>
              <w:t xml:space="preserve">361,067</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after="0" w:before="0" w:lineRule="auto"/>
              <w:ind w:left="0" w:firstLine="0"/>
              <w:jc w:val="left"/>
              <w:rPr/>
            </w:pPr>
            <w:r w:rsidDel="00000000" w:rsidR="00000000" w:rsidRPr="00000000">
              <w:rPr>
                <w:b w:val="0"/>
                <w:i w:val="0"/>
                <w:color w:val="000000"/>
                <w:sz w:val="22"/>
                <w:szCs w:val="22"/>
                <w:rtl w:val="0"/>
              </w:rPr>
              <w:t xml:space="preserve">Shareholders' 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after="0" w:before="0" w:lineRule="auto"/>
              <w:ind w:left="0" w:firstLine="0"/>
              <w:jc w:val="left"/>
              <w:rPr/>
            </w:pPr>
            <w:r w:rsidDel="00000000" w:rsidR="00000000" w:rsidRPr="00000000">
              <w:rPr>
                <w:rtl w:val="0"/>
              </w:rPr>
              <w:t xml:space="preserve">1,053,896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after="0" w:lineRule="auto"/>
              <w:rPr/>
            </w:pPr>
            <w:r w:rsidDel="00000000" w:rsidR="00000000" w:rsidRPr="00000000">
              <w:rPr>
                <w:rtl w:val="0"/>
              </w:rPr>
              <w:t xml:space="preserve">873,681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spacing w:after="0" w:lineRule="auto"/>
              <w:rPr/>
            </w:pPr>
            <w:r w:rsidDel="00000000" w:rsidR="00000000" w:rsidRPr="00000000">
              <w:rPr>
                <w:rtl w:val="0"/>
              </w:rPr>
              <w:t xml:space="preserve">782,860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spacing w:after="0" w:before="0" w:lineRule="auto"/>
              <w:ind w:left="0" w:firstLine="0"/>
              <w:jc w:val="left"/>
              <w:rPr/>
            </w:pPr>
            <w:r w:rsidDel="00000000" w:rsidR="00000000" w:rsidRPr="00000000">
              <w:rPr>
                <w:b w:val="0"/>
                <w:i w:val="0"/>
                <w:color w:val="000000"/>
                <w:sz w:val="22"/>
                <w:szCs w:val="22"/>
                <w:rtl w:val="0"/>
              </w:rPr>
              <w:t xml:space="preserve">Retained Earnings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spacing w:after="0" w:before="0" w:lineRule="auto"/>
              <w:ind w:left="0" w:firstLine="0"/>
              <w:jc w:val="left"/>
              <w:rPr/>
            </w:pPr>
            <w:r w:rsidDel="00000000" w:rsidR="00000000" w:rsidRPr="00000000">
              <w:rPr>
                <w:b w:val="0"/>
                <w:i w:val="0"/>
                <w:color w:val="000000"/>
                <w:sz w:val="22"/>
                <w:szCs w:val="22"/>
                <w:rtl w:val="0"/>
              </w:rPr>
              <w:t xml:space="preserve">892,030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spacing w:after="0" w:before="0" w:lineRule="auto"/>
              <w:ind w:left="0" w:firstLine="0"/>
              <w:jc w:val="left"/>
              <w:rPr/>
            </w:pPr>
            <w:r w:rsidDel="00000000" w:rsidR="00000000" w:rsidRPr="00000000">
              <w:rPr>
                <w:b w:val="0"/>
                <w:i w:val="0"/>
                <w:color w:val="000000"/>
                <w:sz w:val="22"/>
                <w:szCs w:val="22"/>
                <w:rtl w:val="0"/>
              </w:rPr>
              <w:t xml:space="preserve">813,911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spacing w:after="0" w:before="0" w:lineRule="auto"/>
              <w:ind w:left="0" w:firstLine="0"/>
              <w:jc w:val="left"/>
              <w:rPr/>
            </w:pPr>
            <w:r w:rsidDel="00000000" w:rsidR="00000000" w:rsidRPr="00000000">
              <w:rPr>
                <w:b w:val="0"/>
                <w:i w:val="0"/>
                <w:color w:val="000000"/>
                <w:sz w:val="22"/>
                <w:szCs w:val="22"/>
                <w:rtl w:val="0"/>
              </w:rPr>
              <w:t xml:space="preserve">705,981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D">
            <w:pPr>
              <w:spacing w:after="0" w:before="0" w:lineRule="auto"/>
              <w:ind w:left="0" w:firstLine="0"/>
              <w:jc w:val="left"/>
              <w:rPr/>
            </w:pPr>
            <w:r w:rsidDel="00000000" w:rsidR="00000000" w:rsidRPr="00000000">
              <w:rPr>
                <w:b w:val="0"/>
                <w:i w:val="0"/>
                <w:color w:val="000000"/>
                <w:sz w:val="22"/>
                <w:szCs w:val="22"/>
                <w:rtl w:val="0"/>
              </w:rPr>
              <w:t xml:space="preserve">Total Equity and Liabilities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spacing w:after="0" w:before="0" w:lineRule="auto"/>
              <w:ind w:left="0" w:firstLine="0"/>
              <w:jc w:val="left"/>
              <w:rPr/>
            </w:pPr>
            <w:r w:rsidDel="00000000" w:rsidR="00000000" w:rsidRPr="00000000">
              <w:rPr>
                <w:b w:val="0"/>
                <w:i w:val="0"/>
                <w:color w:val="000000"/>
                <w:sz w:val="22"/>
                <w:szCs w:val="22"/>
                <w:rtl w:val="0"/>
              </w:rPr>
              <w:t xml:space="preserve">1,780,995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spacing w:after="0" w:before="0" w:lineRule="auto"/>
              <w:ind w:left="0" w:firstLine="0"/>
              <w:jc w:val="left"/>
              <w:rPr/>
            </w:pPr>
            <w:r w:rsidDel="00000000" w:rsidR="00000000" w:rsidRPr="00000000">
              <w:rPr>
                <w:b w:val="0"/>
                <w:i w:val="0"/>
                <w:color w:val="000000"/>
                <w:sz w:val="22"/>
                <w:szCs w:val="22"/>
                <w:rtl w:val="0"/>
              </w:rPr>
              <w:t xml:space="preserve">1,577,246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spacing w:after="0" w:before="0" w:lineRule="auto"/>
              <w:ind w:left="0" w:firstLine="0"/>
              <w:jc w:val="left"/>
              <w:rPr/>
            </w:pPr>
            <w:r w:rsidDel="00000000" w:rsidR="00000000" w:rsidRPr="00000000">
              <w:rPr>
                <w:b w:val="0"/>
                <w:i w:val="0"/>
                <w:color w:val="000000"/>
                <w:sz w:val="22"/>
                <w:szCs w:val="22"/>
                <w:rtl w:val="0"/>
              </w:rPr>
              <w:t xml:space="preserve">1,578,131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spacing w:after="0" w:before="0" w:lineRule="auto"/>
              <w:ind w:left="0" w:firstLine="0"/>
              <w:jc w:val="left"/>
              <w:rPr/>
            </w:pPr>
            <w:r w:rsidDel="00000000" w:rsidR="00000000" w:rsidRPr="00000000">
              <w:rPr>
                <w:b w:val="0"/>
                <w:i w:val="0"/>
                <w:color w:val="000000"/>
                <w:sz w:val="22"/>
                <w:szCs w:val="22"/>
                <w:rtl w:val="0"/>
              </w:rPr>
              <w:t xml:space="preserve">Inventories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4">
            <w:pPr>
              <w:spacing w:after="0" w:before="0" w:lineRule="auto"/>
              <w:ind w:left="0" w:firstLine="0"/>
              <w:jc w:val="left"/>
              <w:rPr/>
            </w:pPr>
            <w:r w:rsidDel="00000000" w:rsidR="00000000" w:rsidRPr="00000000">
              <w:rPr>
                <w:b w:val="0"/>
                <w:i w:val="0"/>
                <w:color w:val="000000"/>
                <w:sz w:val="22"/>
                <w:szCs w:val="22"/>
                <w:rtl w:val="0"/>
              </w:rPr>
              <w:t xml:space="preserve">440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5">
            <w:pPr>
              <w:spacing w:after="0" w:before="0" w:lineRule="auto"/>
              <w:ind w:left="0" w:firstLine="0"/>
              <w:jc w:val="left"/>
              <w:rPr/>
            </w:pPr>
            <w:r w:rsidDel="00000000" w:rsidR="00000000" w:rsidRPr="00000000">
              <w:rPr>
                <w:b w:val="0"/>
                <w:i w:val="0"/>
                <w:color w:val="000000"/>
                <w:sz w:val="22"/>
                <w:szCs w:val="22"/>
                <w:rtl w:val="0"/>
              </w:rPr>
              <w:t xml:space="preserve">456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6">
            <w:pPr>
              <w:spacing w:after="0" w:before="0" w:lineRule="auto"/>
              <w:ind w:left="0" w:firstLine="0"/>
              <w:jc w:val="left"/>
              <w:rPr/>
            </w:pPr>
            <w:r w:rsidDel="00000000" w:rsidR="00000000" w:rsidRPr="00000000">
              <w:rPr>
                <w:b w:val="0"/>
                <w:i w:val="0"/>
                <w:color w:val="000000"/>
                <w:sz w:val="22"/>
                <w:szCs w:val="22"/>
                <w:rtl w:val="0"/>
              </w:rPr>
              <w:t xml:space="preserve">2,333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7">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8">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9">
            <w:pPr>
              <w:spacing w:after="0" w:before="0" w:lineRule="auto"/>
              <w:ind w:left="0" w:firstLine="0"/>
              <w:jc w:val="left"/>
              <w:rPr/>
            </w:pPr>
            <w:r w:rsidDel="00000000" w:rsidR="00000000" w:rsidRPr="00000000">
              <w:rPr>
                <w:b w:val="0"/>
                <w:i w:val="0"/>
                <w:color w:val="000000"/>
                <w:sz w:val="22"/>
                <w:szCs w:val="22"/>
                <w:rtl w:val="0"/>
              </w:rPr>
              <w:t xml:space="preserve">Prepaid Expenses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A">
            <w:pPr>
              <w:spacing w:after="0" w:before="0" w:lineRule="auto"/>
              <w:ind w:left="0" w:firstLine="0"/>
              <w:jc w:val="left"/>
              <w:rPr/>
            </w:pPr>
            <w:r w:rsidDel="00000000" w:rsidR="00000000" w:rsidRPr="00000000">
              <w:rPr>
                <w:rtl w:val="0"/>
              </w:rPr>
              <w:t xml:space="preserve">31,265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B">
            <w:pPr>
              <w:spacing w:after="0" w:lineRule="auto"/>
              <w:rPr/>
            </w:pPr>
            <w:r w:rsidDel="00000000" w:rsidR="00000000" w:rsidRPr="00000000">
              <w:rPr>
                <w:rtl w:val="0"/>
              </w:rPr>
              <w:t xml:space="preserve">27,824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C">
            <w:pPr>
              <w:spacing w:after="0" w:lineRule="auto"/>
              <w:rPr/>
            </w:pPr>
            <w:r w:rsidDel="00000000" w:rsidR="00000000" w:rsidRPr="00000000">
              <w:rPr>
                <w:rtl w:val="0"/>
              </w:rPr>
              <w:t xml:space="preserve">24,393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D">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E">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bl>
    <w:p w:rsidR="00000000" w:rsidDel="00000000" w:rsidP="00000000" w:rsidRDefault="00000000" w:rsidRPr="00000000" w14:paraId="000000AF">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B0">
      <w:pPr>
        <w:spacing w:after="180" w:before="180" w:lineRule="auto"/>
        <w:ind w:left="0" w:firstLine="0"/>
        <w:jc w:val="left"/>
        <w:rPr/>
      </w:pPr>
      <w:r w:rsidDel="00000000" w:rsidR="00000000" w:rsidRPr="00000000">
        <w:rPr>
          <w:b w:val="1"/>
          <w:i w:val="0"/>
          <w:color w:val="000000"/>
          <w:sz w:val="33"/>
          <w:szCs w:val="33"/>
          <w:rtl w:val="0"/>
        </w:rPr>
        <w:t xml:space="preserve">S2.3: Cash Flow Statement</w:t>
      </w:r>
      <w:r w:rsidDel="00000000" w:rsidR="00000000" w:rsidRPr="00000000">
        <w:rPr>
          <w:rtl w:val="0"/>
        </w:rPr>
      </w:r>
    </w:p>
    <w:tbl>
      <w:tblPr>
        <w:tblStyle w:val="Table6"/>
        <w:tblW w:w="9549.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388"/>
        <w:gridCol w:w="1440"/>
        <w:gridCol w:w="1440"/>
        <w:gridCol w:w="1440"/>
        <w:gridCol w:w="1465"/>
        <w:gridCol w:w="1376"/>
        <w:tblGridChange w:id="0">
          <w:tblGrid>
            <w:gridCol w:w="2388"/>
            <w:gridCol w:w="1440"/>
            <w:gridCol w:w="1440"/>
            <w:gridCol w:w="1440"/>
            <w:gridCol w:w="1465"/>
            <w:gridCol w:w="1376"/>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1">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2">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3">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4">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5">
            <w:pPr>
              <w:spacing w:after="0" w:before="0" w:lineRule="auto"/>
              <w:ind w:left="0" w:firstLine="0"/>
              <w:jc w:val="left"/>
              <w:rPr/>
            </w:pPr>
            <w:r w:rsidDel="00000000" w:rsidR="00000000" w:rsidRPr="00000000">
              <w:rPr>
                <w:b w:val="1"/>
                <w:i w:val="0"/>
                <w:color w:val="000000"/>
                <w:sz w:val="22"/>
                <w:szCs w:val="22"/>
                <w:rtl w:val="0"/>
              </w:rPr>
              <w:t xml:space="preserve">Multiplier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6">
            <w:pPr>
              <w:spacing w:after="0" w:before="0" w:lineRule="auto"/>
              <w:ind w:left="0" w:firstLine="0"/>
              <w:jc w:val="left"/>
              <w:rPr/>
            </w:pPr>
            <w:r w:rsidDel="00000000" w:rsidR="00000000" w:rsidRPr="00000000">
              <w:rPr>
                <w:b w:val="1"/>
                <w:i w:val="0"/>
                <w:color w:val="000000"/>
                <w:sz w:val="22"/>
                <w:szCs w:val="22"/>
                <w:rtl w:val="0"/>
              </w:rPr>
              <w:t xml:space="preserve">Currency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7">
            <w:pPr>
              <w:spacing w:after="0" w:before="0" w:lineRule="auto"/>
              <w:ind w:left="0" w:firstLine="0"/>
              <w:jc w:val="left"/>
              <w:rPr/>
            </w:pPr>
            <w:r w:rsidDel="00000000" w:rsidR="00000000" w:rsidRPr="00000000">
              <w:rPr>
                <w:b w:val="0"/>
                <w:i w:val="0"/>
                <w:color w:val="000000"/>
                <w:sz w:val="22"/>
                <w:szCs w:val="22"/>
                <w:rtl w:val="0"/>
              </w:rPr>
              <w:t xml:space="preserve">Net Cash Flow from Operations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8">
            <w:pPr>
              <w:spacing w:after="0" w:before="0" w:lineRule="auto"/>
              <w:ind w:left="0" w:firstLine="0"/>
              <w:jc w:val="left"/>
              <w:rPr/>
            </w:pPr>
            <w:r w:rsidDel="00000000" w:rsidR="00000000" w:rsidRPr="00000000">
              <w:rPr>
                <w:b w:val="0"/>
                <w:i w:val="0"/>
                <w:color w:val="000000"/>
                <w:sz w:val="22"/>
                <w:szCs w:val="22"/>
                <w:rtl w:val="0"/>
              </w:rPr>
              <w:t xml:space="preserve">258,521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9">
            <w:pPr>
              <w:spacing w:after="0" w:before="0" w:lineRule="auto"/>
              <w:ind w:left="0" w:firstLine="0"/>
              <w:jc w:val="left"/>
              <w:rPr/>
            </w:pPr>
            <w:r w:rsidDel="00000000" w:rsidR="00000000" w:rsidRPr="00000000">
              <w:rPr>
                <w:b w:val="0"/>
                <w:i w:val="0"/>
                <w:color w:val="000000"/>
                <w:sz w:val="22"/>
                <w:szCs w:val="22"/>
                <w:rtl w:val="0"/>
              </w:rPr>
              <w:t xml:space="preserve">221,962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A">
            <w:pPr>
              <w:spacing w:after="0" w:before="0" w:lineRule="auto"/>
              <w:ind w:left="0" w:firstLine="0"/>
              <w:jc w:val="left"/>
              <w:rPr/>
            </w:pPr>
            <w:r w:rsidDel="00000000" w:rsidR="00000000" w:rsidRPr="00000000">
              <w:rPr>
                <w:b w:val="0"/>
                <w:i w:val="0"/>
                <w:color w:val="000000"/>
                <w:sz w:val="22"/>
                <w:szCs w:val="22"/>
                <w:rtl w:val="0"/>
              </w:rPr>
              <w:t xml:space="preserve">146,091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B">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C">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D">
            <w:pPr>
              <w:spacing w:after="0" w:before="0" w:lineRule="auto"/>
              <w:ind w:left="0" w:firstLine="0"/>
              <w:jc w:val="left"/>
              <w:rPr/>
            </w:pPr>
            <w:r w:rsidDel="00000000" w:rsidR="00000000" w:rsidRPr="00000000">
              <w:rPr>
                <w:b w:val="0"/>
                <w:i w:val="0"/>
                <w:color w:val="000000"/>
                <w:sz w:val="22"/>
                <w:szCs w:val="22"/>
                <w:rtl w:val="0"/>
              </w:rPr>
              <w:t xml:space="preserve">Net Cash Flow from Investing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E">
            <w:pPr>
              <w:spacing w:after="0" w:before="0" w:lineRule="auto"/>
              <w:ind w:left="0" w:firstLine="0"/>
              <w:jc w:val="left"/>
              <w:rPr/>
            </w:pPr>
            <w:r w:rsidDel="00000000" w:rsidR="00000000" w:rsidRPr="00000000">
              <w:rPr>
                <w:b w:val="0"/>
                <w:i w:val="0"/>
                <w:color w:val="000000"/>
                <w:sz w:val="22"/>
                <w:szCs w:val="22"/>
                <w:rtl w:val="0"/>
              </w:rPr>
              <w:t xml:space="preserve">(</w:t>
            </w:r>
            <w:r w:rsidDel="00000000" w:rsidR="00000000" w:rsidRPr="00000000">
              <w:rPr>
                <w:rtl w:val="0"/>
              </w:rPr>
              <w:t xml:space="preserve">140621</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BF">
            <w:pPr>
              <w:spacing w:after="0" w:before="0" w:lineRule="auto"/>
              <w:ind w:left="0" w:firstLine="0"/>
              <w:jc w:val="left"/>
              <w:rPr/>
            </w:pPr>
            <w:r w:rsidDel="00000000" w:rsidR="00000000" w:rsidRPr="00000000">
              <w:rPr>
                <w:b w:val="0"/>
                <w:i w:val="0"/>
                <w:color w:val="000000"/>
                <w:sz w:val="22"/>
                <w:szCs w:val="22"/>
                <w:rtl w:val="0"/>
              </w:rPr>
              <w:t xml:space="preserve">(</w:t>
            </w:r>
            <w:r w:rsidDel="00000000" w:rsidR="00000000" w:rsidRPr="00000000">
              <w:rPr>
                <w:rtl w:val="0"/>
              </w:rPr>
              <w:t xml:space="preserve">137521</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0">
            <w:pPr>
              <w:spacing w:after="0" w:before="0" w:lineRule="auto"/>
              <w:ind w:left="0" w:firstLine="0"/>
              <w:jc w:val="left"/>
              <w:rPr/>
            </w:pPr>
            <w:r w:rsidDel="00000000" w:rsidR="00000000" w:rsidRPr="00000000">
              <w:rPr>
                <w:b w:val="0"/>
                <w:i w:val="0"/>
                <w:color w:val="000000"/>
                <w:sz w:val="22"/>
                <w:szCs w:val="22"/>
                <w:rtl w:val="0"/>
              </w:rPr>
              <w:t xml:space="preserve">(</w:t>
            </w:r>
            <w:r w:rsidDel="00000000" w:rsidR="00000000" w:rsidRPr="00000000">
              <w:rPr>
                <w:rtl w:val="0"/>
              </w:rPr>
              <w:t xml:space="preserve">115569</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1">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2">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3">
            <w:pPr>
              <w:spacing w:after="0" w:before="0" w:lineRule="auto"/>
              <w:ind w:left="0" w:firstLine="0"/>
              <w:jc w:val="left"/>
              <w:rPr/>
            </w:pPr>
            <w:r w:rsidDel="00000000" w:rsidR="00000000" w:rsidRPr="00000000">
              <w:rPr>
                <w:b w:val="0"/>
                <w:i w:val="0"/>
                <w:color w:val="000000"/>
                <w:sz w:val="22"/>
                <w:szCs w:val="22"/>
                <w:rtl w:val="0"/>
              </w:rPr>
              <w:t xml:space="preserve">Net Cash Flow from Financing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4">
            <w:pPr>
              <w:spacing w:after="0" w:before="0" w:lineRule="auto"/>
              <w:ind w:left="0" w:firstLine="0"/>
              <w:jc w:val="left"/>
              <w:rPr/>
            </w:pPr>
            <w:r w:rsidDel="00000000" w:rsidR="00000000" w:rsidRPr="00000000">
              <w:rPr>
                <w:b w:val="0"/>
                <w:i w:val="0"/>
                <w:color w:val="000000"/>
                <w:sz w:val="22"/>
                <w:szCs w:val="22"/>
                <w:rtl w:val="0"/>
              </w:rPr>
              <w:t xml:space="preserve">(</w:t>
            </w:r>
            <w:r w:rsidDel="00000000" w:rsidR="00000000" w:rsidRPr="00000000">
              <w:rPr>
                <w:rtl w:val="0"/>
              </w:rPr>
              <w:t xml:space="preserve">163718</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5">
            <w:pPr>
              <w:spacing w:after="0" w:before="0" w:lineRule="auto"/>
              <w:ind w:left="0" w:firstLine="0"/>
              <w:jc w:val="left"/>
              <w:rPr/>
            </w:pPr>
            <w:r w:rsidDel="00000000" w:rsidR="00000000" w:rsidRPr="00000000">
              <w:rPr>
                <w:b w:val="0"/>
                <w:i w:val="0"/>
                <w:color w:val="000000"/>
                <w:sz w:val="22"/>
                <w:szCs w:val="22"/>
                <w:rtl w:val="0"/>
              </w:rPr>
              <w:t xml:space="preserve">(</w:t>
            </w:r>
            <w:r w:rsidDel="00000000" w:rsidR="00000000" w:rsidRPr="00000000">
              <w:rPr>
                <w:rtl w:val="0"/>
              </w:rPr>
              <w:t xml:space="preserve">69742</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6">
            <w:pPr>
              <w:spacing w:after="0" w:before="0" w:lineRule="auto"/>
              <w:ind w:left="0" w:firstLine="0"/>
              <w:jc w:val="left"/>
              <w:rPr/>
            </w:pPr>
            <w:r w:rsidDel="00000000" w:rsidR="00000000" w:rsidRPr="00000000">
              <w:rPr>
                <w:b w:val="0"/>
                <w:i w:val="0"/>
                <w:color w:val="000000"/>
                <w:sz w:val="22"/>
                <w:szCs w:val="22"/>
                <w:rtl w:val="0"/>
              </w:rPr>
              <w:t xml:space="preserve">(</w:t>
            </w:r>
            <w:r w:rsidDel="00000000" w:rsidR="00000000" w:rsidRPr="00000000">
              <w:rPr>
                <w:rtl w:val="0"/>
              </w:rPr>
              <w:t xml:space="preserve">43105</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7">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8">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9">
            <w:pPr>
              <w:spacing w:after="0" w:before="0" w:lineRule="auto"/>
              <w:ind w:left="0" w:firstLine="0"/>
              <w:jc w:val="left"/>
              <w:rPr/>
            </w:pPr>
            <w:r w:rsidDel="00000000" w:rsidR="00000000" w:rsidRPr="00000000">
              <w:rPr>
                <w:b w:val="0"/>
                <w:i w:val="0"/>
                <w:color w:val="000000"/>
                <w:sz w:val="22"/>
                <w:szCs w:val="22"/>
                <w:rtl w:val="0"/>
              </w:rPr>
              <w:t xml:space="preserve">Net Increase/Decrease in Cash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A">
            <w:pPr>
              <w:spacing w:after="0" w:before="0" w:lineRule="auto"/>
              <w:ind w:left="0" w:firstLine="0"/>
              <w:jc w:val="left"/>
              <w:rPr/>
            </w:pPr>
            <w:r w:rsidDel="00000000" w:rsidR="00000000" w:rsidRPr="00000000">
              <w:rPr>
                <w:b w:val="0"/>
                <w:i w:val="0"/>
                <w:color w:val="000000"/>
                <w:sz w:val="22"/>
                <w:szCs w:val="22"/>
                <w:rtl w:val="0"/>
              </w:rPr>
              <w:t xml:space="preserve">(40,160)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B">
            <w:pPr>
              <w:spacing w:after="0" w:before="0" w:lineRule="auto"/>
              <w:ind w:left="0" w:firstLine="0"/>
              <w:jc w:val="left"/>
              <w:rPr/>
            </w:pPr>
            <w:r w:rsidDel="00000000" w:rsidR="00000000" w:rsidRPr="00000000">
              <w:rPr>
                <w:b w:val="0"/>
                <w:i w:val="0"/>
                <w:color w:val="000000"/>
                <w:sz w:val="22"/>
                <w:szCs w:val="22"/>
                <w:rtl w:val="0"/>
              </w:rPr>
              <w:t xml:space="preserve">14,228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C">
            <w:pPr>
              <w:spacing w:after="0" w:before="0" w:lineRule="auto"/>
              <w:ind w:left="0" w:firstLine="0"/>
              <w:jc w:val="left"/>
              <w:rPr/>
            </w:pPr>
            <w:r w:rsidDel="00000000" w:rsidR="00000000" w:rsidRPr="00000000">
              <w:rPr>
                <w:b w:val="0"/>
                <w:i w:val="0"/>
                <w:color w:val="000000"/>
                <w:sz w:val="22"/>
                <w:szCs w:val="22"/>
                <w:rtl w:val="0"/>
              </w:rPr>
              <w:t xml:space="preserve">(18,733)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D">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E">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CF">
            <w:pPr>
              <w:spacing w:after="0" w:before="0" w:lineRule="auto"/>
              <w:ind w:left="0" w:firstLine="0"/>
              <w:jc w:val="left"/>
              <w:rPr/>
            </w:pPr>
            <w:r w:rsidDel="00000000" w:rsidR="00000000" w:rsidRPr="00000000">
              <w:rPr>
                <w:b w:val="0"/>
                <w:i w:val="0"/>
                <w:color w:val="000000"/>
                <w:sz w:val="22"/>
                <w:szCs w:val="22"/>
                <w:rtl w:val="0"/>
              </w:rPr>
              <w:t xml:space="preserve">Dividends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0">
            <w:pPr>
              <w:spacing w:after="0" w:before="0" w:lineRule="auto"/>
              <w:ind w:left="0" w:firstLine="0"/>
              <w:jc w:val="left"/>
              <w:rPr/>
            </w:pPr>
            <w:r w:rsidDel="00000000" w:rsidR="00000000" w:rsidRPr="00000000">
              <w:rPr>
                <w:b w:val="0"/>
                <w:i w:val="0"/>
                <w:color w:val="000000"/>
                <w:sz w:val="22"/>
                <w:szCs w:val="22"/>
                <w:rtl w:val="0"/>
              </w:rPr>
              <w:t xml:space="preserve">(28,859)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1">
            <w:pPr>
              <w:spacing w:after="0" w:before="0" w:lineRule="auto"/>
              <w:ind w:left="0" w:firstLine="0"/>
              <w:jc w:val="left"/>
              <w:rPr/>
            </w:pPr>
            <w:r w:rsidDel="00000000" w:rsidR="00000000" w:rsidRPr="00000000">
              <w:rPr>
                <w:b w:val="0"/>
                <w:i w:val="0"/>
                <w:color w:val="000000"/>
                <w:sz w:val="22"/>
                <w:szCs w:val="22"/>
                <w:rtl w:val="0"/>
              </w:rPr>
              <w:t xml:space="preserve">(20,983)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2">
            <w:pPr>
              <w:spacing w:after="0" w:before="0" w:lineRule="auto"/>
              <w:ind w:left="0" w:firstLine="0"/>
              <w:jc w:val="left"/>
              <w:rPr/>
            </w:pPr>
            <w:r w:rsidDel="00000000" w:rsidR="00000000" w:rsidRPr="00000000">
              <w:rPr>
                <w:b w:val="0"/>
                <w:i w:val="0"/>
                <w:color w:val="000000"/>
                <w:sz w:val="22"/>
                <w:szCs w:val="22"/>
                <w:rtl w:val="0"/>
              </w:rPr>
              <w:t xml:space="preserve">(12,952)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3">
            <w:pPr>
              <w:spacing w:after="0" w:before="0" w:lineRule="auto"/>
              <w:ind w:left="0" w:firstLine="0"/>
              <w:jc w:val="left"/>
              <w:rPr/>
            </w:pPr>
            <w:r w:rsidDel="00000000" w:rsidR="00000000" w:rsidRPr="00000000">
              <w:rPr>
                <w:b w:val="0"/>
                <w:i w:val="0"/>
                <w:color w:val="000000"/>
                <w:sz w:val="22"/>
                <w:szCs w:val="22"/>
                <w:rtl w:val="0"/>
              </w:rPr>
              <w:t xml:space="preserve">Millions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4">
            <w:pPr>
              <w:spacing w:after="0" w:before="0" w:lineRule="auto"/>
              <w:ind w:left="0" w:firstLine="0"/>
              <w:jc w:val="left"/>
              <w:rPr/>
            </w:pPr>
            <w:r w:rsidDel="00000000" w:rsidR="00000000" w:rsidRPr="00000000">
              <w:rPr>
                <w:b w:val="0"/>
                <w:i w:val="0"/>
                <w:color w:val="000000"/>
                <w:sz w:val="22"/>
                <w:szCs w:val="22"/>
                <w:rtl w:val="0"/>
              </w:rPr>
              <w:t xml:space="preserve">CNY</w:t>
            </w:r>
            <w:r w:rsidDel="00000000" w:rsidR="00000000" w:rsidRPr="00000000">
              <w:rPr>
                <w:rtl w:val="0"/>
              </w:rPr>
            </w:r>
          </w:p>
        </w:tc>
      </w:tr>
    </w:tbl>
    <w:p w:rsidR="00000000" w:rsidDel="00000000" w:rsidP="00000000" w:rsidRDefault="00000000" w:rsidRPr="00000000" w14:paraId="000000D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0D6">
      <w:pPr>
        <w:spacing w:after="180" w:before="180" w:lineRule="auto"/>
        <w:ind w:left="0" w:firstLine="0"/>
        <w:jc w:val="left"/>
        <w:rPr/>
      </w:pPr>
      <w:r w:rsidDel="00000000" w:rsidR="00000000" w:rsidRPr="00000000">
        <w:rPr>
          <w:b w:val="1"/>
          <w:i w:val="0"/>
          <w:color w:val="000000"/>
          <w:sz w:val="33"/>
          <w:szCs w:val="33"/>
          <w:rtl w:val="0"/>
        </w:rPr>
        <w:t xml:space="preserve">S2.4: Key Financial Metrics</w:t>
      </w:r>
      <w:r w:rsidDel="00000000" w:rsidR="00000000" w:rsidRPr="00000000">
        <w:rPr>
          <w:rtl w:val="0"/>
        </w:rPr>
      </w:r>
    </w:p>
    <w:tbl>
      <w:tblPr>
        <w:tblStyle w:val="Table7"/>
        <w:tblW w:w="5859.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998"/>
        <w:gridCol w:w="1287"/>
        <w:gridCol w:w="1287"/>
        <w:gridCol w:w="1287"/>
        <w:tblGridChange w:id="0">
          <w:tblGrid>
            <w:gridCol w:w="1998"/>
            <w:gridCol w:w="1287"/>
            <w:gridCol w:w="1287"/>
            <w:gridCol w:w="128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7">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8">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9">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A">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B">
            <w:pPr>
              <w:spacing w:after="0" w:before="0" w:lineRule="auto"/>
              <w:ind w:left="0" w:firstLine="0"/>
              <w:jc w:val="left"/>
              <w:rPr/>
            </w:pPr>
            <w:r w:rsidDel="00000000" w:rsidR="00000000" w:rsidRPr="00000000">
              <w:rPr>
                <w:b w:val="0"/>
                <w:i w:val="0"/>
                <w:color w:val="000000"/>
                <w:sz w:val="22"/>
                <w:szCs w:val="22"/>
                <w:rtl w:val="0"/>
              </w:rPr>
              <w:t xml:space="preserve">Gross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C">
            <w:pPr>
              <w:spacing w:after="0" w:before="0" w:lineRule="auto"/>
              <w:ind w:left="0" w:firstLine="0"/>
              <w:jc w:val="left"/>
              <w:rPr/>
            </w:pPr>
            <w:r w:rsidDel="00000000" w:rsidR="00000000" w:rsidRPr="00000000">
              <w:rPr>
                <w:b w:val="0"/>
                <w:i w:val="0"/>
                <w:color w:val="000000"/>
                <w:sz w:val="22"/>
                <w:szCs w:val="22"/>
                <w:rtl w:val="0"/>
              </w:rPr>
              <w:t xml:space="preserve">52.9%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D">
            <w:pPr>
              <w:spacing w:after="0" w:before="0" w:lineRule="auto"/>
              <w:ind w:left="0" w:firstLine="0"/>
              <w:jc w:val="left"/>
              <w:rPr/>
            </w:pPr>
            <w:r w:rsidDel="00000000" w:rsidR="00000000" w:rsidRPr="00000000">
              <w:rPr>
                <w:b w:val="0"/>
                <w:i w:val="0"/>
                <w:color w:val="000000"/>
                <w:sz w:val="22"/>
                <w:szCs w:val="22"/>
                <w:rtl w:val="0"/>
              </w:rPr>
              <w:t xml:space="preserve">48.1%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E">
            <w:pPr>
              <w:spacing w:after="0" w:before="0" w:lineRule="auto"/>
              <w:ind w:left="0" w:firstLine="0"/>
              <w:jc w:val="left"/>
              <w:rPr/>
            </w:pPr>
            <w:r w:rsidDel="00000000" w:rsidR="00000000" w:rsidRPr="00000000">
              <w:rPr>
                <w:b w:val="0"/>
                <w:i w:val="0"/>
                <w:color w:val="000000"/>
                <w:sz w:val="22"/>
                <w:szCs w:val="22"/>
                <w:rtl w:val="0"/>
              </w:rPr>
              <w:t xml:space="preserve">43.1%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DF">
            <w:pPr>
              <w:spacing w:after="0" w:before="0" w:lineRule="auto"/>
              <w:ind w:left="0" w:firstLine="0"/>
              <w:jc w:val="left"/>
              <w:rPr/>
            </w:pPr>
            <w:r w:rsidDel="00000000" w:rsidR="00000000" w:rsidRPr="00000000">
              <w:rPr>
                <w:b w:val="0"/>
                <w:i w:val="0"/>
                <w:color w:val="000000"/>
                <w:sz w:val="22"/>
                <w:szCs w:val="22"/>
                <w:rtl w:val="0"/>
              </w:rPr>
              <w:t xml:space="preserve">Operating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0">
            <w:pPr>
              <w:spacing w:after="0" w:before="0" w:lineRule="auto"/>
              <w:ind w:left="0" w:firstLine="0"/>
              <w:jc w:val="left"/>
              <w:rPr/>
            </w:pPr>
            <w:r w:rsidDel="00000000" w:rsidR="00000000" w:rsidRPr="00000000">
              <w:rPr>
                <w:b w:val="0"/>
                <w:i w:val="0"/>
                <w:color w:val="000000"/>
                <w:sz w:val="22"/>
                <w:szCs w:val="22"/>
                <w:rtl w:val="0"/>
              </w:rPr>
              <w:t xml:space="preserve">31.53%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1">
            <w:pPr>
              <w:spacing w:after="0" w:before="0" w:lineRule="auto"/>
              <w:ind w:left="0" w:firstLine="0"/>
              <w:jc w:val="left"/>
              <w:rPr/>
            </w:pPr>
            <w:r w:rsidDel="00000000" w:rsidR="00000000" w:rsidRPr="00000000">
              <w:rPr>
                <w:b w:val="0"/>
                <w:i w:val="0"/>
                <w:color w:val="000000"/>
                <w:sz w:val="22"/>
                <w:szCs w:val="22"/>
                <w:rtl w:val="0"/>
              </w:rPr>
              <w:t xml:space="preserve">26.29%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2">
            <w:pPr>
              <w:spacing w:after="0" w:before="0" w:lineRule="auto"/>
              <w:ind w:left="0" w:firstLine="0"/>
              <w:jc w:val="left"/>
              <w:rPr/>
            </w:pPr>
            <w:r w:rsidDel="00000000" w:rsidR="00000000" w:rsidRPr="00000000">
              <w:rPr>
                <w:b w:val="0"/>
                <w:i w:val="0"/>
                <w:color w:val="000000"/>
                <w:sz w:val="22"/>
                <w:szCs w:val="22"/>
                <w:rtl w:val="0"/>
              </w:rPr>
              <w:t xml:space="preserve">19.99%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3">
            <w:pPr>
              <w:spacing w:after="0" w:before="0" w:lineRule="auto"/>
              <w:ind w:left="0" w:firstLine="0"/>
              <w:jc w:val="left"/>
              <w:rPr/>
            </w:pPr>
            <w:r w:rsidDel="00000000" w:rsidR="00000000" w:rsidRPr="00000000">
              <w:rPr>
                <w:b w:val="0"/>
                <w:i w:val="0"/>
                <w:color w:val="000000"/>
                <w:sz w:val="22"/>
                <w:szCs w:val="22"/>
                <w:rtl w:val="0"/>
              </w:rPr>
              <w:t xml:space="preserve">Net Profit Margin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4">
            <w:pPr>
              <w:spacing w:after="0" w:before="0" w:lineRule="auto"/>
              <w:ind w:left="0" w:firstLine="0"/>
              <w:jc w:val="left"/>
              <w:rPr/>
            </w:pPr>
            <w:r w:rsidDel="00000000" w:rsidR="00000000" w:rsidRPr="00000000">
              <w:rPr>
                <w:b w:val="0"/>
                <w:i w:val="0"/>
                <w:color w:val="000000"/>
                <w:sz w:val="22"/>
                <w:szCs w:val="22"/>
                <w:rtl w:val="0"/>
              </w:rPr>
              <w:t xml:space="preserve">29.7</w:t>
            </w:r>
            <w:r w:rsidDel="00000000" w:rsidR="00000000" w:rsidRPr="00000000">
              <w:rPr>
                <w:rtl w:val="0"/>
              </w:rPr>
              <w:t xml:space="preserve">5</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5">
            <w:pPr>
              <w:spacing w:after="0" w:before="0" w:lineRule="auto"/>
              <w:ind w:left="0" w:firstLine="0"/>
              <w:jc w:val="left"/>
              <w:rPr/>
            </w:pPr>
            <w:r w:rsidDel="00000000" w:rsidR="00000000" w:rsidRPr="00000000">
              <w:rPr>
                <w:b w:val="0"/>
                <w:i w:val="0"/>
                <w:color w:val="000000"/>
                <w:sz w:val="22"/>
                <w:szCs w:val="22"/>
                <w:rtl w:val="0"/>
              </w:rPr>
              <w:t xml:space="preserve">19.38%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6">
            <w:pPr>
              <w:spacing w:after="0" w:before="0" w:lineRule="auto"/>
              <w:ind w:left="0" w:firstLine="0"/>
              <w:jc w:val="left"/>
              <w:rPr/>
            </w:pPr>
            <w:r w:rsidDel="00000000" w:rsidR="00000000" w:rsidRPr="00000000">
              <w:rPr>
                <w:b w:val="0"/>
                <w:i w:val="0"/>
                <w:color w:val="000000"/>
                <w:sz w:val="22"/>
                <w:szCs w:val="22"/>
                <w:rtl w:val="0"/>
              </w:rPr>
              <w:t xml:space="preserve">34.04%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7">
            <w:pPr>
              <w:spacing w:after="0" w:before="0" w:lineRule="auto"/>
              <w:ind w:left="0" w:firstLine="0"/>
              <w:jc w:val="left"/>
              <w:rPr/>
            </w:pPr>
            <w:r w:rsidDel="00000000" w:rsidR="00000000" w:rsidRPr="00000000">
              <w:rPr>
                <w:b w:val="0"/>
                <w:i w:val="0"/>
                <w:color w:val="000000"/>
                <w:sz w:val="22"/>
                <w:szCs w:val="22"/>
                <w:rtl w:val="0"/>
              </w:rPr>
              <w:t xml:space="preserve">Current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8">
            <w:pPr>
              <w:spacing w:after="0" w:before="0" w:lineRule="auto"/>
              <w:ind w:left="0" w:firstLine="0"/>
              <w:jc w:val="left"/>
              <w:rPr/>
            </w:pPr>
            <w:r w:rsidDel="00000000" w:rsidR="00000000" w:rsidRPr="00000000">
              <w:rPr>
                <w:b w:val="0"/>
                <w:i w:val="0"/>
                <w:color w:val="000000"/>
                <w:sz w:val="22"/>
                <w:szCs w:val="22"/>
                <w:rtl w:val="0"/>
              </w:rPr>
              <w:t xml:space="preserve">125.0%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9">
            <w:pPr>
              <w:spacing w:after="0" w:before="0" w:lineRule="auto"/>
              <w:ind w:left="0" w:firstLine="0"/>
              <w:jc w:val="left"/>
              <w:rPr/>
            </w:pPr>
            <w:r w:rsidDel="00000000" w:rsidR="00000000" w:rsidRPr="00000000">
              <w:rPr>
                <w:b w:val="0"/>
                <w:i w:val="0"/>
                <w:color w:val="000000"/>
                <w:sz w:val="22"/>
                <w:szCs w:val="22"/>
                <w:rtl w:val="0"/>
              </w:rPr>
              <w:t xml:space="preserve">147.2%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A">
            <w:pPr>
              <w:spacing w:after="0" w:before="0" w:lineRule="auto"/>
              <w:ind w:left="0" w:firstLine="0"/>
              <w:jc w:val="left"/>
              <w:rPr/>
            </w:pPr>
            <w:r w:rsidDel="00000000" w:rsidR="00000000" w:rsidRPr="00000000">
              <w:rPr>
                <w:b w:val="0"/>
                <w:i w:val="0"/>
                <w:color w:val="000000"/>
                <w:sz w:val="22"/>
                <w:szCs w:val="22"/>
                <w:rtl w:val="0"/>
              </w:rPr>
              <w:t xml:space="preserve">130.4%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B">
            <w:pPr>
              <w:spacing w:after="0" w:before="0" w:lineRule="auto"/>
              <w:ind w:left="0" w:firstLine="0"/>
              <w:jc w:val="left"/>
              <w:rPr/>
            </w:pPr>
            <w:r w:rsidDel="00000000" w:rsidR="00000000" w:rsidRPr="00000000">
              <w:rPr>
                <w:b w:val="0"/>
                <w:i w:val="0"/>
                <w:color w:val="000000"/>
                <w:sz w:val="22"/>
                <w:szCs w:val="22"/>
                <w:rtl w:val="0"/>
              </w:rPr>
              <w:t xml:space="preserve">Quick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C">
            <w:pPr>
              <w:spacing w:after="0" w:before="0" w:lineRule="auto"/>
              <w:ind w:left="0" w:firstLine="0"/>
              <w:jc w:val="left"/>
              <w:rPr/>
            </w:pPr>
            <w:r w:rsidDel="00000000" w:rsidR="00000000" w:rsidRPr="00000000">
              <w:rPr>
                <w:rtl w:val="0"/>
              </w:rPr>
              <w:t xml:space="preserve">117</w:t>
            </w:r>
            <w:r w:rsidDel="00000000" w:rsidR="00000000" w:rsidRPr="00000000">
              <w:rPr>
                <w:b w:val="0"/>
                <w:i w:val="0"/>
                <w:color w:val="000000"/>
                <w:sz w:val="22"/>
                <w:szCs w:val="22"/>
                <w:rtl w:val="0"/>
              </w:rPr>
              <w:t xml:space="preserve">.</w:t>
            </w:r>
            <w:r w:rsidDel="00000000" w:rsidR="00000000" w:rsidRPr="00000000">
              <w:rPr>
                <w:rtl w:val="0"/>
              </w:rPr>
              <w:t xml:space="preserve">02</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D">
            <w:pPr>
              <w:spacing w:after="0" w:before="0" w:lineRule="auto"/>
              <w:ind w:left="0" w:firstLine="0"/>
              <w:jc w:val="left"/>
              <w:rPr/>
            </w:pPr>
            <w:r w:rsidDel="00000000" w:rsidR="00000000" w:rsidRPr="00000000">
              <w:rPr>
                <w:rtl w:val="0"/>
              </w:rPr>
              <w:t xml:space="preserve">139</w:t>
            </w:r>
            <w:r w:rsidDel="00000000" w:rsidR="00000000" w:rsidRPr="00000000">
              <w:rPr>
                <w:b w:val="0"/>
                <w:i w:val="0"/>
                <w:color w:val="000000"/>
                <w:sz w:val="22"/>
                <w:szCs w:val="22"/>
                <w:rtl w:val="0"/>
              </w:rPr>
              <w:t xml:space="preserve">.</w:t>
            </w:r>
            <w:r w:rsidDel="00000000" w:rsidR="00000000" w:rsidRPr="00000000">
              <w:rPr>
                <w:rtl w:val="0"/>
              </w:rPr>
              <w:t xml:space="preserve">19</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E">
            <w:pPr>
              <w:spacing w:after="0" w:before="0" w:lineRule="auto"/>
              <w:ind w:left="0" w:firstLine="0"/>
              <w:jc w:val="left"/>
              <w:rPr/>
            </w:pPr>
            <w:r w:rsidDel="00000000" w:rsidR="00000000" w:rsidRPr="00000000">
              <w:rPr>
                <w:rtl w:val="0"/>
              </w:rPr>
              <w:t xml:space="preserve">124</w:t>
            </w:r>
            <w:r w:rsidDel="00000000" w:rsidR="00000000" w:rsidRPr="00000000">
              <w:rPr>
                <w:b w:val="0"/>
                <w:i w:val="0"/>
                <w:color w:val="000000"/>
                <w:sz w:val="22"/>
                <w:szCs w:val="22"/>
                <w:rtl w:val="0"/>
              </w:rPr>
              <w:t xml:space="preserve">.</w:t>
            </w:r>
            <w:r w:rsidDel="00000000" w:rsidR="00000000" w:rsidRPr="00000000">
              <w:rPr>
                <w:rtl w:val="0"/>
              </w:rPr>
              <w:t xml:space="preserve">20</w:t>
            </w:r>
            <w:r w:rsidDel="00000000" w:rsidR="00000000" w:rsidRPr="00000000">
              <w:rPr>
                <w:b w:val="0"/>
                <w:i w:val="0"/>
                <w:color w:val="000000"/>
                <w:sz w:val="22"/>
                <w:szCs w:val="22"/>
                <w:rtl w:val="0"/>
              </w:rPr>
              <w:t xml:space="preserv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EF">
            <w:pPr>
              <w:spacing w:after="0" w:before="0" w:lineRule="auto"/>
              <w:ind w:left="0" w:firstLine="0"/>
              <w:jc w:val="left"/>
              <w:rPr/>
            </w:pPr>
            <w:r w:rsidDel="00000000" w:rsidR="00000000" w:rsidRPr="00000000">
              <w:rPr>
                <w:b w:val="0"/>
                <w:i w:val="0"/>
                <w:color w:val="000000"/>
                <w:sz w:val="22"/>
                <w:szCs w:val="22"/>
                <w:rtl w:val="0"/>
              </w:rPr>
              <w:t xml:space="preserve">Debt-to-Equity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0">
            <w:pPr>
              <w:spacing w:after="0" w:before="0" w:lineRule="auto"/>
              <w:ind w:left="0" w:firstLine="0"/>
              <w:jc w:val="left"/>
              <w:rPr/>
            </w:pPr>
            <w:r w:rsidDel="00000000" w:rsidR="00000000" w:rsidRPr="00000000">
              <w:rPr>
                <w:rtl w:val="0"/>
              </w:rPr>
              <w:t xml:space="preserve">32.13</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1">
            <w:pPr>
              <w:spacing w:after="0" w:before="0" w:lineRule="auto"/>
              <w:ind w:left="0" w:firstLine="0"/>
              <w:jc w:val="left"/>
              <w:rPr/>
            </w:pPr>
            <w:r w:rsidDel="00000000" w:rsidR="00000000" w:rsidRPr="00000000">
              <w:rPr>
                <w:rtl w:val="0"/>
              </w:rPr>
              <w:t xml:space="preserve">39.90</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2">
            <w:pPr>
              <w:spacing w:after="0" w:before="0" w:lineRule="auto"/>
              <w:ind w:left="0" w:firstLine="0"/>
              <w:jc w:val="left"/>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3">
            <w:pPr>
              <w:spacing w:after="0" w:before="0" w:lineRule="auto"/>
              <w:ind w:left="0" w:firstLine="0"/>
              <w:jc w:val="left"/>
              <w:rPr/>
            </w:pPr>
            <w:r w:rsidDel="00000000" w:rsidR="00000000" w:rsidRPr="00000000">
              <w:rPr>
                <w:b w:val="0"/>
                <w:i w:val="0"/>
                <w:color w:val="000000"/>
                <w:sz w:val="22"/>
                <w:szCs w:val="22"/>
                <w:rtl w:val="0"/>
              </w:rPr>
              <w:t xml:space="preserve">Interest Coverage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4">
            <w:pPr>
              <w:spacing w:after="0" w:before="0" w:lineRule="auto"/>
              <w:ind w:left="0" w:firstLine="0"/>
              <w:jc w:val="left"/>
              <w:rPr/>
            </w:pPr>
            <w:r w:rsidDel="00000000" w:rsidR="00000000" w:rsidRPr="00000000">
              <w:rPr>
                <w:rFonts w:ascii="Arial" w:cs="Arial" w:eastAsia="Arial" w:hAnsi="Arial"/>
                <w:color w:val="131314"/>
                <w:sz w:val="21"/>
                <w:szCs w:val="21"/>
                <w:highlight w:val="white"/>
                <w:rtl w:val="0"/>
              </w:rPr>
              <w:t xml:space="preserve">1671.9</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5">
            <w:pPr>
              <w:spacing w:after="0" w:before="0" w:lineRule="auto"/>
              <w:ind w:left="0" w:firstLine="0"/>
              <w:jc w:val="left"/>
              <w:rPr/>
            </w:pPr>
            <w:r w:rsidDel="00000000" w:rsidR="00000000" w:rsidRPr="00000000">
              <w:rPr>
                <w:rtl w:val="0"/>
              </w:rPr>
              <w:t xml:space="preserve">1346.9</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6">
            <w:pPr>
              <w:spacing w:after="0" w:before="0" w:lineRule="auto"/>
              <w:ind w:left="0" w:firstLine="0"/>
              <w:jc w:val="left"/>
              <w:rPr/>
            </w:pPr>
            <w:r w:rsidDel="00000000" w:rsidR="00000000" w:rsidRPr="00000000">
              <w:rPr>
                <w:b w:val="0"/>
                <w:i w:val="0"/>
                <w:color w:val="000000"/>
                <w:sz w:val="22"/>
                <w:szCs w:val="22"/>
                <w:rtl w:val="0"/>
              </w:rPr>
              <w:t xml:space="preserve">1,185.7%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7">
            <w:pPr>
              <w:spacing w:after="0" w:before="0" w:lineRule="auto"/>
              <w:ind w:left="0" w:firstLine="0"/>
              <w:jc w:val="left"/>
              <w:rPr/>
            </w:pPr>
            <w:r w:rsidDel="00000000" w:rsidR="00000000" w:rsidRPr="00000000">
              <w:rPr>
                <w:b w:val="0"/>
                <w:i w:val="0"/>
                <w:color w:val="000000"/>
                <w:sz w:val="22"/>
                <w:szCs w:val="22"/>
                <w:rtl w:val="0"/>
              </w:rPr>
              <w:t xml:space="preserve">Asset Turnover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8">
            <w:pPr>
              <w:spacing w:after="0" w:before="0" w:lineRule="auto"/>
              <w:ind w:left="0" w:firstLine="0"/>
              <w:jc w:val="left"/>
              <w:rPr/>
            </w:pPr>
            <w:r w:rsidDel="00000000" w:rsidR="00000000" w:rsidRPr="00000000">
              <w:rPr>
                <w:b w:val="0"/>
                <w:i w:val="0"/>
                <w:color w:val="000000"/>
                <w:sz w:val="22"/>
                <w:szCs w:val="22"/>
                <w:rtl w:val="0"/>
              </w:rPr>
              <w:t xml:space="preserve">39.1%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9">
            <w:pPr>
              <w:spacing w:after="0" w:before="0" w:lineRule="auto"/>
              <w:ind w:left="0" w:firstLine="0"/>
              <w:jc w:val="left"/>
              <w:rPr/>
            </w:pPr>
            <w:r w:rsidDel="00000000" w:rsidR="00000000" w:rsidRPr="00000000">
              <w:rPr>
                <w:b w:val="0"/>
                <w:i w:val="0"/>
                <w:color w:val="000000"/>
                <w:sz w:val="22"/>
                <w:szCs w:val="22"/>
                <w:rtl w:val="0"/>
              </w:rPr>
              <w:t xml:space="preserve">38.6%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A">
            <w:pPr>
              <w:spacing w:after="0" w:before="0" w:lineRule="auto"/>
              <w:ind w:left="0" w:firstLine="0"/>
              <w:jc w:val="left"/>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B">
            <w:pPr>
              <w:spacing w:after="0" w:before="0" w:lineRule="auto"/>
              <w:ind w:left="0" w:firstLine="0"/>
              <w:jc w:val="left"/>
              <w:rPr/>
            </w:pPr>
            <w:r w:rsidDel="00000000" w:rsidR="00000000" w:rsidRPr="00000000">
              <w:rPr>
                <w:b w:val="0"/>
                <w:i w:val="0"/>
                <w:color w:val="000000"/>
                <w:sz w:val="22"/>
                <w:szCs w:val="22"/>
                <w:rtl w:val="0"/>
              </w:rPr>
              <w:t xml:space="preserve">Return on Equity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C">
            <w:pPr>
              <w:spacing w:after="0" w:before="0" w:lineRule="auto"/>
              <w:ind w:left="0" w:firstLine="0"/>
              <w:jc w:val="left"/>
              <w:rPr/>
            </w:pPr>
            <w:r w:rsidDel="00000000" w:rsidR="00000000" w:rsidRPr="00000000">
              <w:rPr>
                <w:b w:val="0"/>
                <w:i w:val="0"/>
                <w:color w:val="000000"/>
                <w:sz w:val="22"/>
                <w:szCs w:val="22"/>
                <w:rtl w:val="0"/>
              </w:rPr>
              <w:t xml:space="preserve">2</w:t>
            </w:r>
            <w:r w:rsidDel="00000000" w:rsidR="00000000" w:rsidRPr="00000000">
              <w:rPr>
                <w:rtl w:val="0"/>
              </w:rPr>
              <w:t xml:space="preserve">0</w:t>
            </w:r>
            <w:r w:rsidDel="00000000" w:rsidR="00000000" w:rsidRPr="00000000">
              <w:rPr>
                <w:b w:val="0"/>
                <w:i w:val="0"/>
                <w:color w:val="000000"/>
                <w:sz w:val="22"/>
                <w:szCs w:val="22"/>
                <w:rtl w:val="0"/>
              </w:rPr>
              <w:t xml:space="preserve">.</w:t>
            </w:r>
            <w:r w:rsidDel="00000000" w:rsidR="00000000" w:rsidRPr="00000000">
              <w:rPr>
                <w:rtl w:val="0"/>
              </w:rPr>
              <w:t xml:space="preserve">38</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D">
            <w:pPr>
              <w:spacing w:after="0" w:before="0" w:lineRule="auto"/>
              <w:ind w:left="0" w:firstLine="0"/>
              <w:jc w:val="left"/>
              <w:rPr/>
            </w:pPr>
            <w:r w:rsidDel="00000000" w:rsidR="00000000" w:rsidRPr="00000000">
              <w:rPr>
                <w:b w:val="0"/>
                <w:i w:val="0"/>
                <w:color w:val="000000"/>
                <w:sz w:val="22"/>
                <w:szCs w:val="22"/>
                <w:rtl w:val="0"/>
              </w:rPr>
              <w:t xml:space="preserve">1</w:t>
            </w:r>
            <w:r w:rsidDel="00000000" w:rsidR="00000000" w:rsidRPr="00000000">
              <w:rPr>
                <w:rtl w:val="0"/>
              </w:rPr>
              <w:t xml:space="preserve">4</w:t>
            </w:r>
            <w:r w:rsidDel="00000000" w:rsidR="00000000" w:rsidRPr="00000000">
              <w:rPr>
                <w:b w:val="0"/>
                <w:i w:val="0"/>
                <w:color w:val="000000"/>
                <w:sz w:val="22"/>
                <w:szCs w:val="22"/>
                <w:rtl w:val="0"/>
              </w:rPr>
              <w:t xml:space="preserve">.</w:t>
            </w:r>
            <w:r w:rsidDel="00000000" w:rsidR="00000000" w:rsidRPr="00000000">
              <w:rPr>
                <w:rtl w:val="0"/>
              </w:rPr>
              <w:t xml:space="preserve">25</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E">
            <w:pPr>
              <w:spacing w:after="0" w:before="0" w:lineRule="auto"/>
              <w:ind w:left="0" w:firstLine="0"/>
              <w:jc w:val="left"/>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FF">
            <w:pPr>
              <w:spacing w:after="0" w:before="0" w:lineRule="auto"/>
              <w:ind w:left="0" w:firstLine="0"/>
              <w:jc w:val="left"/>
              <w:rPr/>
            </w:pPr>
            <w:r w:rsidDel="00000000" w:rsidR="00000000" w:rsidRPr="00000000">
              <w:rPr>
                <w:b w:val="0"/>
                <w:i w:val="0"/>
                <w:color w:val="000000"/>
                <w:sz w:val="22"/>
                <w:szCs w:val="22"/>
                <w:rtl w:val="0"/>
              </w:rPr>
              <w:t xml:space="preserve">Return on Assets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0">
            <w:pPr>
              <w:spacing w:after="0" w:before="0" w:lineRule="auto"/>
              <w:ind w:left="0" w:firstLine="0"/>
              <w:jc w:val="left"/>
              <w:rPr/>
            </w:pPr>
            <w:r w:rsidDel="00000000" w:rsidR="00000000" w:rsidRPr="00000000">
              <w:rPr>
                <w:b w:val="0"/>
                <w:i w:val="0"/>
                <w:color w:val="000000"/>
                <w:sz w:val="22"/>
                <w:szCs w:val="22"/>
                <w:rtl w:val="0"/>
              </w:rPr>
              <w:t xml:space="preserve">11.8%</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1">
            <w:pPr>
              <w:spacing w:after="0" w:before="0" w:lineRule="auto"/>
              <w:ind w:left="0" w:firstLine="0"/>
              <w:jc w:val="left"/>
              <w:rPr/>
            </w:pPr>
            <w:r w:rsidDel="00000000" w:rsidR="00000000" w:rsidRPr="00000000">
              <w:rPr>
                <w:b w:val="0"/>
                <w:i w:val="0"/>
                <w:color w:val="000000"/>
                <w:sz w:val="22"/>
                <w:szCs w:val="22"/>
                <w:rtl w:val="0"/>
              </w:rPr>
              <w:t xml:space="preserve">7.</w:t>
            </w:r>
            <w:r w:rsidDel="00000000" w:rsidR="00000000" w:rsidRPr="00000000">
              <w:rPr>
                <w:rtl w:val="0"/>
              </w:rPr>
              <w:t xml:space="preserve">48</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2">
            <w:pPr>
              <w:spacing w:after="0" w:before="0" w:lineRule="auto"/>
              <w:ind w:left="0" w:firstLine="0"/>
              <w:jc w:val="left"/>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3">
            <w:pPr>
              <w:spacing w:after="0" w:before="0" w:lineRule="auto"/>
              <w:ind w:left="0" w:firstLine="0"/>
              <w:jc w:val="left"/>
              <w:rPr/>
            </w:pPr>
            <w:r w:rsidDel="00000000" w:rsidR="00000000" w:rsidRPr="00000000">
              <w:rPr>
                <w:b w:val="0"/>
                <w:i w:val="0"/>
                <w:color w:val="000000"/>
                <w:sz w:val="22"/>
                <w:szCs w:val="22"/>
                <w:rtl w:val="0"/>
              </w:rPr>
              <w:t xml:space="preserve">Effective Tax Rate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4">
            <w:pPr>
              <w:spacing w:after="0" w:before="0" w:lineRule="auto"/>
              <w:ind w:left="0" w:firstLine="0"/>
              <w:jc w:val="left"/>
              <w:rPr/>
            </w:pPr>
            <w:r w:rsidDel="00000000" w:rsidR="00000000" w:rsidRPr="00000000">
              <w:rPr>
                <w:b w:val="0"/>
                <w:i w:val="0"/>
                <w:color w:val="000000"/>
                <w:sz w:val="22"/>
                <w:szCs w:val="22"/>
                <w:rtl w:val="0"/>
              </w:rPr>
              <w:t xml:space="preserve">18.65%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5">
            <w:pPr>
              <w:spacing w:after="0" w:before="0" w:lineRule="auto"/>
              <w:ind w:left="0" w:firstLine="0"/>
              <w:jc w:val="left"/>
              <w:rPr/>
            </w:pPr>
            <w:r w:rsidDel="00000000" w:rsidR="00000000" w:rsidRPr="00000000">
              <w:rPr>
                <w:b w:val="0"/>
                <w:i w:val="0"/>
                <w:color w:val="000000"/>
                <w:sz w:val="22"/>
                <w:szCs w:val="22"/>
                <w:rtl w:val="0"/>
              </w:rPr>
              <w:t xml:space="preserve">26.83%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6">
            <w:pPr>
              <w:spacing w:after="0" w:before="0" w:lineRule="auto"/>
              <w:ind w:left="0" w:firstLine="0"/>
              <w:jc w:val="left"/>
              <w:rPr/>
            </w:pPr>
            <w:r w:rsidDel="00000000" w:rsidR="00000000" w:rsidRPr="00000000">
              <w:rPr>
                <w:b w:val="0"/>
                <w:i w:val="0"/>
                <w:color w:val="000000"/>
                <w:sz w:val="22"/>
                <w:szCs w:val="22"/>
                <w:rtl w:val="0"/>
              </w:rPr>
              <w:t xml:space="preserve">10.24%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7">
            <w:pPr>
              <w:spacing w:after="0" w:before="0" w:lineRule="auto"/>
              <w:ind w:left="0" w:firstLine="0"/>
              <w:jc w:val="left"/>
              <w:rPr/>
            </w:pPr>
            <w:r w:rsidDel="00000000" w:rsidR="00000000" w:rsidRPr="00000000">
              <w:rPr>
                <w:b w:val="0"/>
                <w:i w:val="0"/>
                <w:color w:val="000000"/>
                <w:sz w:val="22"/>
                <w:szCs w:val="22"/>
                <w:rtl w:val="0"/>
              </w:rPr>
              <w:t xml:space="preserve">Dividend Payout Ratio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8">
            <w:pPr>
              <w:spacing w:after="0" w:before="0" w:lineRule="auto"/>
              <w:ind w:left="0" w:firstLine="0"/>
              <w:jc w:val="left"/>
              <w:rPr/>
            </w:pPr>
            <w:r w:rsidDel="00000000" w:rsidR="00000000" w:rsidRPr="00000000">
              <w:rPr>
                <w:b w:val="0"/>
                <w:i w:val="0"/>
                <w:color w:val="000000"/>
                <w:sz w:val="22"/>
                <w:szCs w:val="22"/>
                <w:rtl w:val="0"/>
              </w:rPr>
              <w:t xml:space="preserve">1</w:t>
            </w:r>
            <w:r w:rsidDel="00000000" w:rsidR="00000000" w:rsidRPr="00000000">
              <w:rPr>
                <w:rtl w:val="0"/>
              </w:rPr>
              <w:t xml:space="preserve">4</w:t>
            </w:r>
            <w:r w:rsidDel="00000000" w:rsidR="00000000" w:rsidRPr="00000000">
              <w:rPr>
                <w:b w:val="0"/>
                <w:i w:val="0"/>
                <w:color w:val="000000"/>
                <w:sz w:val="22"/>
                <w:szCs w:val="22"/>
                <w:rtl w:val="0"/>
              </w:rPr>
              <w:t xml:space="preserve">.</w:t>
            </w:r>
            <w:r w:rsidDel="00000000" w:rsidR="00000000" w:rsidRPr="00000000">
              <w:rPr>
                <w:rtl w:val="0"/>
              </w:rPr>
              <w:t xml:space="preserve">69</w:t>
            </w:r>
            <w:r w:rsidDel="00000000" w:rsidR="00000000" w:rsidRPr="00000000">
              <w:rPr>
                <w:b w:val="0"/>
                <w:i w:val="0"/>
                <w:color w:val="000000"/>
                <w:sz w:val="22"/>
                <w:szCs w:val="22"/>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9">
            <w:pPr>
              <w:spacing w:after="0" w:before="0" w:lineRule="auto"/>
              <w:ind w:left="0" w:firstLine="0"/>
              <w:jc w:val="left"/>
              <w:rPr/>
            </w:pPr>
            <w:r w:rsidDel="00000000" w:rsidR="00000000" w:rsidRPr="00000000">
              <w:rPr>
                <w:b w:val="0"/>
                <w:i w:val="0"/>
                <w:color w:val="000000"/>
                <w:sz w:val="22"/>
                <w:szCs w:val="22"/>
                <w:rtl w:val="0"/>
              </w:rPr>
              <w:t xml:space="preserve">17.9%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A">
            <w:pPr>
              <w:spacing w:after="0" w:before="0" w:lineRule="auto"/>
              <w:ind w:left="0" w:firstLine="0"/>
              <w:jc w:val="left"/>
              <w:rPr/>
            </w:pPr>
            <w:r w:rsidDel="00000000" w:rsidR="00000000" w:rsidRPr="00000000">
              <w:rPr>
                <w:rtl w:val="0"/>
              </w:rPr>
              <w:t xml:space="preserve">6</w:t>
            </w:r>
            <w:r w:rsidDel="00000000" w:rsidR="00000000" w:rsidRPr="00000000">
              <w:rPr>
                <w:b w:val="0"/>
                <w:i w:val="0"/>
                <w:color w:val="000000"/>
                <w:sz w:val="22"/>
                <w:szCs w:val="22"/>
                <w:rtl w:val="0"/>
              </w:rPr>
              <w:t xml:space="preserve">.</w:t>
            </w:r>
            <w:r w:rsidDel="00000000" w:rsidR="00000000" w:rsidRPr="00000000">
              <w:rPr>
                <w:rtl w:val="0"/>
              </w:rPr>
              <w:t xml:space="preserve">86</w:t>
            </w:r>
            <w:r w:rsidDel="00000000" w:rsidR="00000000" w:rsidRPr="00000000">
              <w:rPr>
                <w:b w:val="0"/>
                <w:i w:val="0"/>
                <w:color w:val="000000"/>
                <w:sz w:val="22"/>
                <w:szCs w:val="22"/>
                <w:rtl w:val="0"/>
              </w:rPr>
              <w:t xml:space="preserve">%</w:t>
            </w:r>
            <w:r w:rsidDel="00000000" w:rsidR="00000000" w:rsidRPr="00000000">
              <w:rPr>
                <w:rtl w:val="0"/>
              </w:rPr>
            </w:r>
          </w:p>
        </w:tc>
      </w:tr>
    </w:tbl>
    <w:p w:rsidR="00000000" w:rsidDel="00000000" w:rsidP="00000000" w:rsidRDefault="00000000" w:rsidRPr="00000000" w14:paraId="0000010B">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0C">
      <w:pPr>
        <w:spacing w:after="180" w:before="180" w:lineRule="auto"/>
        <w:ind w:left="0" w:firstLine="0"/>
        <w:jc w:val="left"/>
        <w:rPr/>
      </w:pPr>
      <w:r w:rsidDel="00000000" w:rsidR="00000000" w:rsidRPr="00000000">
        <w:rPr>
          <w:b w:val="1"/>
          <w:i w:val="0"/>
          <w:color w:val="000000"/>
          <w:sz w:val="33"/>
          <w:szCs w:val="33"/>
          <w:rtl w:val="0"/>
        </w:rPr>
        <w:t xml:space="preserve">S2.5: Operating Performance</w:t>
      </w:r>
      <w:r w:rsidDel="00000000" w:rsidR="00000000" w:rsidRPr="00000000">
        <w:rPr>
          <w:rtl w:val="0"/>
        </w:rPr>
      </w:r>
    </w:p>
    <w:tbl>
      <w:tblPr>
        <w:tblStyle w:val="Table8"/>
        <w:tblW w:w="856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980"/>
        <w:gridCol w:w="2190"/>
        <w:gridCol w:w="2235"/>
        <w:gridCol w:w="2160"/>
        <w:tblGridChange w:id="0">
          <w:tblGrid>
            <w:gridCol w:w="1980"/>
            <w:gridCol w:w="2190"/>
            <w:gridCol w:w="2235"/>
            <w:gridCol w:w="21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D">
            <w:pPr>
              <w:spacing w:after="0" w:before="0" w:lineRule="auto"/>
              <w:ind w:left="0" w:firstLine="0"/>
              <w:jc w:val="left"/>
              <w:rPr/>
            </w:pPr>
            <w:r w:rsidDel="00000000" w:rsidR="00000000" w:rsidRPr="00000000">
              <w:rPr>
                <w:b w:val="1"/>
                <w:i w:val="0"/>
                <w:color w:val="000000"/>
                <w:sz w:val="22"/>
                <w:szCs w:val="22"/>
                <w:rtl w:val="0"/>
              </w:rPr>
              <w:t xml:space="preserve">Field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E">
            <w:pPr>
              <w:spacing w:after="0" w:before="0" w:lineRule="auto"/>
              <w:ind w:left="0" w:firstLine="0"/>
              <w:jc w:val="left"/>
              <w:rPr/>
            </w:pPr>
            <w:r w:rsidDel="00000000" w:rsidR="00000000" w:rsidRPr="00000000">
              <w:rPr>
                <w:b w:val="1"/>
                <w:i w:val="0"/>
                <w:color w:val="000000"/>
                <w:sz w:val="22"/>
                <w:szCs w:val="22"/>
                <w:rtl w:val="0"/>
              </w:rPr>
              <w:t xml:space="preserve">2024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0F">
            <w:pPr>
              <w:spacing w:after="0" w:before="0" w:lineRule="auto"/>
              <w:ind w:left="0" w:firstLine="0"/>
              <w:jc w:val="left"/>
              <w:rPr/>
            </w:pPr>
            <w:r w:rsidDel="00000000" w:rsidR="00000000" w:rsidRPr="00000000">
              <w:rPr>
                <w:b w:val="1"/>
                <w:i w:val="0"/>
                <w:color w:val="000000"/>
                <w:sz w:val="22"/>
                <w:szCs w:val="22"/>
                <w:rtl w:val="0"/>
              </w:rPr>
              <w:t xml:space="preserve">2023</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0">
            <w:pPr>
              <w:spacing w:after="0" w:before="0" w:lineRule="auto"/>
              <w:ind w:left="0" w:firstLine="0"/>
              <w:jc w:val="left"/>
              <w:rPr/>
            </w:pPr>
            <w:r w:rsidDel="00000000" w:rsidR="00000000" w:rsidRPr="00000000">
              <w:rPr>
                <w:b w:val="1"/>
                <w:i w:val="0"/>
                <w:color w:val="000000"/>
                <w:sz w:val="22"/>
                <w:szCs w:val="22"/>
                <w:rtl w:val="0"/>
              </w:rPr>
              <w:t xml:space="preserve">2022</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1">
            <w:pPr>
              <w:spacing w:after="0" w:before="0" w:lineRule="auto"/>
              <w:ind w:left="0" w:firstLine="0"/>
              <w:jc w:val="left"/>
              <w:rPr/>
            </w:pPr>
            <w:r w:rsidDel="00000000" w:rsidR="00000000" w:rsidRPr="00000000">
              <w:rPr>
                <w:b w:val="0"/>
                <w:i w:val="0"/>
                <w:color w:val="000000"/>
                <w:sz w:val="22"/>
                <w:szCs w:val="22"/>
                <w:rtl w:val="0"/>
              </w:rPr>
              <w:t xml:space="preserve">Revenue by Product/Service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2">
            <w:pPr>
              <w:spacing w:after="0" w:before="0" w:lineRule="auto"/>
              <w:ind w:left="0" w:firstLine="0"/>
              <w:jc w:val="left"/>
              <w:rPr/>
            </w:pPr>
            <w:sdt>
              <w:sdtPr>
                <w:id w:val="512919531"/>
                <w:tag w:val="goog_rdk_21"/>
              </w:sdtPr>
              <w:sdtContent>
                <w:r w:rsidDel="00000000" w:rsidR="00000000" w:rsidRPr="00000000">
                  <w:rPr>
                    <w:rFonts w:ascii="Gungsuh" w:cs="Gungsuh" w:eastAsia="Gungsuh" w:hAnsi="Gungsuh"/>
                    <w:b w:val="0"/>
                    <w:i w:val="0"/>
                    <w:color w:val="000000"/>
                    <w:sz w:val="22"/>
                    <w:szCs w:val="22"/>
                    <w:rtl w:val="0"/>
                  </w:rPr>
                  <w:t xml:space="preserve">2024年：</w:t>
                </w:r>
              </w:sdtContent>
            </w:sdt>
            <w:r w:rsidDel="00000000" w:rsidR="00000000" w:rsidRPr="00000000">
              <w:rPr>
                <w:rtl w:val="0"/>
              </w:rPr>
              <w:br w:type="textWrapping"/>
            </w:r>
            <w:sdt>
              <w:sdtPr>
                <w:id w:val="1147656265"/>
                <w:tag w:val="goog_rdk_22"/>
              </w:sdtPr>
              <w:sdtContent>
                <w:r w:rsidDel="00000000" w:rsidR="00000000" w:rsidRPr="00000000">
                  <w:rPr>
                    <w:rFonts w:ascii="Gungsuh" w:cs="Gungsuh" w:eastAsia="Gungsuh" w:hAnsi="Gungsuh"/>
                    <w:b w:val="0"/>
                    <w:i w:val="0"/>
                    <w:color w:val="000000"/>
                    <w:sz w:val="22"/>
                    <w:szCs w:val="22"/>
                    <w:rtl w:val="0"/>
                  </w:rPr>
                  <w:t xml:space="preserve">• 增值服務：人民幣319,168百萬元（佔49%）</w:t>
                </w:r>
              </w:sdtContent>
            </w:sdt>
            <w:r w:rsidDel="00000000" w:rsidR="00000000" w:rsidRPr="00000000">
              <w:rPr>
                <w:rtl w:val="0"/>
              </w:rPr>
              <w:br w:type="textWrapping"/>
            </w:r>
            <w:sdt>
              <w:sdtPr>
                <w:id w:val="-1287104053"/>
                <w:tag w:val="goog_rdk_23"/>
              </w:sdtPr>
              <w:sdtContent>
                <w:r w:rsidDel="00000000" w:rsidR="00000000" w:rsidRPr="00000000">
                  <w:rPr>
                    <w:rFonts w:ascii="Gungsuh" w:cs="Gungsuh" w:eastAsia="Gungsuh" w:hAnsi="Gungsuh"/>
                    <w:b w:val="0"/>
                    <w:i w:val="0"/>
                    <w:color w:val="000000"/>
                    <w:sz w:val="22"/>
                    <w:szCs w:val="22"/>
                    <w:rtl w:val="0"/>
                  </w:rPr>
                  <w:t xml:space="preserve">• 營銷服務：人民幣121,374百萬元（佔18%）</w:t>
                </w:r>
              </w:sdtContent>
            </w:sdt>
            <w:r w:rsidDel="00000000" w:rsidR="00000000" w:rsidRPr="00000000">
              <w:rPr>
                <w:rtl w:val="0"/>
              </w:rPr>
              <w:br w:type="textWrapping"/>
            </w:r>
            <w:sdt>
              <w:sdtPr>
                <w:id w:val="1304548183"/>
                <w:tag w:val="goog_rdk_24"/>
              </w:sdtPr>
              <w:sdtContent>
                <w:r w:rsidDel="00000000" w:rsidR="00000000" w:rsidRPr="00000000">
                  <w:rPr>
                    <w:rFonts w:ascii="Gungsuh" w:cs="Gungsuh" w:eastAsia="Gungsuh" w:hAnsi="Gungsuh"/>
                    <w:b w:val="0"/>
                    <w:i w:val="0"/>
                    <w:color w:val="000000"/>
                    <w:sz w:val="22"/>
                    <w:szCs w:val="22"/>
                    <w:rtl w:val="0"/>
                  </w:rPr>
                  <w:t xml:space="preserve">• 金融科技及企業服務：人民幣211,956百萬元（佔32%）</w:t>
                </w:r>
              </w:sdtContent>
            </w:sdt>
            <w:r w:rsidDel="00000000" w:rsidR="00000000" w:rsidRPr="00000000">
              <w:rPr>
                <w:rtl w:val="0"/>
              </w:rPr>
              <w:br w:type="textWrapping"/>
            </w:r>
            <w:sdt>
              <w:sdtPr>
                <w:id w:val="982753969"/>
                <w:tag w:val="goog_rdk_25"/>
              </w:sdtPr>
              <w:sdtContent>
                <w:r w:rsidDel="00000000" w:rsidR="00000000" w:rsidRPr="00000000">
                  <w:rPr>
                    <w:rFonts w:ascii="Gungsuh" w:cs="Gungsuh" w:eastAsia="Gungsuh" w:hAnsi="Gungsuh"/>
                    <w:b w:val="0"/>
                    <w:i w:val="0"/>
                    <w:color w:val="000000"/>
                    <w:sz w:val="22"/>
                    <w:szCs w:val="22"/>
                    <w:rtl w:val="0"/>
                  </w:rPr>
                  <w:t xml:space="preserve">• 其他：人民幣7,759百萬元（佔1%）</w:t>
                </w:r>
              </w:sdtContent>
            </w:sdt>
            <w:r w:rsidDel="00000000" w:rsidR="00000000" w:rsidRPr="00000000">
              <w:rPr>
                <w:rtl w:val="0"/>
              </w:rPr>
              <w:br w:type="textWrapping"/>
            </w:r>
            <w:r w:rsidDel="00000000" w:rsidR="00000000" w:rsidRPr="00000000">
              <w:rPr>
                <w:b w:val="0"/>
                <w:i w:val="0"/>
                <w:color w:val="000000"/>
                <w:sz w:val="22"/>
                <w:szCs w:val="22"/>
                <w:rtl w:val="0"/>
              </w:rPr>
              <w:t xml:space="preserve">—</w:t>
            </w:r>
            <w:r w:rsidDel="00000000" w:rsidR="00000000" w:rsidRPr="00000000">
              <w:rPr>
                <w:rtl w:val="0"/>
              </w:rPr>
              <w:br w:type="textWrapping"/>
            </w:r>
            <w:sdt>
              <w:sdtPr>
                <w:id w:val="-1724929047"/>
                <w:tag w:val="goog_rdk_26"/>
              </w:sdtPr>
              <w:sdtContent>
                <w:r w:rsidDel="00000000" w:rsidR="00000000" w:rsidRPr="00000000">
                  <w:rPr>
                    <w:rFonts w:ascii="Gungsuh" w:cs="Gungsuh" w:eastAsia="Gungsuh" w:hAnsi="Gungsuh"/>
                    <w:b w:val="0"/>
                    <w:i w:val="0"/>
                    <w:color w:val="000000"/>
                    <w:sz w:val="22"/>
                    <w:szCs w:val="22"/>
                    <w:rtl w:val="0"/>
                  </w:rPr>
                  <w:t xml:space="preserve">增值服務細分：</w:t>
                </w:r>
              </w:sdtContent>
            </w:sdt>
            <w:r w:rsidDel="00000000" w:rsidR="00000000" w:rsidRPr="00000000">
              <w:rPr>
                <w:rtl w:val="0"/>
              </w:rPr>
              <w:br w:type="textWrapping"/>
            </w:r>
            <w:sdt>
              <w:sdtPr>
                <w:id w:val="-276439605"/>
                <w:tag w:val="goog_rdk_27"/>
              </w:sdtPr>
              <w:sdtContent>
                <w:r w:rsidDel="00000000" w:rsidR="00000000" w:rsidRPr="00000000">
                  <w:rPr>
                    <w:rFonts w:ascii="Gungsuh" w:cs="Gungsuh" w:eastAsia="Gungsuh" w:hAnsi="Gungsuh"/>
                    <w:b w:val="0"/>
                    <w:i w:val="0"/>
                    <w:color w:val="000000"/>
                    <w:sz w:val="22"/>
                    <w:szCs w:val="22"/>
                    <w:rtl w:val="0"/>
                  </w:rPr>
                  <w:t xml:space="preserve">• 遊戲：人民幣197,712百萬元</w:t>
                </w:r>
              </w:sdtContent>
            </w:sdt>
            <w:r w:rsidDel="00000000" w:rsidR="00000000" w:rsidRPr="00000000">
              <w:rPr>
                <w:rtl w:val="0"/>
              </w:rPr>
              <w:br w:type="textWrapping"/>
            </w:r>
            <w:sdt>
              <w:sdtPr>
                <w:id w:val="705622251"/>
                <w:tag w:val="goog_rdk_28"/>
              </w:sdtPr>
              <w:sdtContent>
                <w:r w:rsidDel="00000000" w:rsidR="00000000" w:rsidRPr="00000000">
                  <w:rPr>
                    <w:rFonts w:ascii="Gungsuh" w:cs="Gungsuh" w:eastAsia="Gungsuh" w:hAnsi="Gungsuh"/>
                    <w:b w:val="0"/>
                    <w:i w:val="0"/>
                    <w:color w:val="000000"/>
                    <w:sz w:val="22"/>
                    <w:szCs w:val="22"/>
                    <w:rtl w:val="0"/>
                  </w:rPr>
                  <w:t xml:space="preserve">• 社交網絡：人民幣121,456百萬元</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3">
            <w:pPr>
              <w:spacing w:after="0" w:before="0" w:lineRule="auto"/>
              <w:ind w:left="0" w:firstLine="0"/>
              <w:jc w:val="left"/>
              <w:rPr/>
            </w:pPr>
            <w:sdt>
              <w:sdtPr>
                <w:id w:val="335007012"/>
                <w:tag w:val="goog_rdk_29"/>
              </w:sdtPr>
              <w:sdtContent>
                <w:r w:rsidDel="00000000" w:rsidR="00000000" w:rsidRPr="00000000">
                  <w:rPr>
                    <w:rFonts w:ascii="Gungsuh" w:cs="Gungsuh" w:eastAsia="Gungsuh" w:hAnsi="Gungsuh"/>
                    <w:b w:val="0"/>
                    <w:i w:val="0"/>
                    <w:color w:val="000000"/>
                    <w:sz w:val="22"/>
                    <w:szCs w:val="22"/>
                    <w:rtl w:val="0"/>
                  </w:rPr>
                  <w:t xml:space="preserve">2023年：</w:t>
                </w:r>
              </w:sdtContent>
            </w:sdt>
            <w:r w:rsidDel="00000000" w:rsidR="00000000" w:rsidRPr="00000000">
              <w:rPr>
                <w:rtl w:val="0"/>
              </w:rPr>
              <w:br w:type="textWrapping"/>
            </w:r>
            <w:sdt>
              <w:sdtPr>
                <w:id w:val="-1306497538"/>
                <w:tag w:val="goog_rdk_30"/>
              </w:sdtPr>
              <w:sdtContent>
                <w:r w:rsidDel="00000000" w:rsidR="00000000" w:rsidRPr="00000000">
                  <w:rPr>
                    <w:rFonts w:ascii="Gungsuh" w:cs="Gungsuh" w:eastAsia="Gungsuh" w:hAnsi="Gungsuh"/>
                    <w:b w:val="0"/>
                    <w:i w:val="0"/>
                    <w:color w:val="000000"/>
                    <w:sz w:val="22"/>
                    <w:szCs w:val="22"/>
                    <w:rtl w:val="0"/>
                  </w:rPr>
                  <w:t xml:space="preserve">• 增值服務：人民幣298,375百萬元（佔49%）</w:t>
                </w:r>
              </w:sdtContent>
            </w:sdt>
            <w:r w:rsidDel="00000000" w:rsidR="00000000" w:rsidRPr="00000000">
              <w:rPr>
                <w:rtl w:val="0"/>
              </w:rPr>
              <w:br w:type="textWrapping"/>
            </w:r>
            <w:sdt>
              <w:sdtPr>
                <w:id w:val="1267526993"/>
                <w:tag w:val="goog_rdk_31"/>
              </w:sdtPr>
              <w:sdtContent>
                <w:r w:rsidDel="00000000" w:rsidR="00000000" w:rsidRPr="00000000">
                  <w:rPr>
                    <w:rFonts w:ascii="Gungsuh" w:cs="Gungsuh" w:eastAsia="Gungsuh" w:hAnsi="Gungsuh"/>
                    <w:b w:val="0"/>
                    <w:i w:val="0"/>
                    <w:color w:val="000000"/>
                    <w:sz w:val="22"/>
                    <w:szCs w:val="22"/>
                    <w:rtl w:val="0"/>
                  </w:rPr>
                  <w:t xml:space="preserve">• 營銷服務（網絡廣告）：人民幣101,482百萬元（佔17%）</w:t>
                </w:r>
              </w:sdtContent>
            </w:sdt>
            <w:r w:rsidDel="00000000" w:rsidR="00000000" w:rsidRPr="00000000">
              <w:rPr>
                <w:rtl w:val="0"/>
              </w:rPr>
              <w:br w:type="textWrapping"/>
            </w:r>
            <w:sdt>
              <w:sdtPr>
                <w:id w:val="-266338476"/>
                <w:tag w:val="goog_rdk_32"/>
              </w:sdtPr>
              <w:sdtContent>
                <w:r w:rsidDel="00000000" w:rsidR="00000000" w:rsidRPr="00000000">
                  <w:rPr>
                    <w:rFonts w:ascii="Gungsuh" w:cs="Gungsuh" w:eastAsia="Gungsuh" w:hAnsi="Gungsuh"/>
                    <w:b w:val="0"/>
                    <w:i w:val="0"/>
                    <w:color w:val="000000"/>
                    <w:sz w:val="22"/>
                    <w:szCs w:val="22"/>
                    <w:rtl w:val="0"/>
                  </w:rPr>
                  <w:t xml:space="preserve">• 金融科技及企業服務：人民幣203,763百萬元（佔33%）</w:t>
                </w:r>
              </w:sdtContent>
            </w:sdt>
            <w:r w:rsidDel="00000000" w:rsidR="00000000" w:rsidRPr="00000000">
              <w:rPr>
                <w:rtl w:val="0"/>
              </w:rPr>
              <w:br w:type="textWrapping"/>
            </w:r>
            <w:sdt>
              <w:sdtPr>
                <w:id w:val="1237210485"/>
                <w:tag w:val="goog_rdk_33"/>
              </w:sdtPr>
              <w:sdtContent>
                <w:r w:rsidDel="00000000" w:rsidR="00000000" w:rsidRPr="00000000">
                  <w:rPr>
                    <w:rFonts w:ascii="Gungsuh" w:cs="Gungsuh" w:eastAsia="Gungsuh" w:hAnsi="Gungsuh"/>
                    <w:b w:val="0"/>
                    <w:i w:val="0"/>
                    <w:color w:val="000000"/>
                    <w:sz w:val="22"/>
                    <w:szCs w:val="22"/>
                    <w:rtl w:val="0"/>
                  </w:rPr>
                  <w:t xml:space="preserve">• 其他：人民幣5,395百萬元（佔1%）</w:t>
                </w:r>
              </w:sdtContent>
            </w:sdt>
            <w:r w:rsidDel="00000000" w:rsidR="00000000" w:rsidRPr="00000000">
              <w:rPr>
                <w:rtl w:val="0"/>
              </w:rPr>
              <w:br w:type="textWrapping"/>
            </w:r>
            <w:r w:rsidDel="00000000" w:rsidR="00000000" w:rsidRPr="00000000">
              <w:rPr>
                <w:b w:val="0"/>
                <w:i w:val="0"/>
                <w:color w:val="000000"/>
                <w:sz w:val="22"/>
                <w:szCs w:val="22"/>
                <w:rtl w:val="0"/>
              </w:rPr>
              <w:t xml:space="preserve">—</w:t>
            </w:r>
            <w:r w:rsidDel="00000000" w:rsidR="00000000" w:rsidRPr="00000000">
              <w:rPr>
                <w:rtl w:val="0"/>
              </w:rPr>
              <w:br w:type="textWrapping"/>
            </w:r>
            <w:sdt>
              <w:sdtPr>
                <w:id w:val="1582918699"/>
                <w:tag w:val="goog_rdk_34"/>
              </w:sdtPr>
              <w:sdtContent>
                <w:r w:rsidDel="00000000" w:rsidR="00000000" w:rsidRPr="00000000">
                  <w:rPr>
                    <w:rFonts w:ascii="Gungsuh" w:cs="Gungsuh" w:eastAsia="Gungsuh" w:hAnsi="Gungsuh"/>
                    <w:b w:val="0"/>
                    <w:i w:val="0"/>
                    <w:color w:val="000000"/>
                    <w:sz w:val="22"/>
                    <w:szCs w:val="22"/>
                    <w:rtl w:val="0"/>
                  </w:rPr>
                  <w:t xml:space="preserve">增值服務細分：</w:t>
                </w:r>
              </w:sdtContent>
            </w:sdt>
            <w:r w:rsidDel="00000000" w:rsidR="00000000" w:rsidRPr="00000000">
              <w:rPr>
                <w:rtl w:val="0"/>
              </w:rPr>
              <w:br w:type="textWrapping"/>
            </w:r>
            <w:sdt>
              <w:sdtPr>
                <w:id w:val="-386528495"/>
                <w:tag w:val="goog_rdk_35"/>
              </w:sdtPr>
              <w:sdtContent>
                <w:r w:rsidDel="00000000" w:rsidR="00000000" w:rsidRPr="00000000">
                  <w:rPr>
                    <w:rFonts w:ascii="Gungsuh" w:cs="Gungsuh" w:eastAsia="Gungsuh" w:hAnsi="Gungsuh"/>
                    <w:b w:val="0"/>
                    <w:i w:val="0"/>
                    <w:color w:val="000000"/>
                    <w:sz w:val="22"/>
                    <w:szCs w:val="22"/>
                    <w:rtl w:val="0"/>
                  </w:rPr>
                  <w:t xml:space="preserve">• 遊戲：人民幣179,860百萬元</w:t>
                </w:r>
              </w:sdtContent>
            </w:sdt>
            <w:r w:rsidDel="00000000" w:rsidR="00000000" w:rsidRPr="00000000">
              <w:rPr>
                <w:rtl w:val="0"/>
              </w:rPr>
              <w:br w:type="textWrapping"/>
            </w:r>
            <w:sdt>
              <w:sdtPr>
                <w:id w:val="364608923"/>
                <w:tag w:val="goog_rdk_36"/>
              </w:sdtPr>
              <w:sdtContent>
                <w:r w:rsidDel="00000000" w:rsidR="00000000" w:rsidRPr="00000000">
                  <w:rPr>
                    <w:rFonts w:ascii="Gungsuh" w:cs="Gungsuh" w:eastAsia="Gungsuh" w:hAnsi="Gungsuh"/>
                    <w:b w:val="0"/>
                    <w:i w:val="0"/>
                    <w:color w:val="000000"/>
                    <w:sz w:val="22"/>
                    <w:szCs w:val="22"/>
                    <w:rtl w:val="0"/>
                  </w:rPr>
                  <w:t xml:space="preserve">• 社交網絡：人民幣118,515百萬元</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4">
            <w:pPr>
              <w:spacing w:after="0" w:before="0" w:lineRule="auto"/>
              <w:ind w:left="0" w:firstLine="0"/>
              <w:jc w:val="left"/>
              <w:rPr/>
            </w:pPr>
            <w:sdt>
              <w:sdtPr>
                <w:id w:val="-272554281"/>
                <w:tag w:val="goog_rdk_37"/>
              </w:sdtPr>
              <w:sdtContent>
                <w:r w:rsidDel="00000000" w:rsidR="00000000" w:rsidRPr="00000000">
                  <w:rPr>
                    <w:rFonts w:ascii="Gungsuh" w:cs="Gungsuh" w:eastAsia="Gungsuh" w:hAnsi="Gungsuh"/>
                    <w:b w:val="0"/>
                    <w:i w:val="0"/>
                    <w:color w:val="000000"/>
                    <w:sz w:val="22"/>
                    <w:szCs w:val="22"/>
                    <w:rtl w:val="0"/>
                  </w:rPr>
                  <w:t xml:space="preserve">2022年：</w:t>
                </w:r>
              </w:sdtContent>
            </w:sdt>
            <w:r w:rsidDel="00000000" w:rsidR="00000000" w:rsidRPr="00000000">
              <w:rPr>
                <w:rtl w:val="0"/>
              </w:rPr>
              <w:br w:type="textWrapping"/>
            </w:r>
            <w:sdt>
              <w:sdtPr>
                <w:id w:val="-196492508"/>
                <w:tag w:val="goog_rdk_38"/>
              </w:sdtPr>
              <w:sdtContent>
                <w:r w:rsidDel="00000000" w:rsidR="00000000" w:rsidRPr="00000000">
                  <w:rPr>
                    <w:rFonts w:ascii="Gungsuh" w:cs="Gungsuh" w:eastAsia="Gungsuh" w:hAnsi="Gungsuh"/>
                    <w:b w:val="0"/>
                    <w:i w:val="0"/>
                    <w:color w:val="000000"/>
                    <w:sz w:val="22"/>
                    <w:szCs w:val="22"/>
                    <w:rtl w:val="0"/>
                  </w:rPr>
                  <w:t xml:space="preserve">• 增值服務：人民幣287,565百萬元（佔52%）</w:t>
                </w:r>
              </w:sdtContent>
            </w:sdt>
            <w:r w:rsidDel="00000000" w:rsidR="00000000" w:rsidRPr="00000000">
              <w:rPr>
                <w:rtl w:val="0"/>
              </w:rPr>
              <w:br w:type="textWrapping"/>
            </w:r>
            <w:sdt>
              <w:sdtPr>
                <w:id w:val="-491759525"/>
                <w:tag w:val="goog_rdk_39"/>
              </w:sdtPr>
              <w:sdtContent>
                <w:r w:rsidDel="00000000" w:rsidR="00000000" w:rsidRPr="00000000">
                  <w:rPr>
                    <w:rFonts w:ascii="Gungsuh" w:cs="Gungsuh" w:eastAsia="Gungsuh" w:hAnsi="Gungsuh"/>
                    <w:b w:val="0"/>
                    <w:i w:val="0"/>
                    <w:color w:val="000000"/>
                    <w:sz w:val="22"/>
                    <w:szCs w:val="22"/>
                    <w:rtl w:val="0"/>
                  </w:rPr>
                  <w:t xml:space="preserve">• 網絡廣告：人民幣82,729百萬元（佔15%）</w:t>
                </w:r>
              </w:sdtContent>
            </w:sdt>
            <w:r w:rsidDel="00000000" w:rsidR="00000000" w:rsidRPr="00000000">
              <w:rPr>
                <w:rtl w:val="0"/>
              </w:rPr>
              <w:br w:type="textWrapping"/>
            </w:r>
            <w:sdt>
              <w:sdtPr>
                <w:id w:val="1054915798"/>
                <w:tag w:val="goog_rdk_40"/>
              </w:sdtPr>
              <w:sdtContent>
                <w:r w:rsidDel="00000000" w:rsidR="00000000" w:rsidRPr="00000000">
                  <w:rPr>
                    <w:rFonts w:ascii="Gungsuh" w:cs="Gungsuh" w:eastAsia="Gungsuh" w:hAnsi="Gungsuh"/>
                    <w:b w:val="0"/>
                    <w:i w:val="0"/>
                    <w:color w:val="000000"/>
                    <w:sz w:val="22"/>
                    <w:szCs w:val="22"/>
                    <w:rtl w:val="0"/>
                  </w:rPr>
                  <w:t xml:space="preserve">• 金融科技及企業服務：人民幣177,064百萬元（佔32%）</w:t>
                </w:r>
              </w:sdtContent>
            </w:sdt>
            <w:r w:rsidDel="00000000" w:rsidR="00000000" w:rsidRPr="00000000">
              <w:rPr>
                <w:rtl w:val="0"/>
              </w:rPr>
              <w:br w:type="textWrapping"/>
            </w:r>
            <w:sdt>
              <w:sdtPr>
                <w:id w:val="-622616433"/>
                <w:tag w:val="goog_rdk_41"/>
              </w:sdtPr>
              <w:sdtContent>
                <w:r w:rsidDel="00000000" w:rsidR="00000000" w:rsidRPr="00000000">
                  <w:rPr>
                    <w:rFonts w:ascii="Gungsuh" w:cs="Gungsuh" w:eastAsia="Gungsuh" w:hAnsi="Gungsuh"/>
                    <w:b w:val="0"/>
                    <w:i w:val="0"/>
                    <w:color w:val="000000"/>
                    <w:sz w:val="22"/>
                    <w:szCs w:val="22"/>
                    <w:rtl w:val="0"/>
                  </w:rPr>
                  <w:t xml:space="preserve">• 其他：人民幣7,194百萬元（佔1%）</w:t>
                </w:r>
              </w:sdtContent>
            </w:sdt>
            <w:r w:rsidDel="00000000" w:rsidR="00000000" w:rsidRPr="00000000">
              <w:rPr>
                <w:rtl w:val="0"/>
              </w:rPr>
              <w:br w:type="textWrapping"/>
            </w:r>
            <w:r w:rsidDel="00000000" w:rsidR="00000000" w:rsidRPr="00000000">
              <w:rPr>
                <w:b w:val="0"/>
                <w:i w:val="0"/>
                <w:color w:val="000000"/>
                <w:sz w:val="22"/>
                <w:szCs w:val="22"/>
                <w:rtl w:val="0"/>
              </w:rPr>
              <w:t xml:space="preserve">—</w:t>
            </w:r>
            <w:r w:rsidDel="00000000" w:rsidR="00000000" w:rsidRPr="00000000">
              <w:rPr>
                <w:rtl w:val="0"/>
              </w:rPr>
              <w:br w:type="textWrapping"/>
            </w:r>
            <w:sdt>
              <w:sdtPr>
                <w:id w:val="-716744254"/>
                <w:tag w:val="goog_rdk_42"/>
              </w:sdtPr>
              <w:sdtContent>
                <w:r w:rsidDel="00000000" w:rsidR="00000000" w:rsidRPr="00000000">
                  <w:rPr>
                    <w:rFonts w:ascii="Gungsuh" w:cs="Gungsuh" w:eastAsia="Gungsuh" w:hAnsi="Gungsuh"/>
                    <w:b w:val="0"/>
                    <w:i w:val="0"/>
                    <w:color w:val="000000"/>
                    <w:sz w:val="22"/>
                    <w:szCs w:val="22"/>
                    <w:rtl w:val="0"/>
                  </w:rPr>
                  <w:t xml:space="preserve">增值服務細分：</w:t>
                </w:r>
              </w:sdtContent>
            </w:sdt>
            <w:r w:rsidDel="00000000" w:rsidR="00000000" w:rsidRPr="00000000">
              <w:rPr>
                <w:rtl w:val="0"/>
              </w:rPr>
              <w:br w:type="textWrapping"/>
            </w:r>
            <w:sdt>
              <w:sdtPr>
                <w:id w:val="464999451"/>
                <w:tag w:val="goog_rdk_43"/>
              </w:sdtPr>
              <w:sdtContent>
                <w:r w:rsidDel="00000000" w:rsidR="00000000" w:rsidRPr="00000000">
                  <w:rPr>
                    <w:rFonts w:ascii="Gungsuh" w:cs="Gungsuh" w:eastAsia="Gungsuh" w:hAnsi="Gungsuh"/>
                    <w:b w:val="0"/>
                    <w:i w:val="0"/>
                    <w:color w:val="000000"/>
                    <w:sz w:val="22"/>
                    <w:szCs w:val="22"/>
                    <w:rtl w:val="0"/>
                  </w:rPr>
                  <w:t xml:space="preserve">• 遊戲：N/A</w:t>
                </w:r>
              </w:sdtContent>
            </w:sdt>
            <w:r w:rsidDel="00000000" w:rsidR="00000000" w:rsidRPr="00000000">
              <w:rPr>
                <w:rtl w:val="0"/>
              </w:rPr>
              <w:br w:type="textWrapping"/>
            </w:r>
            <w:sdt>
              <w:sdtPr>
                <w:id w:val="-1882979221"/>
                <w:tag w:val="goog_rdk_44"/>
              </w:sdtPr>
              <w:sdtContent>
                <w:r w:rsidDel="00000000" w:rsidR="00000000" w:rsidRPr="00000000">
                  <w:rPr>
                    <w:rFonts w:ascii="Gungsuh" w:cs="Gungsuh" w:eastAsia="Gungsuh" w:hAnsi="Gungsuh"/>
                    <w:b w:val="0"/>
                    <w:i w:val="0"/>
                    <w:color w:val="000000"/>
                    <w:sz w:val="22"/>
                    <w:szCs w:val="22"/>
                    <w:rtl w:val="0"/>
                  </w:rPr>
                  <w:t xml:space="preserve">• 社交網絡：N/A</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5">
            <w:pPr>
              <w:spacing w:after="0" w:before="0" w:lineRule="auto"/>
              <w:ind w:left="0" w:firstLine="0"/>
              <w:jc w:val="left"/>
              <w:rPr/>
            </w:pPr>
            <w:r w:rsidDel="00000000" w:rsidR="00000000" w:rsidRPr="00000000">
              <w:rPr>
                <w:b w:val="0"/>
                <w:i w:val="0"/>
                <w:color w:val="000000"/>
                <w:sz w:val="22"/>
                <w:szCs w:val="22"/>
                <w:rtl w:val="0"/>
              </w:rPr>
              <w:t xml:space="preserve">Revenue by Geographic Region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spacing w:after="0" w:before="0" w:lineRule="auto"/>
              <w:ind w:left="0" w:firstLine="0"/>
              <w:jc w:val="left"/>
              <w:rPr/>
            </w:pPr>
            <w:sdt>
              <w:sdtPr>
                <w:id w:val="181779499"/>
                <w:tag w:val="goog_rdk_45"/>
              </w:sdtPr>
              <w:sdtContent>
                <w:r w:rsidDel="00000000" w:rsidR="00000000" w:rsidRPr="00000000">
                  <w:rPr>
                    <w:rFonts w:ascii="Gungsuh" w:cs="Gungsuh" w:eastAsia="Gungsuh" w:hAnsi="Gungsuh"/>
                    <w:b w:val="0"/>
                    <w:i w:val="0"/>
                    <w:color w:val="000000"/>
                    <w:sz w:val="22"/>
                    <w:szCs w:val="22"/>
                    <w:rtl w:val="0"/>
                  </w:rPr>
                  <w:t xml:space="preserve">2024年：</w:t>
                </w:r>
              </w:sdtContent>
            </w:sdt>
            <w:r w:rsidDel="00000000" w:rsidR="00000000" w:rsidRPr="00000000">
              <w:rPr>
                <w:rtl w:val="0"/>
              </w:rPr>
              <w:br w:type="textWrapping"/>
            </w:r>
            <w:sdt>
              <w:sdtPr>
                <w:id w:val="-568677469"/>
                <w:tag w:val="goog_rdk_46"/>
              </w:sdtPr>
              <w:sdtContent>
                <w:r w:rsidDel="00000000" w:rsidR="00000000" w:rsidRPr="00000000">
                  <w:rPr>
                    <w:rFonts w:ascii="Gungsuh" w:cs="Gungsuh" w:eastAsia="Gungsuh" w:hAnsi="Gungsuh"/>
                    <w:b w:val="0"/>
                    <w:i w:val="0"/>
                    <w:color w:val="000000"/>
                    <w:sz w:val="22"/>
                    <w:szCs w:val="22"/>
                    <w:rtl w:val="0"/>
                  </w:rPr>
                  <w:t xml:space="preserve">• 中國內地：人民幣595,458百萬元</w:t>
                </w:r>
              </w:sdtContent>
            </w:sdt>
            <w:r w:rsidDel="00000000" w:rsidR="00000000" w:rsidRPr="00000000">
              <w:rPr>
                <w:rtl w:val="0"/>
              </w:rPr>
              <w:br w:type="textWrapping"/>
            </w:r>
            <w:sdt>
              <w:sdtPr>
                <w:id w:val="-833492958"/>
                <w:tag w:val="goog_rdk_47"/>
              </w:sdtPr>
              <w:sdtContent>
                <w:r w:rsidDel="00000000" w:rsidR="00000000" w:rsidRPr="00000000">
                  <w:rPr>
                    <w:rFonts w:ascii="Gungsuh" w:cs="Gungsuh" w:eastAsia="Gungsuh" w:hAnsi="Gungsuh"/>
                    <w:b w:val="0"/>
                    <w:i w:val="0"/>
                    <w:color w:val="000000"/>
                    <w:sz w:val="22"/>
                    <w:szCs w:val="22"/>
                    <w:rtl w:val="0"/>
                  </w:rPr>
                  <w:t xml:space="preserve">• 其他地區：人民幣64,799百萬元</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7">
            <w:pPr>
              <w:spacing w:after="0" w:before="0" w:lineRule="auto"/>
              <w:ind w:left="0" w:firstLine="0"/>
              <w:jc w:val="left"/>
              <w:rPr/>
            </w:pPr>
            <w:sdt>
              <w:sdtPr>
                <w:id w:val="1413251636"/>
                <w:tag w:val="goog_rdk_48"/>
              </w:sdtPr>
              <w:sdtContent>
                <w:r w:rsidDel="00000000" w:rsidR="00000000" w:rsidRPr="00000000">
                  <w:rPr>
                    <w:rFonts w:ascii="Gungsuh" w:cs="Gungsuh" w:eastAsia="Gungsuh" w:hAnsi="Gungsuh"/>
                    <w:b w:val="0"/>
                    <w:i w:val="0"/>
                    <w:color w:val="000000"/>
                    <w:sz w:val="22"/>
                    <w:szCs w:val="22"/>
                    <w:rtl w:val="0"/>
                  </w:rPr>
                  <w:t xml:space="preserve">2023年：</w:t>
                </w:r>
              </w:sdtContent>
            </w:sdt>
            <w:r w:rsidDel="00000000" w:rsidR="00000000" w:rsidRPr="00000000">
              <w:rPr>
                <w:rtl w:val="0"/>
              </w:rPr>
              <w:br w:type="textWrapping"/>
            </w:r>
            <w:sdt>
              <w:sdtPr>
                <w:id w:val="-1851423761"/>
                <w:tag w:val="goog_rdk_49"/>
              </w:sdtPr>
              <w:sdtContent>
                <w:r w:rsidDel="00000000" w:rsidR="00000000" w:rsidRPr="00000000">
                  <w:rPr>
                    <w:rFonts w:ascii="Gungsuh" w:cs="Gungsuh" w:eastAsia="Gungsuh" w:hAnsi="Gungsuh"/>
                    <w:b w:val="0"/>
                    <w:i w:val="0"/>
                    <w:color w:val="000000"/>
                    <w:sz w:val="22"/>
                    <w:szCs w:val="22"/>
                    <w:rtl w:val="0"/>
                  </w:rPr>
                  <w:t xml:space="preserve">• 中國內地：人民幣550,779百萬元</w:t>
                </w:r>
              </w:sdtContent>
            </w:sdt>
            <w:r w:rsidDel="00000000" w:rsidR="00000000" w:rsidRPr="00000000">
              <w:rPr>
                <w:rtl w:val="0"/>
              </w:rPr>
              <w:br w:type="textWrapping"/>
            </w:r>
            <w:sdt>
              <w:sdtPr>
                <w:id w:val="-2142674323"/>
                <w:tag w:val="goog_rdk_50"/>
              </w:sdtPr>
              <w:sdtContent>
                <w:r w:rsidDel="00000000" w:rsidR="00000000" w:rsidRPr="00000000">
                  <w:rPr>
                    <w:rFonts w:ascii="Gungsuh" w:cs="Gungsuh" w:eastAsia="Gungsuh" w:hAnsi="Gungsuh"/>
                    <w:b w:val="0"/>
                    <w:i w:val="0"/>
                    <w:color w:val="000000"/>
                    <w:sz w:val="22"/>
                    <w:szCs w:val="22"/>
                    <w:rtl w:val="0"/>
                  </w:rPr>
                  <w:t xml:space="preserve">• 其他地區：人民幣58,236百萬元</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8">
            <w:pPr>
              <w:spacing w:after="0" w:before="0" w:lineRule="auto"/>
              <w:ind w:left="0" w:firstLine="0"/>
              <w:jc w:val="left"/>
              <w:rPr/>
            </w:pPr>
            <w:sdt>
              <w:sdtPr>
                <w:id w:val="-978007885"/>
                <w:tag w:val="goog_rdk_51"/>
              </w:sdtPr>
              <w:sdtContent>
                <w:r w:rsidDel="00000000" w:rsidR="00000000" w:rsidRPr="00000000">
                  <w:rPr>
                    <w:rFonts w:ascii="Gungsuh" w:cs="Gungsuh" w:eastAsia="Gungsuh" w:hAnsi="Gungsuh"/>
                    <w:b w:val="0"/>
                    <w:i w:val="0"/>
                    <w:color w:val="000000"/>
                    <w:sz w:val="22"/>
                    <w:szCs w:val="22"/>
                    <w:rtl w:val="0"/>
                  </w:rPr>
                  <w:t xml:space="preserve">2022年：</w:t>
                </w:r>
              </w:sdtContent>
            </w:sdt>
            <w:r w:rsidDel="00000000" w:rsidR="00000000" w:rsidRPr="00000000">
              <w:rPr>
                <w:rtl w:val="0"/>
              </w:rPr>
              <w:br w:type="textWrapping"/>
            </w:r>
            <w:sdt>
              <w:sdtPr>
                <w:id w:val="1796083430"/>
                <w:tag w:val="goog_rdk_52"/>
              </w:sdtPr>
              <w:sdtContent>
                <w:r w:rsidDel="00000000" w:rsidR="00000000" w:rsidRPr="00000000">
                  <w:rPr>
                    <w:rFonts w:ascii="Gungsuh" w:cs="Gungsuh" w:eastAsia="Gungsuh" w:hAnsi="Gungsuh"/>
                    <w:b w:val="0"/>
                    <w:i w:val="0"/>
                    <w:color w:val="000000"/>
                    <w:sz w:val="22"/>
                    <w:szCs w:val="22"/>
                    <w:rtl w:val="0"/>
                  </w:rPr>
                  <w:t xml:space="preserve">• 中國內地：人民幣502,534百萬元</w:t>
                </w:r>
              </w:sdtContent>
            </w:sdt>
            <w:r w:rsidDel="00000000" w:rsidR="00000000" w:rsidRPr="00000000">
              <w:rPr>
                <w:rtl w:val="0"/>
              </w:rPr>
              <w:br w:type="textWrapping"/>
            </w:r>
            <w:sdt>
              <w:sdtPr>
                <w:id w:val="1721293206"/>
                <w:tag w:val="goog_rdk_53"/>
              </w:sdtPr>
              <w:sdtContent>
                <w:r w:rsidDel="00000000" w:rsidR="00000000" w:rsidRPr="00000000">
                  <w:rPr>
                    <w:rFonts w:ascii="Gungsuh" w:cs="Gungsuh" w:eastAsia="Gungsuh" w:hAnsi="Gungsuh"/>
                    <w:b w:val="0"/>
                    <w:i w:val="0"/>
                    <w:color w:val="000000"/>
                    <w:sz w:val="22"/>
                    <w:szCs w:val="22"/>
                    <w:rtl w:val="0"/>
                  </w:rPr>
                  <w:t xml:space="preserve">• 其他地區：人民幣52,018百萬元</w:t>
                </w:r>
              </w:sdtContent>
            </w:sdt>
            <w:r w:rsidDel="00000000" w:rsidR="00000000" w:rsidRPr="00000000">
              <w:rPr>
                <w:rtl w:val="0"/>
              </w:rPr>
            </w:r>
          </w:p>
        </w:tc>
      </w:tr>
    </w:tbl>
    <w:p w:rsidR="00000000" w:rsidDel="00000000" w:rsidP="00000000" w:rsidRDefault="00000000" w:rsidRPr="00000000" w14:paraId="00000119">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1A">
      <w:pPr>
        <w:spacing w:after="161" w:before="161" w:lineRule="auto"/>
        <w:ind w:left="0" w:firstLine="0"/>
        <w:jc w:val="left"/>
        <w:rPr/>
      </w:pPr>
      <w:r w:rsidDel="00000000" w:rsidR="00000000" w:rsidRPr="00000000">
        <w:rPr>
          <w:b w:val="1"/>
          <w:i w:val="0"/>
          <w:color w:val="000000"/>
          <w:sz w:val="44"/>
          <w:szCs w:val="44"/>
          <w:rtl w:val="0"/>
        </w:rPr>
        <w:t xml:space="preserve">Section 3: Business Analysis</w:t>
      </w:r>
      <w:r w:rsidDel="00000000" w:rsidR="00000000" w:rsidRPr="00000000">
        <w:rPr>
          <w:rtl w:val="0"/>
        </w:rPr>
      </w:r>
    </w:p>
    <w:p w:rsidR="00000000" w:rsidDel="00000000" w:rsidP="00000000" w:rsidRDefault="00000000" w:rsidRPr="00000000" w14:paraId="0000011B">
      <w:pPr>
        <w:spacing w:after="180" w:before="180" w:lineRule="auto"/>
        <w:ind w:left="0" w:firstLine="0"/>
        <w:jc w:val="left"/>
        <w:rPr/>
      </w:pPr>
      <w:r w:rsidDel="00000000" w:rsidR="00000000" w:rsidRPr="00000000">
        <w:rPr>
          <w:b w:val="1"/>
          <w:i w:val="0"/>
          <w:color w:val="000000"/>
          <w:sz w:val="33"/>
          <w:szCs w:val="33"/>
          <w:rtl w:val="0"/>
        </w:rPr>
        <w:t xml:space="preserve">S3.1: Profitability Analysis</w:t>
      </w:r>
      <w:r w:rsidDel="00000000" w:rsidR="00000000" w:rsidRPr="00000000">
        <w:rPr>
          <w:rtl w:val="0"/>
        </w:rPr>
      </w:r>
    </w:p>
    <w:tbl>
      <w:tblPr>
        <w:tblStyle w:val="Table9"/>
        <w:tblW w:w="7234.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194"/>
        <w:gridCol w:w="5040"/>
        <w:tblGridChange w:id="0">
          <w:tblGrid>
            <w:gridCol w:w="2194"/>
            <w:gridCol w:w="504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pPr>
            <w:r w:rsidDel="00000000" w:rsidR="00000000" w:rsidRPr="00000000">
              <w:rPr>
                <w:rtl w:val="0"/>
              </w:rPr>
              <w:t xml:space="preserve">Perspective</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pPr>
            <w:r w:rsidDel="00000000" w:rsidR="00000000" w:rsidRPr="00000000">
              <w:rPr>
                <w:rtl w:val="0"/>
              </w:rPr>
              <w:t xml:space="preserve">Answer</w:t>
            </w:r>
          </w:p>
        </w:tc>
      </w:tr>
      <w:tr>
        <w:trPr>
          <w:cantSplit w:val="0"/>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pPr>
            <w:r w:rsidDel="00000000" w:rsidR="00000000" w:rsidRPr="00000000">
              <w:rPr>
                <w:rtl w:val="0"/>
              </w:rPr>
              <w:t xml:space="preserve">Revenue &amp; Direct-Cost Dynamics (Revenue Growth ; Gross Margin; Revenue by Product/Service; Revenue by Geographic Region)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pPr>
            <w:sdt>
              <w:sdtPr>
                <w:id w:val="791265750"/>
                <w:tag w:val="goog_rdk_54"/>
              </w:sdtPr>
              <w:sdtContent>
                <w:r w:rsidDel="00000000" w:rsidR="00000000" w:rsidRPr="00000000">
                  <w:rPr>
                    <w:rFonts w:ascii="Gungsuh" w:cs="Gungsuh" w:eastAsia="Gungsuh" w:hAnsi="Gungsuh"/>
                    <w:rtl w:val="0"/>
                  </w:rPr>
                  <w:t xml:space="preserve">公司收入保持穩健增長態勢，2022-2023年增長9.8%，2023-2024年增長8.4%，顯示持續的業務擴張能力。毛利率表現卓越，從2022年的43.1%大幅提升至2024年的52.9%，反映出成本控制能力的顯著改善和業務結構優化。產品組合方面，增值服務始終為最大收入來源（佔總收入約49%），其中遊戲業務從2023年的179,860百萬元增長至2024年的197,712百萬元。金融科技及企業服務業務穩定增長，營銷服務收入大幅增長19.6%。地理分布上，中國內地仍為主要市場（約90%），海外市場收入持續擴大，從2022年的52,018百萬元增至2024年的64,799百萬元。</w:t>
                </w:r>
              </w:sdtContent>
            </w:sdt>
          </w:p>
        </w:tc>
      </w:tr>
      <w:tr>
        <w:trPr>
          <w:cantSplit w:val="0"/>
          <w:tblHeader w:val="0"/>
        </w:trPr>
        <w:tc>
          <w:tcPr>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pPr>
            <w:r w:rsidDel="00000000" w:rsidR="00000000" w:rsidRPr="00000000">
              <w:rPr>
                <w:rtl w:val="0"/>
              </w:rPr>
              <w:t xml:space="preserve">Operating Efficiency (Operating Margin)</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rPr/>
            </w:pPr>
            <w:sdt>
              <w:sdtPr>
                <w:id w:val="-853400957"/>
                <w:tag w:val="goog_rdk_55"/>
              </w:sdtPr>
              <w:sdtContent>
                <w:r w:rsidDel="00000000" w:rsidR="00000000" w:rsidRPr="00000000">
                  <w:rPr>
                    <w:rFonts w:ascii="Gungsuh" w:cs="Gungsuh" w:eastAsia="Gungsuh" w:hAnsi="Gungsuh"/>
                    <w:rtl w:val="0"/>
                  </w:rPr>
                  <w:t xml:space="preserve">營運效率顯著提升，營業利潤率從2022年的19.99%大幅改善至2024年的31.53%，表明公司在成本控制和營運管理方面取得卓越成效。營業利潤實現強勁增長，從2022年的110,827百萬元增加至2024年的208,099百萬元，三年間增長87.8%。營業費用控制良好，雖然從2022年的135,925百萬元增至2024年的149,149百萬元（</w:t>
                </w:r>
              </w:sdtContent>
            </w:sdt>
            <w:sdt>
              <w:sdtPr>
                <w:id w:val="-2034712576"/>
                <w:tag w:val="goog_rdk_56"/>
              </w:sdtPr>
              <w:sdtContent>
                <w:r w:rsidDel="00000000" w:rsidR="00000000" w:rsidRPr="00000000">
                  <w:rPr>
                    <w:rFonts w:ascii="Arial Unicode MS" w:cs="Arial Unicode MS" w:eastAsia="Arial Unicode MS" w:hAnsi="Arial Unicode MS"/>
                    <w:color w:val="131314"/>
                    <w:sz w:val="21"/>
                    <w:szCs w:val="21"/>
                    <w:highlight w:val="white"/>
                    <w:rtl w:val="0"/>
                  </w:rPr>
                  <w:t xml:space="preserve">增幅約8.3%）</w:t>
                </w:r>
              </w:sdtContent>
            </w:sdt>
            <w:sdt>
              <w:sdtPr>
                <w:id w:val="118066353"/>
                <w:tag w:val="goog_rdk_57"/>
              </w:sdtPr>
              <w:sdtContent>
                <w:r w:rsidDel="00000000" w:rsidR="00000000" w:rsidRPr="00000000">
                  <w:rPr>
                    <w:rFonts w:ascii="Gungsuh" w:cs="Gungsuh" w:eastAsia="Gungsuh" w:hAnsi="Gungsuh"/>
                    <w:rtl w:val="0"/>
                  </w:rPr>
                  <w:t xml:space="preserve">，但增幅遠低於收入增長幅度，顯示出良好的營運槓桿效應和規模經濟效益。</w:t>
                </w:r>
              </w:sdtContent>
            </w:sdt>
          </w:p>
        </w:tc>
      </w:tr>
      <w:tr>
        <w:trPr>
          <w:cantSplit w:val="0"/>
          <w:tblHeader w:val="0"/>
        </w:trPr>
        <w:tc>
          <w:tcPr>
            <w:tcBorders>
              <w:left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pPr>
            <w:r w:rsidDel="00000000" w:rsidR="00000000" w:rsidRPr="00000000">
              <w:rPr>
                <w:rtl w:val="0"/>
              </w:rPr>
              <w:t xml:space="preserve">External &amp; One-Off Impact (Effective Tax Rate, Non-Recurring Items)</w:t>
            </w:r>
          </w:p>
        </w:tc>
        <w:tc>
          <w:tcPr>
            <w:tcBorders>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pPr>
            <w:sdt>
              <w:sdtPr>
                <w:id w:val="1661526415"/>
                <w:tag w:val="goog_rdk_58"/>
              </w:sdtPr>
              <w:sdtContent>
                <w:r w:rsidDel="00000000" w:rsidR="00000000" w:rsidRPr="00000000">
                  <w:rPr>
                    <w:rFonts w:ascii="Gungsuh" w:cs="Gungsuh" w:eastAsia="Gungsuh" w:hAnsi="Gungsuh"/>
                    <w:rtl w:val="0"/>
                  </w:rPr>
                  <w:t xml:space="preserve">有效稅率呈現波動性變化，從2022年的10.24%大幅上升至2023年的26.83%，隨後在2024年回落至18.65%，對淨利潤產生重要影響。2023年稅率的大幅上升導致該年淨利潤率下降至19.38%，而2024年稅率的回落有助於淨利潤率回升至29.77%。所得稅支出從2022年的21,516百萬元增加至2024年的45,018百萬元，反映出稅務環境變化的影響。</w:t>
                </w:r>
              </w:sdtContent>
            </w:sdt>
            <w:sdt>
              <w:sdtPr>
                <w:id w:val="1759549946"/>
                <w:tag w:val="goog_rdk_59"/>
              </w:sdtPr>
              <w:sdtContent>
                <w:r w:rsidDel="00000000" w:rsidR="00000000" w:rsidRPr="00000000">
                  <w:rPr>
                    <w:rFonts w:ascii="Arial Unicode MS" w:cs="Arial Unicode MS" w:eastAsia="Arial Unicode MS" w:hAnsi="Arial Unicode MS"/>
                    <w:color w:val="131314"/>
                    <w:sz w:val="21"/>
                    <w:szCs w:val="21"/>
                    <w:highlight w:val="white"/>
                    <w:rtl w:val="0"/>
                  </w:rPr>
                  <w:t xml:space="preserve">值得注意的是，投資收益╱（虧損）淨額及其他項目對公司盈利能力產生了顯著的一次性影響。例如，2022年淨利潤因確認視同處置美團的收益約人民幣1,066億元而顯著提升。相較之下，2023年此項目錄得（6,090）百萬元人民幣虧損，而在2024年則轉為4,187百萬元人民幣收益。這些非經營性項目的大幅波動，對各年度報告的淨利潤產生了重大一次性影響，需審慎評估其對持續盈利能力的影響。</w:t>
                </w:r>
              </w:sdtContent>
            </w:sdt>
            <w:r w:rsidDel="00000000" w:rsidR="00000000" w:rsidRPr="00000000">
              <w:rPr>
                <w:rtl w:val="0"/>
              </w:rPr>
            </w:r>
          </w:p>
        </w:tc>
      </w:tr>
    </w:tbl>
    <w:p w:rsidR="00000000" w:rsidDel="00000000" w:rsidP="00000000" w:rsidRDefault="00000000" w:rsidRPr="00000000" w14:paraId="00000124">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25">
      <w:pPr>
        <w:spacing w:after="180" w:before="180" w:lineRule="auto"/>
        <w:ind w:left="0" w:firstLine="0"/>
        <w:jc w:val="left"/>
        <w:rPr/>
      </w:pPr>
      <w:r w:rsidDel="00000000" w:rsidR="00000000" w:rsidRPr="00000000">
        <w:rPr>
          <w:b w:val="1"/>
          <w:i w:val="0"/>
          <w:color w:val="000000"/>
          <w:sz w:val="33"/>
          <w:szCs w:val="33"/>
          <w:rtl w:val="0"/>
        </w:rPr>
        <w:t xml:space="preserve">S3.2: Financial Performance Summary</w:t>
      </w:r>
      <w:r w:rsidDel="00000000" w:rsidR="00000000" w:rsidRPr="00000000">
        <w:rPr>
          <w:rtl w:val="0"/>
        </w:rPr>
      </w:r>
    </w:p>
    <w:tbl>
      <w:tblPr>
        <w:tblStyle w:val="Table10"/>
        <w:tblW w:w="973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650"/>
        <w:gridCol w:w="4185"/>
        <w:gridCol w:w="3900"/>
        <w:tblGridChange w:id="0">
          <w:tblGrid>
            <w:gridCol w:w="1650"/>
            <w:gridCol w:w="4185"/>
            <w:gridCol w:w="3900"/>
          </w:tblGrid>
        </w:tblGridChange>
      </w:tblGrid>
      <w:tr>
        <w:trPr>
          <w:cantSplit w:val="0"/>
          <w:tblHeader w:val="0"/>
        </w:trPr>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spacing w:after="440" w:before="440" w:lineRule="auto"/>
              <w:rPr/>
            </w:pPr>
            <w:r w:rsidDel="00000000" w:rsidR="00000000" w:rsidRPr="00000000">
              <w:rPr>
                <w:rtl w:val="0"/>
              </w:rPr>
              <w:t xml:space="preserve">Perspective</w:t>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spacing w:after="440" w:before="440" w:lineRule="auto"/>
              <w:rPr/>
            </w:pPr>
            <w:r w:rsidDel="00000000" w:rsidR="00000000" w:rsidRPr="00000000">
              <w:rPr>
                <w:rtl w:val="0"/>
              </w:rPr>
              <w:t xml:space="preserve">2024 Report</w:t>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spacing w:after="440" w:before="440" w:lineRule="auto"/>
              <w:rPr/>
            </w:pPr>
            <w:r w:rsidDel="00000000" w:rsidR="00000000" w:rsidRPr="00000000">
              <w:rPr>
                <w:rtl w:val="0"/>
              </w:rPr>
              <w:t xml:space="preserve">2023 Report</w:t>
            </w:r>
          </w:p>
        </w:tc>
      </w:tr>
      <w:tr>
        <w:trPr>
          <w:cantSplit w:val="0"/>
          <w:tblHeader w:val="0"/>
        </w:trPr>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spacing w:after="440" w:before="440" w:lineRule="auto"/>
              <w:rPr/>
            </w:pPr>
            <w:r w:rsidDel="00000000" w:rsidR="00000000" w:rsidRPr="00000000">
              <w:rPr>
                <w:rtl w:val="0"/>
              </w:rPr>
              <w:t xml:space="preserve">Comprehensive financial health</w:t>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spacing w:after="440" w:before="440" w:lineRule="auto"/>
              <w:rPr/>
            </w:pPr>
            <w:sdt>
              <w:sdtPr>
                <w:id w:val="548948393"/>
                <w:tag w:val="goog_rdk_60"/>
              </w:sdtPr>
              <w:sdtContent>
                <w:r w:rsidDel="00000000" w:rsidR="00000000" w:rsidRPr="00000000">
                  <w:rPr>
                    <w:rFonts w:ascii="Gungsuh" w:cs="Gungsuh" w:eastAsia="Gungsuh" w:hAnsi="Gungsuh"/>
                    <w:rtl w:val="0"/>
                  </w:rPr>
                  <w:t xml:space="preserve">公司財務健康狀況持續改善，總資產從2023年的1,577,246百萬元增長至2024年的1,780,995百萬元，增幅12.9%。股東權益大幅增強，從2023年的873,681百萬元提升至2024年的1,053,896百萬元，增幅20.6%。債務股權比顯著改善，從2023年的80.52%降至2024年的68.99%，顯示財務結構持續優化。流動比率維持在125.0%的健康水平，短期償債能力良好。營運現金流強勁，從2023年的221,962百萬元增至2024年的258,521百萬元。</w:t>
                </w:r>
              </w:sdtContent>
            </w:sdt>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spacing w:after="440" w:before="440" w:lineRule="auto"/>
              <w:rPr/>
            </w:pPr>
            <w:sdt>
              <w:sdtPr>
                <w:id w:val="-1522679612"/>
                <w:tag w:val="goog_rdk_61"/>
              </w:sdtPr>
              <w:sdtContent>
                <w:r w:rsidDel="00000000" w:rsidR="00000000" w:rsidRPr="00000000">
                  <w:rPr>
                    <w:rFonts w:ascii="Gungsuh" w:cs="Gungsuh" w:eastAsia="Gungsuh" w:hAnsi="Gungsuh"/>
                    <w:rtl w:val="0"/>
                  </w:rPr>
                  <w:t xml:space="preserve">公司財務基礎穩固，總資產從2022年的1,578,131百萬元微幅下降至2023年的1,577,246百萬元，但股東權益持續增長，從2022年的782,860百萬元提升至2023年的873,681百萬元，增幅11.6%。債務管理有所改善，債務股權比從2022年的101.9%降至2023年的80.52%。流動比率從2022年的130.4%提升至2023年的147.2%，短期償債能力增強。營運現金流大幅改善，從2022年的146,091百萬元增至2023年的221,962百萬元。</w:t>
                </w:r>
              </w:sdtContent>
            </w:sdt>
          </w:p>
        </w:tc>
      </w:tr>
      <w:tr>
        <w:trPr>
          <w:cantSplit w:val="0"/>
          <w:tblHeader w:val="0"/>
        </w:trPr>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spacing w:after="440" w:before="440" w:lineRule="auto"/>
              <w:rPr/>
            </w:pPr>
            <w:r w:rsidDel="00000000" w:rsidR="00000000" w:rsidRPr="00000000">
              <w:rPr>
                <w:rtl w:val="0"/>
              </w:rPr>
              <w:t xml:space="preserve">Profitability and earnings quality</w:t>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spacing w:after="440" w:before="440" w:lineRule="auto"/>
              <w:rPr/>
            </w:pPr>
            <w:sdt>
              <w:sdtPr>
                <w:id w:val="-1276266543"/>
                <w:tag w:val="goog_rdk_62"/>
              </w:sdtPr>
              <w:sdtContent>
                <w:r w:rsidDel="00000000" w:rsidR="00000000" w:rsidRPr="00000000">
                  <w:rPr>
                    <w:rFonts w:ascii="Gungsuh" w:cs="Gungsuh" w:eastAsia="Gungsuh" w:hAnsi="Gungsuh"/>
                    <w:rtl w:val="0"/>
                  </w:rPr>
                  <w:t xml:space="preserve">盈利能力顯著回升，淨利潤從2023年的118,048百萬元大幅增長至2024年的196,467百萬元，增幅66.4%。淨利潤率從2023年的19.38%回升至2024年的29.77%，主要受惠於有效稅率從2023年的26.83%降至2024年的18.65%。毛利率持續改善，從2023年的48.1%提升至2024年的52.9%，顯示成本控制能力和業務結構優化的成效。營業利潤率亦大幅提升，從2023年的26.29%增至2024年的31.53%，反映營運效率的持續改善。</w:t>
                </w:r>
              </w:sdtContent>
            </w:sdt>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spacing w:after="440" w:before="440" w:lineRule="auto"/>
              <w:rPr/>
            </w:pPr>
            <w:sdt>
              <w:sdtPr>
                <w:id w:val="1587779469"/>
                <w:tag w:val="goog_rdk_63"/>
              </w:sdtPr>
              <w:sdtContent>
                <w:r w:rsidDel="00000000" w:rsidR="00000000" w:rsidRPr="00000000">
                  <w:rPr>
                    <w:rFonts w:ascii="Gungsuh" w:cs="Gungsuh" w:eastAsia="Gungsuh" w:hAnsi="Gungsuh"/>
                    <w:rtl w:val="0"/>
                  </w:rPr>
                  <w:t xml:space="preserve">盈利質量面臨挑戰，淨利潤從2022年的188,709百萬元下降至2023年的118,048百萬元，降幅37.4%。淨利潤率從2022年的34.04%大幅下滑至2023年的19.38%，</w:t>
                </w:r>
              </w:sdtContent>
            </w:sdt>
            <w:sdt>
              <w:sdtPr>
                <w:id w:val="-279104908"/>
                <w:tag w:val="goog_rdk_64"/>
              </w:sdtPr>
              <w:sdtContent>
                <w:r w:rsidDel="00000000" w:rsidR="00000000" w:rsidRPr="00000000">
                  <w:rPr>
                    <w:rFonts w:ascii="Arial Unicode MS" w:cs="Arial Unicode MS" w:eastAsia="Arial Unicode MS" w:hAnsi="Arial Unicode MS"/>
                    <w:color w:val="131314"/>
                    <w:sz w:val="21"/>
                    <w:szCs w:val="21"/>
                    <w:highlight w:val="white"/>
                    <w:rtl w:val="0"/>
                  </w:rPr>
                  <w:t xml:space="preserve">這主要受到兩方面影響：一是2022年因視同處置美團確認的約人民幣1,066億元非經常性收益在2023年並未重現，且2023年投資收益╱（虧損）淨額及其他項目錄得虧損；二是有效稅率從2022年的10.24%激增至2023年的26.83% [</w:t>
                </w:r>
              </w:sdtContent>
            </w:sdt>
            <w:sdt>
              <w:sdtPr>
                <w:id w:val="-361323308"/>
                <w:tag w:val="goog_rdk_65"/>
              </w:sdtPr>
              <w:sdtContent>
                <w:r w:rsidDel="00000000" w:rsidR="00000000" w:rsidRPr="00000000">
                  <w:rPr>
                    <w:rFonts w:ascii="Gungsuh" w:cs="Gungsuh" w:eastAsia="Gungsuh" w:hAnsi="Gungsuh"/>
                    <w:rtl w:val="0"/>
                  </w:rPr>
                  <w:t xml:space="preserve">。然而，毛利率持續改善，從2022年的43.1%提升至2023年的48.1%，營業利潤率亦從2022年的19.99%增至2023年的26.29%，顯示核心營運能力仍在增強。</w:t>
                </w:r>
              </w:sdtContent>
            </w:sdt>
          </w:p>
        </w:tc>
      </w:tr>
      <w:tr>
        <w:trPr>
          <w:cantSplit w:val="0"/>
          <w:tblHeader w:val="0"/>
        </w:trPr>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spacing w:after="440" w:before="440" w:lineRule="auto"/>
              <w:rPr/>
            </w:pPr>
            <w:r w:rsidDel="00000000" w:rsidR="00000000" w:rsidRPr="00000000">
              <w:rPr>
                <w:rtl w:val="0"/>
              </w:rPr>
              <w:t xml:space="preserve">Operational efficiency</w:t>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spacing w:after="440" w:before="440" w:lineRule="auto"/>
              <w:rPr/>
            </w:pPr>
            <w:sdt>
              <w:sdtPr>
                <w:id w:val="1958933344"/>
                <w:tag w:val="goog_rdk_66"/>
              </w:sdtPr>
              <w:sdtContent>
                <w:r w:rsidDel="00000000" w:rsidR="00000000" w:rsidRPr="00000000">
                  <w:rPr>
                    <w:rFonts w:ascii="Gungsuh" w:cs="Gungsuh" w:eastAsia="Gungsuh" w:hAnsi="Gungsuh"/>
                    <w:rtl w:val="0"/>
                  </w:rPr>
                  <w:t xml:space="preserve">營運效率達到卓越水平，營業利潤從2023年的160,074百萬元增長至2024年的208,099百萬元，增幅30.0%。營業利潤率從2023年的26.29%大幅提升至2024年的31.53%，顯示營運槓桿效應顯著。營業費用控制良好，從2023年的137,736百萬元增至2024年的149,149百萬元，增幅8.3%，遠低於收入增長的8.4%。資產報酬率從2023年的7.48%提升至2024年的11.8%，股東權益報酬率從2023年的14.25%增至2024年的20.38%，資產運用效率顯著改善。</w:t>
                </w:r>
              </w:sdtContent>
            </w:sdt>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spacing w:after="440" w:before="440" w:lineRule="auto"/>
              <w:rPr/>
            </w:pPr>
            <w:sdt>
              <w:sdtPr>
                <w:id w:val="-331421278"/>
                <w:tag w:val="goog_rdk_67"/>
              </w:sdtPr>
              <w:sdtContent>
                <w:r w:rsidDel="00000000" w:rsidR="00000000" w:rsidRPr="00000000">
                  <w:rPr>
                    <w:rFonts w:ascii="Gungsuh" w:cs="Gungsuh" w:eastAsia="Gungsuh" w:hAnsi="Gungsuh"/>
                    <w:rtl w:val="0"/>
                  </w:rPr>
                  <w:t xml:space="preserve">營運效率穩步提升，營業利潤從2022年的110,827百萬元大幅增長至2023年的160,074百萬元，增幅44.4%。營業利潤率從2022年的19.99%提升至2023年的26.29%，反映營運管理能力的改善。營業費用略有增加，從2022年的135,925百萬元增至2023年的137,736百萬元，但增幅僅1.3%，遠低於收入增長的9.8%，顯示良好的成本控制能力。利息覆蓋率從2022年的1,185.7%提升至2023年的1,305.2%，償債能力增強。</w:t>
                </w:r>
              </w:sdtContent>
            </w:sdt>
          </w:p>
        </w:tc>
      </w:tr>
      <w:tr>
        <w:trPr>
          <w:cantSplit w:val="0"/>
          <w:tblHeader w:val="0"/>
        </w:trPr>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spacing w:after="440" w:before="440" w:lineRule="auto"/>
              <w:rPr/>
            </w:pPr>
            <w:r w:rsidDel="00000000" w:rsidR="00000000" w:rsidRPr="00000000">
              <w:rPr>
                <w:rtl w:val="0"/>
              </w:rPr>
              <w:t xml:space="preserve">Financial risk identification and early warning</w:t>
            </w:r>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spacing w:after="440" w:before="440" w:lineRule="auto"/>
              <w:rPr/>
            </w:pPr>
            <w:sdt>
              <w:sdtPr>
                <w:id w:val="-911616956"/>
                <w:tag w:val="goog_rdk_68"/>
              </w:sdtPr>
              <w:sdtContent>
                <w:r w:rsidDel="00000000" w:rsidR="00000000" w:rsidRPr="00000000">
                  <w:rPr>
                    <w:rFonts w:ascii="Gungsuh" w:cs="Gungsuh" w:eastAsia="Gungsuh" w:hAnsi="Gungsuh"/>
                    <w:rtl w:val="0"/>
                  </w:rPr>
                  <w:t xml:space="preserve">主要財務風險包括稅率波動風險，雖然2024年有效稅率從2023年的26.83%回落至18.65%，但仍存在不確定性。現金流結構顯示融資活動現金流出大幅增加至176,494百萬元，主要用於分紅支付28,859百萬元，現金淨流出40,160百萬元需要關注。流動比率從2023年的147.2%降至2024年的125.0%，雖然仍屬健康水平但呈下降趨勢。非流動資產佔比較高（72.1%），需要關注資產流動性。整體而言，財務風險可控，但需密切監控現金流和稅務環境變化。</w:t>
                </w:r>
              </w:sdtContent>
            </w:sdt>
          </w:p>
        </w:tc>
        <w:tc>
          <w:tcPr>
            <w:tcBorders>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spacing w:after="440" w:before="440" w:lineRule="auto"/>
              <w:rPr/>
            </w:pPr>
            <w:sdt>
              <w:sdtPr>
                <w:id w:val="-22054744"/>
                <w:tag w:val="goog_rdk_69"/>
              </w:sdtPr>
              <w:sdtContent>
                <w:r w:rsidDel="00000000" w:rsidR="00000000" w:rsidRPr="00000000">
                  <w:rPr>
                    <w:rFonts w:ascii="Gungsuh" w:cs="Gungsuh" w:eastAsia="Gungsuh" w:hAnsi="Gungsuh"/>
                    <w:rtl w:val="0"/>
                  </w:rPr>
                  <w:t xml:space="preserve">主要財務風險為有效稅率的大幅上升，從2022年的10.24%激增至2023年的26.83%，對盈利能力造成重大影響。現金流結構相對健康，現金淨增加14,228百萬元，但投資活動現金流出持續增加至125,161百萬元。流動比率從2022年的130.4%提升至2023年的147.2%，短期流動性風險較低。債務管理改善，債務股權比從2022年的101.9%降至2023年的80.52%。整體財務風險主要集中在稅務成本上升，其他指標顯示風險可控。</w:t>
                </w:r>
              </w:sdtContent>
            </w:sdt>
          </w:p>
        </w:tc>
      </w:tr>
      <w:tr>
        <w:trPr>
          <w:cantSplit w:val="0"/>
          <w:tblHeader w:val="0"/>
        </w:trPr>
        <w:tc>
          <w:tcPr>
            <w:tcBorders>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spacing w:after="440" w:before="440" w:lineRule="auto"/>
              <w:rPr/>
            </w:pPr>
            <w:r w:rsidDel="00000000" w:rsidR="00000000" w:rsidRPr="00000000">
              <w:rPr>
                <w:rtl w:val="0"/>
              </w:rPr>
              <w:t xml:space="preserve">Future financial performance projection</w:t>
            </w:r>
          </w:p>
        </w:tc>
        <w:tc>
          <w:tcPr>
            <w:tcBorders>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spacing w:after="440" w:before="440" w:lineRule="auto"/>
              <w:rPr/>
            </w:pPr>
            <w:sdt>
              <w:sdtPr>
                <w:id w:val="-957241604"/>
                <w:tag w:val="goog_rdk_70"/>
              </w:sdtPr>
              <w:sdtContent>
                <w:r w:rsidDel="00000000" w:rsidR="00000000" w:rsidRPr="00000000">
                  <w:rPr>
                    <w:rFonts w:ascii="Gungsuh" w:cs="Gungsuh" w:eastAsia="Gungsuh" w:hAnsi="Gungsuh"/>
                    <w:rtl w:val="0"/>
                  </w:rPr>
                  <w:t xml:space="preserve">基於當前強勁的營運表現和財務基礎，公司未來財務表現預期積極。毛利率和營業利潤率的持續改善顯示核心競爭力增強，預計將維持在較高水平。遊戲業務從179,860百萬元增至197,712百萬元的增長，以及金融科技業務的穩定發展，為未來收入增長提供動力。海外市場收入從58,236百萬元增至64,799百萬元，國際化進程有助於分散風險和拓展增長空間。然而，需要關注稅率變化的不確定性和現金管理效率。整體而言，公司具備持續增長的基礎，預期未來表現將保持穩健向上的趨勢。</w:t>
                </w:r>
              </w:sdtContent>
            </w:sdt>
          </w:p>
        </w:tc>
        <w:tc>
          <w:tcPr>
            <w:tcBorders>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spacing w:after="440" w:before="440" w:lineRule="auto"/>
              <w:rPr/>
            </w:pPr>
            <w:sdt>
              <w:sdtPr>
                <w:id w:val="-859852881"/>
                <w:tag w:val="goog_rdk_71"/>
              </w:sdtPr>
              <w:sdtContent>
                <w:r w:rsidDel="00000000" w:rsidR="00000000" w:rsidRPr="00000000">
                  <w:rPr>
                    <w:rFonts w:ascii="Gungsuh" w:cs="Gungsuh" w:eastAsia="Gungsuh" w:hAnsi="Gungsuh"/>
                    <w:rtl w:val="0"/>
                  </w:rPr>
                  <w:t xml:space="preserve">基於2023年的營運改善趨勢，公司未來發展前景審慎樂觀。營業利潤率的顯著提升和毛利率的持續改善顯示核心營運能力增強，為未來盈利增長奠定基礎。各業務板塊保持穩定發展，增值服務、營銷服務和金融科技業務均實現增長。海外市場收入從52,018百萬元增至58,236百萬元，國際化策略初見成效。主要挑戰在於稅負成本的大幅上升，需要密切關注政策環境變化。現金流狀況良好為未來投資提供支撐。預期公司將在營運效率提升的基礎上實現穩健增長。</w:t>
                </w:r>
              </w:sdtContent>
            </w:sdt>
          </w:p>
        </w:tc>
      </w:tr>
    </w:tbl>
    <w:p w:rsidR="00000000" w:rsidDel="00000000" w:rsidP="00000000" w:rsidRDefault="00000000" w:rsidRPr="00000000" w14:paraId="00000138">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39">
      <w:pPr>
        <w:spacing w:after="180" w:before="180" w:lineRule="auto"/>
        <w:ind w:left="0" w:firstLine="0"/>
        <w:jc w:val="left"/>
        <w:rPr/>
      </w:pPr>
      <w:r w:rsidDel="00000000" w:rsidR="00000000" w:rsidRPr="00000000">
        <w:rPr>
          <w:b w:val="1"/>
          <w:i w:val="0"/>
          <w:color w:val="000000"/>
          <w:sz w:val="33"/>
          <w:szCs w:val="33"/>
          <w:rtl w:val="0"/>
        </w:rPr>
        <w:t xml:space="preserve">S3.3: Business Competitiveness</w:t>
      </w:r>
      <w:r w:rsidDel="00000000" w:rsidR="00000000" w:rsidRPr="00000000">
        <w:rPr>
          <w:rtl w:val="0"/>
        </w:rPr>
      </w:r>
    </w:p>
    <w:tbl>
      <w:tblPr>
        <w:tblStyle w:val="Table11"/>
        <w:tblW w:w="987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995"/>
        <w:gridCol w:w="3810"/>
        <w:gridCol w:w="4065"/>
        <w:tblGridChange w:id="0">
          <w:tblGrid>
            <w:gridCol w:w="1995"/>
            <w:gridCol w:w="3810"/>
            <w:gridCol w:w="40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A">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B">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C">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D">
            <w:pPr>
              <w:spacing w:after="0" w:before="0" w:lineRule="auto"/>
              <w:ind w:left="0" w:firstLine="0"/>
              <w:jc w:val="left"/>
              <w:rPr/>
            </w:pPr>
            <w:r w:rsidDel="00000000" w:rsidR="00000000" w:rsidRPr="00000000">
              <w:rPr>
                <w:b w:val="0"/>
                <w:i w:val="0"/>
                <w:color w:val="000000"/>
                <w:sz w:val="22"/>
                <w:szCs w:val="22"/>
                <w:rtl w:val="0"/>
              </w:rPr>
              <w:t xml:space="preserve">Business 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E">
            <w:pPr>
              <w:spacing w:after="0" w:before="0" w:lineRule="auto"/>
              <w:ind w:left="0" w:firstLine="0"/>
              <w:jc w:val="left"/>
              <w:rPr/>
            </w:pPr>
            <w:sdt>
              <w:sdtPr>
                <w:id w:val="668807481"/>
                <w:tag w:val="goog_rdk_72"/>
              </w:sdtPr>
              <w:sdtContent>
                <w:r w:rsidDel="00000000" w:rsidR="00000000" w:rsidRPr="00000000">
                  <w:rPr>
                    <w:rFonts w:ascii="Gungsuh" w:cs="Gungsuh" w:eastAsia="Gungsuh" w:hAnsi="Gungsuh"/>
                    <w:b w:val="0"/>
                    <w:i w:val="0"/>
                    <w:color w:val="000000"/>
                    <w:sz w:val="22"/>
                    <w:szCs w:val="22"/>
                    <w:rtl w:val="0"/>
                  </w:rPr>
                  <w:t xml:space="preserve">騰訊的主要商業模式為多元化的數字平台生態，涵蓋增值服務（如網絡遊戲、社交網絡付費會員及虛擬道具）、營銷服務（廣告）、金融科技及企業服務（支付、雲服務等），以及其他互聯網相關服務。收入主要來自用戶直接付費、廣告主投放及企業客戶服務費。</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3F">
            <w:pPr>
              <w:spacing w:after="0" w:before="0" w:lineRule="auto"/>
              <w:ind w:left="0" w:firstLine="0"/>
              <w:jc w:val="left"/>
              <w:rPr/>
            </w:pPr>
            <w:sdt>
              <w:sdtPr>
                <w:id w:val="-1647909829"/>
                <w:tag w:val="goog_rdk_73"/>
              </w:sdtPr>
              <w:sdtContent>
                <w:r w:rsidDel="00000000" w:rsidR="00000000" w:rsidRPr="00000000">
                  <w:rPr>
                    <w:rFonts w:ascii="Gungsuh" w:cs="Gungsuh" w:eastAsia="Gungsuh" w:hAnsi="Gungsuh"/>
                    <w:b w:val="0"/>
                    <w:i w:val="0"/>
                    <w:color w:val="000000"/>
                    <w:sz w:val="22"/>
                    <w:szCs w:val="22"/>
                    <w:rtl w:val="0"/>
                  </w:rPr>
                  <w:t xml:space="preserve">騰訊的商業模式以多元化數字平台為核心，主要收入來源包括增值服務（網絡遊戲、社交網絡虛擬道具）、網絡廣告、金融科技及企業服務，以及其他互聯網相關服務。收入來自用戶付費、廣告主投放及企業客戶服務費。</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0">
            <w:pPr>
              <w:spacing w:after="0" w:before="0" w:lineRule="auto"/>
              <w:ind w:left="0" w:firstLine="0"/>
              <w:jc w:val="left"/>
              <w:rPr/>
            </w:pPr>
            <w:r w:rsidDel="00000000" w:rsidR="00000000" w:rsidRPr="00000000">
              <w:rPr>
                <w:b w:val="0"/>
                <w:i w:val="0"/>
                <w:color w:val="000000"/>
                <w:sz w:val="22"/>
                <w:szCs w:val="22"/>
                <w:rtl w:val="0"/>
              </w:rPr>
              <w:t xml:space="preserve">Market Position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1">
            <w:pPr>
              <w:spacing w:after="0" w:before="0" w:lineRule="auto"/>
              <w:ind w:left="0" w:firstLine="0"/>
              <w:jc w:val="left"/>
              <w:rPr/>
            </w:pPr>
            <w:sdt>
              <w:sdtPr>
                <w:id w:val="1438040680"/>
                <w:tag w:val="goog_rdk_74"/>
              </w:sdtPr>
              <w:sdtContent>
                <w:r w:rsidDel="00000000" w:rsidR="00000000" w:rsidRPr="00000000">
                  <w:rPr>
                    <w:rFonts w:ascii="Gungsuh" w:cs="Gungsuh" w:eastAsia="Gungsuh" w:hAnsi="Gungsuh"/>
                    <w:b w:val="0"/>
                    <w:i w:val="0"/>
                    <w:color w:val="000000"/>
                    <w:sz w:val="22"/>
                    <w:szCs w:val="22"/>
                    <w:rtl w:val="0"/>
                  </w:rPr>
                  <w:t xml:space="preserve">騰訊，於社交、遊戲、支付、雲服務等多個領域佔據主導地位。公司持續加大技術投入，利用AI等前沿技術鞏固核心業務優勢，並積極佈局新興業務。面對</w:t>
                </w:r>
              </w:sdtContent>
            </w:sdt>
            <w:sdt>
              <w:sdtPr>
                <w:id w:val="1430559562"/>
                <w:tag w:val="goog_rdk_75"/>
              </w:sdtPr>
              <w:sdtContent>
                <w:r w:rsidDel="00000000" w:rsidR="00000000" w:rsidRPr="00000000">
                  <w:rPr>
                    <w:rFonts w:ascii="Gungsuh" w:cs="Gungsuh" w:eastAsia="Gungsuh" w:hAnsi="Gungsuh"/>
                    <w:rtl w:val="0"/>
                  </w:rPr>
                  <w:t xml:space="preserve">技術迭代加速與競爭格局動態重構的雙重挑戰</w:t>
                </w:r>
              </w:sdtContent>
            </w:sdt>
            <w:sdt>
              <w:sdtPr>
                <w:id w:val="-627731795"/>
                <w:tag w:val="goog_rdk_76"/>
              </w:sdtPr>
              <w:sdtContent>
                <w:r w:rsidDel="00000000" w:rsidR="00000000" w:rsidRPr="00000000">
                  <w:rPr>
                    <w:rFonts w:ascii="Gungsuh" w:cs="Gungsuh" w:eastAsia="Gungsuh" w:hAnsi="Gungsuh"/>
                    <w:b w:val="0"/>
                    <w:i w:val="0"/>
                    <w:color w:val="000000"/>
                    <w:sz w:val="22"/>
                    <w:szCs w:val="22"/>
                    <w:rtl w:val="0"/>
                  </w:rPr>
                  <w:t xml:space="preserve">，</w:t>
                </w:r>
              </w:sdtContent>
            </w:sdt>
            <w:sdt>
              <w:sdtPr>
                <w:id w:val="2131533231"/>
                <w:tag w:val="goog_rdk_77"/>
              </w:sdtPr>
              <w:sdtContent>
                <w:r w:rsidDel="00000000" w:rsidR="00000000" w:rsidRPr="00000000">
                  <w:rPr>
                    <w:rFonts w:ascii="Arial Unicode MS" w:cs="Arial Unicode MS" w:eastAsia="Arial Unicode MS" w:hAnsi="Arial Unicode MS"/>
                    <w:color w:val="131314"/>
                    <w:sz w:val="21"/>
                    <w:szCs w:val="21"/>
                    <w:highlight w:val="white"/>
                    <w:rtl w:val="0"/>
                  </w:rPr>
                  <w:t xml:space="preserve">騰訊通過不斷創新、建設生態體系和與合作夥伴攜手，努力維持市場競爭力</w:t>
                </w:r>
              </w:sdtContent>
            </w:sdt>
            <w:sdt>
              <w:sdtPr>
                <w:id w:val="-943890642"/>
                <w:tag w:val="goog_rdk_78"/>
              </w:sdtPr>
              <w:sdtContent>
                <w:r w:rsidDel="00000000" w:rsidR="00000000" w:rsidRPr="00000000">
                  <w:rPr>
                    <w:rFonts w:ascii="Gungsuh" w:cs="Gungsuh" w:eastAsia="Gungsuh" w:hAnsi="Gungsuh"/>
                    <w:b w:val="0"/>
                    <w:i w:val="0"/>
                    <w:color w:val="000000"/>
                    <w:sz w:val="22"/>
                    <w:szCs w:val="22"/>
                    <w:rtl w:val="0"/>
                  </w:rPr>
                  <w:t xml:space="preserve">。</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42">
            <w:pPr>
              <w:spacing w:after="0" w:before="0" w:lineRule="auto"/>
              <w:ind w:left="0" w:firstLine="0"/>
              <w:jc w:val="left"/>
              <w:rPr/>
            </w:pPr>
            <w:sdt>
              <w:sdtPr>
                <w:id w:val="70221028"/>
                <w:tag w:val="goog_rdk_79"/>
              </w:sdtPr>
              <w:sdtContent>
                <w:r w:rsidDel="00000000" w:rsidR="00000000" w:rsidRPr="00000000">
                  <w:rPr>
                    <w:rFonts w:ascii="Gungsuh" w:cs="Gungsuh" w:eastAsia="Gungsuh" w:hAnsi="Gungsuh"/>
                    <w:b w:val="0"/>
                    <w:i w:val="0"/>
                    <w:color w:val="000000"/>
                    <w:sz w:val="22"/>
                    <w:szCs w:val="22"/>
                    <w:rtl w:val="0"/>
                  </w:rPr>
                  <w:t xml:space="preserve">騰訊於社交、遊戲、支付等領域佔據主導地位。公司重視創新，持續提升技術與產品能力，並通過生態合作強化市場競爭力。面對激烈競爭和技術變革，騰訊以核心業務優勢和創新能力維持領先。</w:t>
                </w:r>
              </w:sdtContent>
            </w:sdt>
            <w:r w:rsidDel="00000000" w:rsidR="00000000" w:rsidRPr="00000000">
              <w:rPr>
                <w:rtl w:val="0"/>
              </w:rPr>
            </w:r>
          </w:p>
        </w:tc>
      </w:tr>
    </w:tbl>
    <w:p w:rsidR="00000000" w:rsidDel="00000000" w:rsidP="00000000" w:rsidRDefault="00000000" w:rsidRPr="00000000" w14:paraId="00000143">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44">
      <w:pPr>
        <w:spacing w:after="161" w:before="161" w:lineRule="auto"/>
        <w:ind w:left="0" w:firstLine="0"/>
        <w:jc w:val="left"/>
        <w:rPr/>
      </w:pPr>
      <w:r w:rsidDel="00000000" w:rsidR="00000000" w:rsidRPr="00000000">
        <w:rPr>
          <w:b w:val="1"/>
          <w:i w:val="0"/>
          <w:color w:val="000000"/>
          <w:sz w:val="44"/>
          <w:szCs w:val="44"/>
          <w:rtl w:val="0"/>
        </w:rPr>
        <w:t xml:space="preserve">Section 4: Risk Factors</w:t>
      </w:r>
      <w:r w:rsidDel="00000000" w:rsidR="00000000" w:rsidRPr="00000000">
        <w:rPr>
          <w:rtl w:val="0"/>
        </w:rPr>
      </w:r>
    </w:p>
    <w:p w:rsidR="00000000" w:rsidDel="00000000" w:rsidP="00000000" w:rsidRDefault="00000000" w:rsidRPr="00000000" w14:paraId="00000145">
      <w:pPr>
        <w:spacing w:after="180" w:before="180" w:lineRule="auto"/>
        <w:ind w:left="0" w:firstLine="0"/>
        <w:jc w:val="left"/>
        <w:rPr/>
      </w:pPr>
      <w:r w:rsidDel="00000000" w:rsidR="00000000" w:rsidRPr="00000000">
        <w:rPr>
          <w:b w:val="1"/>
          <w:i w:val="0"/>
          <w:color w:val="000000"/>
          <w:sz w:val="33"/>
          <w:szCs w:val="33"/>
          <w:rtl w:val="0"/>
        </w:rPr>
        <w:t xml:space="preserve">S4.1: Risk Factors</w:t>
      </w: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725"/>
        <w:gridCol w:w="3870"/>
        <w:gridCol w:w="4260"/>
        <w:tblGridChange w:id="0">
          <w:tblGrid>
            <w:gridCol w:w="1725"/>
            <w:gridCol w:w="3870"/>
            <w:gridCol w:w="42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center"/>
          </w:tcPr>
          <w:p w:rsidR="00000000" w:rsidDel="00000000" w:rsidP="00000000" w:rsidRDefault="00000000" w:rsidRPr="00000000" w14:paraId="00000146">
            <w:pPr>
              <w:spacing w:after="0" w:lineRule="auto"/>
              <w:rPr/>
            </w:pPr>
            <w:r w:rsidDel="00000000" w:rsidR="00000000" w:rsidRPr="00000000">
              <w:rPr>
                <w:rtl w:val="0"/>
              </w:rPr>
              <w:t xml:space="preserve">Perspective</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center"/>
          </w:tcPr>
          <w:p w:rsidR="00000000" w:rsidDel="00000000" w:rsidP="00000000" w:rsidRDefault="00000000" w:rsidRPr="00000000" w14:paraId="00000147">
            <w:pPr>
              <w:spacing w:after="0" w:lineRule="auto"/>
              <w:rPr/>
            </w:pPr>
            <w:r w:rsidDel="00000000" w:rsidR="00000000" w:rsidRPr="00000000">
              <w:rPr>
                <w:rtl w:val="0"/>
              </w:rPr>
              <w:t xml:space="preserve">2024 Report</w:t>
            </w:r>
          </w:p>
        </w:tc>
        <w:tc>
          <w:tcPr>
            <w:tcBorders>
              <w:top w:color="000000" w:space="0" w:sz="6" w:val="single"/>
              <w:left w:color="000000" w:space="0" w:sz="6" w:val="single"/>
              <w:bottom w:color="000000" w:space="0" w:sz="6" w:val="single"/>
              <w:right w:color="000000" w:space="0" w:sz="6" w:val="single"/>
            </w:tcBorders>
            <w:tcMar>
              <w:top w:w="0.0" w:type="dxa"/>
              <w:left w:w="40.0" w:type="dxa"/>
              <w:bottom w:w="40.0" w:type="dxa"/>
              <w:right w:w="40.0" w:type="dxa"/>
            </w:tcMar>
            <w:vAlign w:val="center"/>
          </w:tcPr>
          <w:p w:rsidR="00000000" w:rsidDel="00000000" w:rsidP="00000000" w:rsidRDefault="00000000" w:rsidRPr="00000000" w14:paraId="00000148">
            <w:pPr>
              <w:spacing w:after="0" w:lineRule="auto"/>
              <w:rPr/>
            </w:pPr>
            <w:r w:rsidDel="00000000" w:rsidR="00000000" w:rsidRPr="00000000">
              <w:rPr>
                <w:rtl w:val="0"/>
              </w:rPr>
              <w:t xml:space="preserve">2023 Report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49">
            <w:pPr>
              <w:spacing w:after="0" w:lineRule="auto"/>
              <w:rPr/>
            </w:pPr>
            <w:r w:rsidDel="00000000" w:rsidR="00000000" w:rsidRPr="00000000">
              <w:rPr>
                <w:rtl w:val="0"/>
              </w:rPr>
              <w:t xml:space="preserve">Market Risks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4A">
            <w:pPr>
              <w:spacing w:after="0" w:lineRule="auto"/>
              <w:rPr/>
            </w:pPr>
            <w:sdt>
              <w:sdtPr>
                <w:id w:val="632618740"/>
                <w:tag w:val="goog_rdk_80"/>
              </w:sdtPr>
              <w:sdtContent>
                <w:r w:rsidDel="00000000" w:rsidR="00000000" w:rsidRPr="00000000">
                  <w:rPr>
                    <w:rFonts w:ascii="Gungsuh" w:cs="Gungsuh" w:eastAsia="Gungsuh" w:hAnsi="Gungsuh"/>
                    <w:rtl w:val="0"/>
                  </w:rPr>
                  <w:t xml:space="preserve">市場競爭及創新風險持續存在，AI等前沿技術突破性發展加速產品生命週期迭代，技術驅動的商業模式變革吸引傳統行業及跨界競爭者湧入。宏觀環境風險包括國際局勢變化、經濟發展速度差異等因素影響用戶購買力和企業客戶運營情況。</w:t>
                </w:r>
              </w:sdtContent>
            </w:sdt>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4B">
            <w:pPr>
              <w:spacing w:after="0" w:lineRule="auto"/>
              <w:ind w:right="-60"/>
              <w:rPr/>
            </w:pPr>
            <w:sdt>
              <w:sdtPr>
                <w:id w:val="963469205"/>
                <w:tag w:val="goog_rdk_81"/>
              </w:sdtPr>
              <w:sdtContent>
                <w:r w:rsidDel="00000000" w:rsidR="00000000" w:rsidRPr="00000000">
                  <w:rPr>
                    <w:rFonts w:ascii="Gungsuh" w:cs="Gungsuh" w:eastAsia="Gungsuh" w:hAnsi="Gungsuh"/>
                    <w:rtl w:val="0"/>
                  </w:rPr>
                  <w:t xml:space="preserve">市場競爭及創新風險和宏觀經濟風險是主要市場風險。互聯網及科技行業面臨激烈競爭，產品更新換代迅速，人工智能相關技術發展日新月異。宏觀經濟形勢變化可能降低個人用戶購買能力和消費意願。</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4C">
            <w:pPr>
              <w:spacing w:after="0" w:lineRule="auto"/>
              <w:rPr/>
            </w:pPr>
            <w:r w:rsidDel="00000000" w:rsidR="00000000" w:rsidRPr="00000000">
              <w:rPr>
                <w:rtl w:val="0"/>
              </w:rPr>
              <w:t xml:space="preserve">Operational Risks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4D">
            <w:pPr>
              <w:spacing w:after="0" w:lineRule="auto"/>
              <w:rPr/>
            </w:pPr>
            <w:sdt>
              <w:sdtPr>
                <w:id w:val="2093471948"/>
                <w:tag w:val="goog_rdk_82"/>
              </w:sdtPr>
              <w:sdtContent>
                <w:r w:rsidDel="00000000" w:rsidR="00000000" w:rsidRPr="00000000">
                  <w:rPr>
                    <w:rFonts w:ascii="Gungsuh" w:cs="Gungsuh" w:eastAsia="Gungsuh" w:hAnsi="Gungsuh"/>
                    <w:rtl w:val="0"/>
                  </w:rPr>
                  <w:t xml:space="preserve">業務連續性風險涉及服務器和網絡基礎設施穩定性，任何信息科技系統功能缺陷、中斷、故障都會對業務造成重大影響。ToB業務管理風險隨著業務快速發展而增加，需要及時調整經營策略和組織架構。危機處理、公關與聲譽風險也是重要營運風險。</w:t>
                </w:r>
              </w:sdtContent>
            </w:sdt>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4E">
            <w:pPr>
              <w:spacing w:after="0" w:lineRule="auto"/>
              <w:rPr/>
            </w:pPr>
            <w:sdt>
              <w:sdtPr>
                <w:id w:val="-695590013"/>
                <w:tag w:val="goog_rdk_83"/>
              </w:sdtPr>
              <w:sdtContent>
                <w:r w:rsidDel="00000000" w:rsidR="00000000" w:rsidRPr="00000000">
                  <w:rPr>
                    <w:rFonts w:ascii="Gungsuh" w:cs="Gungsuh" w:eastAsia="Gungsuh" w:hAnsi="Gungsuh"/>
                    <w:rtl w:val="0"/>
                  </w:rPr>
                  <w:t xml:space="preserve">業務連續性風險是主要營運風險，產品和平台的伺服器和網絡基礎設施穩定性對業務持續運營至關重要。ToB業務管理風險隨著業務快速發展而增加，需要優化管理制度和流程。</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4F">
            <w:pPr>
              <w:spacing w:after="0" w:lineRule="auto"/>
              <w:rPr/>
            </w:pPr>
            <w:r w:rsidDel="00000000" w:rsidR="00000000" w:rsidRPr="00000000">
              <w:rPr>
                <w:rtl w:val="0"/>
              </w:rPr>
              <w:t xml:space="preserve">Financial Risks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50">
            <w:pPr>
              <w:spacing w:after="0" w:lineRule="auto"/>
              <w:rPr/>
            </w:pPr>
            <w:sdt>
              <w:sdtPr>
                <w:id w:val="661748322"/>
                <w:tag w:val="goog_rdk_84"/>
              </w:sdtPr>
              <w:sdtContent>
                <w:r w:rsidDel="00000000" w:rsidR="00000000" w:rsidRPr="00000000">
                  <w:rPr>
                    <w:rFonts w:ascii="Gungsuh" w:cs="Gungsuh" w:eastAsia="Gungsuh" w:hAnsi="Gungsuh"/>
                    <w:rtl w:val="0"/>
                  </w:rPr>
                  <w:t xml:space="preserve">併購及投資管理風險是主要財務風險，投資領域多元化，國際局勢及監管環境變化對投資戰略制定、資金管理、投前評估、投後管理提出更高要求。若未能及時有效管理投資風險，將可能影響投資戰略實現並對公司造成損失。</w:t>
                </w:r>
              </w:sdtContent>
            </w:sdt>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51">
            <w:pPr>
              <w:spacing w:after="0" w:lineRule="auto"/>
              <w:rPr/>
            </w:pPr>
            <w:sdt>
              <w:sdtPr>
                <w:id w:val="464990387"/>
                <w:tag w:val="goog_rdk_85"/>
              </w:sdtPr>
              <w:sdtContent>
                <w:r w:rsidDel="00000000" w:rsidR="00000000" w:rsidRPr="00000000">
                  <w:rPr>
                    <w:rFonts w:ascii="Gungsuh" w:cs="Gungsuh" w:eastAsia="Gungsuh" w:hAnsi="Gungsuh"/>
                    <w:rtl w:val="0"/>
                  </w:rPr>
                  <w:t xml:space="preserve">併購及投資管理風險是主要財務風險，複雜多變的國際關係以及國內外監管政策加強，對投資戰略制定、資金管理、投前評估、投後管理提出更高要求。</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52">
            <w:pPr>
              <w:spacing w:after="0" w:lineRule="auto"/>
              <w:rPr/>
            </w:pPr>
            <w:r w:rsidDel="00000000" w:rsidR="00000000" w:rsidRPr="00000000">
              <w:rPr>
                <w:rtl w:val="0"/>
              </w:rPr>
              <w:t xml:space="preserve">Compliance Risks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53">
            <w:pPr>
              <w:spacing w:after="0" w:lineRule="auto"/>
              <w:rPr/>
            </w:pPr>
            <w:sdt>
              <w:sdtPr>
                <w:id w:val="1550956777"/>
                <w:tag w:val="goog_rdk_86"/>
              </w:sdtPr>
              <w:sdtContent>
                <w:r w:rsidDel="00000000" w:rsidR="00000000" w:rsidRPr="00000000">
                  <w:rPr>
                    <w:rFonts w:ascii="Gungsuh" w:cs="Gungsuh" w:eastAsia="Gungsuh" w:hAnsi="Gungsuh"/>
                    <w:rtl w:val="0"/>
                  </w:rPr>
                  <w:t xml:space="preserve">政策和合規風險包括需要符合不同國家和司法管轄權的法律法規要求，涵蓋數據與隱私保護、反壟斷、反不正當競爭等領域。</w:t>
                </w:r>
              </w:sdtContent>
            </w:sdt>
            <w:sdt>
              <w:sdtPr>
                <w:id w:val="-1732736419"/>
                <w:tag w:val="goog_rdk_87"/>
              </w:sdtPr>
              <w:sdtContent>
                <w:r w:rsidDel="00000000" w:rsidR="00000000" w:rsidRPr="00000000">
                  <w:rPr>
                    <w:rFonts w:ascii="Arial Unicode MS" w:cs="Arial Unicode MS" w:eastAsia="Arial Unicode MS" w:hAnsi="Arial Unicode MS"/>
                    <w:color w:val="131314"/>
                    <w:sz w:val="21"/>
                    <w:szCs w:val="21"/>
                    <w:highlight w:val="white"/>
                    <w:rtl w:val="0"/>
                  </w:rPr>
                  <w:t xml:space="preserve">這些風險因國際地緣政治環境變化及技術迭代創新而日益增加。</w:t>
                </w:r>
              </w:sdtContent>
            </w:sdt>
            <w:sdt>
              <w:sdtPr>
                <w:id w:val="1463491055"/>
                <w:tag w:val="goog_rdk_88"/>
              </w:sdtPr>
              <w:sdtContent>
                <w:r w:rsidDel="00000000" w:rsidR="00000000" w:rsidRPr="00000000">
                  <w:rPr>
                    <w:rFonts w:ascii="Gungsuh" w:cs="Gungsuh" w:eastAsia="Gungsuh" w:hAnsi="Gungsuh"/>
                    <w:rtl w:val="0"/>
                  </w:rPr>
                  <w:t xml:space="preserve">信息安全風險涉及網絡安全和個人數據保護，新興技術使風險更加複雜多樣。欺詐風險隨著業務多元化拓展而增加。</w:t>
                </w:r>
              </w:sdtContent>
            </w:sdt>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54">
            <w:pPr>
              <w:spacing w:after="0" w:lineRule="auto"/>
              <w:rPr/>
            </w:pPr>
            <w:sdt>
              <w:sdtPr>
                <w:id w:val="632289499"/>
                <w:tag w:val="goog_rdk_89"/>
              </w:sdtPr>
              <w:sdtContent>
                <w:r w:rsidDel="00000000" w:rsidR="00000000" w:rsidRPr="00000000">
                  <w:rPr>
                    <w:rFonts w:ascii="Gungsuh" w:cs="Gungsuh" w:eastAsia="Gungsuh" w:hAnsi="Gungsuh"/>
                    <w:rtl w:val="0"/>
                  </w:rPr>
                  <w:t xml:space="preserve">政策和合規風險要求符合不同國家和司法權區相關法律法規，包括數據與隱私保護、反壟斷等領域。信息安全風險涉及網絡安全與個人信息保護監管力度持續加強。欺詐風險隨著業務形態日益複雜而增加。</w:t>
                </w:r>
              </w:sdtContent>
            </w:sdt>
          </w:p>
        </w:tc>
      </w:tr>
    </w:tbl>
    <w:p w:rsidR="00000000" w:rsidDel="00000000" w:rsidP="00000000" w:rsidRDefault="00000000" w:rsidRPr="00000000" w14:paraId="00000155">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56">
      <w:pPr>
        <w:spacing w:after="161" w:before="161" w:lineRule="auto"/>
        <w:ind w:left="0" w:firstLine="0"/>
        <w:jc w:val="left"/>
        <w:rPr/>
      </w:pPr>
      <w:r w:rsidDel="00000000" w:rsidR="00000000" w:rsidRPr="00000000">
        <w:rPr>
          <w:b w:val="1"/>
          <w:i w:val="0"/>
          <w:color w:val="000000"/>
          <w:sz w:val="44"/>
          <w:szCs w:val="44"/>
          <w:rtl w:val="0"/>
        </w:rPr>
        <w:t xml:space="preserve">Section 5: Corporate Governance</w:t>
      </w:r>
      <w:r w:rsidDel="00000000" w:rsidR="00000000" w:rsidRPr="00000000">
        <w:rPr>
          <w:rtl w:val="0"/>
        </w:rPr>
      </w:r>
    </w:p>
    <w:p w:rsidR="00000000" w:rsidDel="00000000" w:rsidP="00000000" w:rsidRDefault="00000000" w:rsidRPr="00000000" w14:paraId="00000157">
      <w:pPr>
        <w:spacing w:after="180" w:before="180" w:lineRule="auto"/>
        <w:ind w:left="0" w:firstLine="0"/>
        <w:jc w:val="left"/>
        <w:rPr/>
      </w:pPr>
      <w:r w:rsidDel="00000000" w:rsidR="00000000" w:rsidRPr="00000000">
        <w:rPr>
          <w:b w:val="1"/>
          <w:i w:val="0"/>
          <w:color w:val="000000"/>
          <w:sz w:val="33"/>
          <w:szCs w:val="33"/>
          <w:rtl w:val="0"/>
        </w:rPr>
        <w:t xml:space="preserve">S5.1: Board Composition</w:t>
      </w:r>
      <w:r w:rsidDel="00000000" w:rsidR="00000000" w:rsidRPr="00000000">
        <w:rPr>
          <w:rtl w:val="0"/>
        </w:rPr>
      </w:r>
    </w:p>
    <w:tbl>
      <w:tblPr>
        <w:tblStyle w:val="Table13"/>
        <w:tblW w:w="6632.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460"/>
        <w:gridCol w:w="1975"/>
        <w:gridCol w:w="3197"/>
        <w:tblGridChange w:id="0">
          <w:tblGrid>
            <w:gridCol w:w="1460"/>
            <w:gridCol w:w="1975"/>
            <w:gridCol w:w="319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8">
            <w:pPr>
              <w:spacing w:after="0" w:before="0" w:lineRule="auto"/>
              <w:ind w:left="0" w:firstLine="0"/>
              <w:jc w:val="left"/>
              <w:rPr/>
            </w:pPr>
            <w:r w:rsidDel="00000000" w:rsidR="00000000" w:rsidRPr="00000000">
              <w:rPr>
                <w:b w:val="1"/>
                <w:i w:val="0"/>
                <w:color w:val="000000"/>
                <w:sz w:val="22"/>
                <w:szCs w:val="22"/>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9">
            <w:pPr>
              <w:spacing w:after="0" w:before="0" w:lineRule="auto"/>
              <w:ind w:left="0" w:firstLine="0"/>
              <w:jc w:val="left"/>
              <w:rPr/>
            </w:pPr>
            <w:r w:rsidDel="00000000" w:rsidR="00000000" w:rsidRPr="00000000">
              <w:rPr>
                <w:b w:val="1"/>
                <w:i w:val="0"/>
                <w:color w:val="000000"/>
                <w:sz w:val="22"/>
                <w:szCs w:val="22"/>
                <w:rtl w:val="0"/>
              </w:rPr>
              <w:t xml:space="preserve">Position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A">
            <w:pPr>
              <w:spacing w:after="0" w:before="0" w:lineRule="auto"/>
              <w:ind w:left="0" w:firstLine="0"/>
              <w:jc w:val="left"/>
              <w:rPr/>
            </w:pPr>
            <w:r w:rsidDel="00000000" w:rsidR="00000000" w:rsidRPr="00000000">
              <w:rPr>
                <w:b w:val="1"/>
                <w:i w:val="0"/>
                <w:color w:val="000000"/>
                <w:sz w:val="22"/>
                <w:szCs w:val="22"/>
                <w:rtl w:val="0"/>
              </w:rPr>
              <w:t xml:space="preserve">Total Income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B">
            <w:pPr>
              <w:spacing w:after="0" w:before="0" w:lineRule="auto"/>
              <w:ind w:left="0" w:firstLine="0"/>
              <w:jc w:val="left"/>
              <w:rPr/>
            </w:pPr>
            <w:sdt>
              <w:sdtPr>
                <w:id w:val="1381265462"/>
                <w:tag w:val="goog_rdk_90"/>
              </w:sdtPr>
              <w:sdtContent>
                <w:r w:rsidDel="00000000" w:rsidR="00000000" w:rsidRPr="00000000">
                  <w:rPr>
                    <w:rFonts w:ascii="Gungsuh" w:cs="Gungsuh" w:eastAsia="Gungsuh" w:hAnsi="Gungsuh"/>
                    <w:b w:val="0"/>
                    <w:i w:val="0"/>
                    <w:color w:val="000000"/>
                    <w:sz w:val="22"/>
                    <w:szCs w:val="22"/>
                    <w:rtl w:val="0"/>
                  </w:rPr>
                  <w:t xml:space="preserve">馬化騰</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C">
            <w:pPr>
              <w:spacing w:after="0" w:before="0" w:lineRule="auto"/>
              <w:ind w:left="0" w:firstLine="0"/>
              <w:jc w:val="left"/>
              <w:rPr/>
            </w:pPr>
            <w:sdt>
              <w:sdtPr>
                <w:id w:val="819091458"/>
                <w:tag w:val="goog_rdk_91"/>
              </w:sdtPr>
              <w:sdtContent>
                <w:r w:rsidDel="00000000" w:rsidR="00000000" w:rsidRPr="00000000">
                  <w:rPr>
                    <w:rFonts w:ascii="Gungsuh" w:cs="Gungsuh" w:eastAsia="Gungsuh" w:hAnsi="Gungsuh"/>
                    <w:b w:val="0"/>
                    <w:i w:val="0"/>
                    <w:color w:val="000000"/>
                    <w:sz w:val="22"/>
                    <w:szCs w:val="22"/>
                    <w:rtl w:val="0"/>
                  </w:rPr>
                  <w:t xml:space="preserve">執行董事、董事會主席兼首席執行官</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5D">
            <w:pPr>
              <w:spacing w:after="0" w:before="0" w:lineRule="auto"/>
              <w:ind w:left="0" w:firstLine="0"/>
              <w:jc w:val="left"/>
              <w:rPr/>
            </w:pPr>
            <w:sdt>
              <w:sdtPr>
                <w:id w:val="-211688092"/>
                <w:tag w:val="goog_rdk_92"/>
              </w:sdtPr>
              <w:sdtContent>
                <w:r w:rsidDel="00000000" w:rsidR="00000000" w:rsidRPr="00000000">
                  <w:rPr>
                    <w:rFonts w:ascii="Gungsuh" w:cs="Gungsuh" w:eastAsia="Gungsuh" w:hAnsi="Gungsuh"/>
                    <w:b w:val="0"/>
                    <w:i w:val="0"/>
                    <w:color w:val="000000"/>
                    <w:sz w:val="22"/>
                    <w:szCs w:val="22"/>
                    <w:rtl w:val="0"/>
                  </w:rPr>
                  <w:t xml:space="preserve">45,073千元人民幣</w:t>
                </w:r>
              </w:sdtContent>
            </w:sdt>
            <w:r w:rsidDel="00000000" w:rsidR="00000000" w:rsidRPr="00000000">
              <w:rPr>
                <w:rtl w:val="0"/>
              </w:rPr>
            </w:r>
          </w:p>
        </w:tc>
      </w:tr>
    </w:tbl>
    <w:p w:rsidR="00000000" w:rsidDel="00000000" w:rsidP="00000000" w:rsidRDefault="00000000" w:rsidRPr="00000000" w14:paraId="0000015E">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5F">
      <w:pPr>
        <w:spacing w:after="180" w:before="180" w:lineRule="auto"/>
        <w:ind w:left="0" w:firstLine="0"/>
        <w:jc w:val="left"/>
        <w:rPr/>
      </w:pPr>
      <w:r w:rsidDel="00000000" w:rsidR="00000000" w:rsidRPr="00000000">
        <w:rPr>
          <w:b w:val="1"/>
          <w:i w:val="0"/>
          <w:color w:val="000000"/>
          <w:sz w:val="33"/>
          <w:szCs w:val="33"/>
          <w:rtl w:val="0"/>
        </w:rPr>
        <w:t xml:space="preserve">S5.2: Internal Controls</w:t>
      </w:r>
      <w:r w:rsidDel="00000000" w:rsidR="00000000" w:rsidRPr="00000000">
        <w:rPr>
          <w:rtl w:val="0"/>
        </w:rPr>
      </w:r>
    </w:p>
    <w:tbl>
      <w:tblPr>
        <w:tblStyle w:val="Table14"/>
        <w:tblW w:w="9450.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130"/>
        <w:gridCol w:w="3555"/>
        <w:gridCol w:w="3765"/>
        <w:tblGridChange w:id="0">
          <w:tblGrid>
            <w:gridCol w:w="2130"/>
            <w:gridCol w:w="3555"/>
            <w:gridCol w:w="37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0">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1">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2">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3">
            <w:pPr>
              <w:spacing w:after="0" w:before="0" w:lineRule="auto"/>
              <w:ind w:left="0" w:firstLine="0"/>
              <w:jc w:val="left"/>
              <w:rPr/>
            </w:pPr>
            <w:r w:rsidDel="00000000" w:rsidR="00000000" w:rsidRPr="00000000">
              <w:rPr>
                <w:b w:val="0"/>
                <w:i w:val="0"/>
                <w:color w:val="000000"/>
                <w:sz w:val="22"/>
                <w:szCs w:val="22"/>
                <w:rtl w:val="0"/>
              </w:rPr>
              <w:t xml:space="preserve">Risk assessment procedures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4">
            <w:pPr>
              <w:spacing w:after="0" w:before="0" w:lineRule="auto"/>
              <w:ind w:left="0" w:firstLine="0"/>
              <w:jc w:val="left"/>
              <w:rPr/>
            </w:pPr>
            <w:sdt>
              <w:sdtPr>
                <w:id w:val="1811441817"/>
                <w:tag w:val="goog_rdk_93"/>
              </w:sdtPr>
              <w:sdtContent>
                <w:r w:rsidDel="00000000" w:rsidR="00000000" w:rsidRPr="00000000">
                  <w:rPr>
                    <w:rFonts w:ascii="Gungsuh" w:cs="Gungsuh" w:eastAsia="Gungsuh" w:hAnsi="Gungsuh"/>
                    <w:b w:val="0"/>
                    <w:i w:val="0"/>
                    <w:color w:val="000000"/>
                    <w:sz w:val="22"/>
                    <w:szCs w:val="22"/>
                    <w:rtl w:val="0"/>
                  </w:rPr>
                  <w:t xml:space="preserve">風險評估採用自下而上的動態流程，由各事業群及職能部門定期識別、評估及應對經營過程中的風險。內部控制部門收集、匯總及分析業務資訊，建立重大風險清單，確保已採取合適的風險應對策略和監控措施，並供管理層及審核委員會審閱。審核委員會代表董事會評估及釐定可接受的風險性質和程度。</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5">
            <w:pPr>
              <w:spacing w:after="0" w:before="0" w:lineRule="auto"/>
              <w:ind w:left="0" w:firstLine="0"/>
              <w:jc w:val="left"/>
              <w:rPr/>
            </w:pPr>
            <w:sdt>
              <w:sdtPr>
                <w:id w:val="-1827085653"/>
                <w:tag w:val="goog_rdk_94"/>
              </w:sdtPr>
              <w:sdtContent>
                <w:r w:rsidDel="00000000" w:rsidR="00000000" w:rsidRPr="00000000">
                  <w:rPr>
                    <w:rFonts w:ascii="Gungsuh" w:cs="Gungsuh" w:eastAsia="Gungsuh" w:hAnsi="Gungsuh"/>
                    <w:b w:val="0"/>
                    <w:i w:val="0"/>
                    <w:color w:val="000000"/>
                    <w:sz w:val="22"/>
                    <w:szCs w:val="22"/>
                    <w:rtl w:val="0"/>
                  </w:rPr>
                  <w:t xml:space="preserve">風險評估採用自下而上的動態流程，由各事業群及職能部門定期識別、評估及應對經營過程中的風險。內部控制部門收集、匯總及分析，建立重大風險清單，確保已採取合適的風險應對策略和監控措施，供管理層及審核委員會審閱。審核委員會代表董事會評估及釐定可接受的風險性質和程度。</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6">
            <w:pPr>
              <w:spacing w:after="0" w:before="0" w:lineRule="auto"/>
              <w:ind w:left="0" w:firstLine="0"/>
              <w:jc w:val="left"/>
              <w:rPr/>
            </w:pPr>
            <w:r w:rsidDel="00000000" w:rsidR="00000000" w:rsidRPr="00000000">
              <w:rPr>
                <w:b w:val="0"/>
                <w:i w:val="0"/>
                <w:color w:val="000000"/>
                <w:sz w:val="22"/>
                <w:szCs w:val="22"/>
                <w:rtl w:val="0"/>
              </w:rPr>
              <w:t xml:space="preserve">Control activities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7">
            <w:pPr>
              <w:spacing w:after="0" w:before="0" w:lineRule="auto"/>
              <w:ind w:left="0" w:firstLine="0"/>
              <w:jc w:val="left"/>
              <w:rPr/>
            </w:pPr>
            <w:sdt>
              <w:sdtPr>
                <w:id w:val="-1841451791"/>
                <w:tag w:val="goog_rdk_95"/>
              </w:sdtPr>
              <w:sdtContent>
                <w:r w:rsidDel="00000000" w:rsidR="00000000" w:rsidRPr="00000000">
                  <w:rPr>
                    <w:rFonts w:ascii="Gungsuh" w:cs="Gungsuh" w:eastAsia="Gungsuh" w:hAnsi="Gungsuh"/>
                    <w:b w:val="0"/>
                    <w:i w:val="0"/>
                    <w:color w:val="000000"/>
                    <w:sz w:val="22"/>
                    <w:szCs w:val="22"/>
                    <w:rtl w:val="0"/>
                  </w:rPr>
                  <w:t xml:space="preserve">內部監控系統根據COSO框架設計，明確界定管理職責、授權和審批，針對重要業務流程制定政策和程序，所有僱員必須嚴格執行。各事業群管理層需自我評估內控情況，內部控制部門協助制定自評問卷並收集結果，首席執行官審閱並向審核委員會及董事會報告。</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8">
            <w:pPr>
              <w:spacing w:after="0" w:before="0" w:lineRule="auto"/>
              <w:ind w:left="0" w:firstLine="0"/>
              <w:jc w:val="left"/>
              <w:rPr/>
            </w:pPr>
            <w:sdt>
              <w:sdtPr>
                <w:id w:val="1738902305"/>
                <w:tag w:val="goog_rdk_96"/>
              </w:sdtPr>
              <w:sdtContent>
                <w:r w:rsidDel="00000000" w:rsidR="00000000" w:rsidRPr="00000000">
                  <w:rPr>
                    <w:rFonts w:ascii="Gungsuh" w:cs="Gungsuh" w:eastAsia="Gungsuh" w:hAnsi="Gungsuh"/>
                    <w:b w:val="0"/>
                    <w:i w:val="0"/>
                    <w:color w:val="000000"/>
                    <w:sz w:val="22"/>
                    <w:szCs w:val="22"/>
                    <w:rtl w:val="0"/>
                  </w:rPr>
                  <w:t xml:space="preserve">內部監控系統根據COSO框架設計，明確界定管理職責、授權和審批，針對重要業務流程制定政策和程序，所有僱員必須嚴格執行。各事業群管理層需自我評估內控情況，內部控制部門協助制定自評問卷並收集結果，首席執行官審閱並向審核委員會及董事會報告。</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9">
            <w:pPr>
              <w:spacing w:after="0" w:before="0" w:lineRule="auto"/>
              <w:ind w:left="0" w:firstLine="0"/>
              <w:jc w:val="left"/>
              <w:rPr/>
            </w:pPr>
            <w:r w:rsidDel="00000000" w:rsidR="00000000" w:rsidRPr="00000000">
              <w:rPr>
                <w:b w:val="0"/>
                <w:i w:val="0"/>
                <w:color w:val="000000"/>
                <w:sz w:val="22"/>
                <w:szCs w:val="22"/>
                <w:rtl w:val="0"/>
              </w:rPr>
              <w:t xml:space="preserve">Monitoring mechanisms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A">
            <w:pPr>
              <w:spacing w:after="0" w:before="0" w:lineRule="auto"/>
              <w:ind w:left="0" w:firstLine="0"/>
              <w:jc w:val="left"/>
              <w:rPr/>
            </w:pPr>
            <w:sdt>
              <w:sdtPr>
                <w:id w:val="-1242222725"/>
                <w:tag w:val="goog_rdk_97"/>
              </w:sdtPr>
              <w:sdtContent>
                <w:r w:rsidDel="00000000" w:rsidR="00000000" w:rsidRPr="00000000">
                  <w:rPr>
                    <w:rFonts w:ascii="Gungsuh" w:cs="Gungsuh" w:eastAsia="Gungsuh" w:hAnsi="Gungsuh"/>
                    <w:b w:val="0"/>
                    <w:i w:val="0"/>
                    <w:color w:val="000000"/>
                    <w:sz w:val="22"/>
                    <w:szCs w:val="22"/>
                    <w:rtl w:val="0"/>
                  </w:rPr>
                  <w:t xml:space="preserve">採用三線模型：第一線為業務和職能部門負責日常運營及控制執行；第二線為內部控制部門，負責政策制定、統一規劃、監督及協助第一線完善內控；第三線為內部審核部門及反舞弊調查部門，提供獨立評價和鑒證，並直接向審核委員會匯報。審核委員會每季度審閱管理層風險管理實踐，每年評估系統有效性，並聘請外部專業機構複核。</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B">
            <w:pPr>
              <w:spacing w:after="0" w:before="0" w:lineRule="auto"/>
              <w:ind w:left="0" w:firstLine="0"/>
              <w:jc w:val="left"/>
              <w:rPr/>
            </w:pPr>
            <w:sdt>
              <w:sdtPr>
                <w:id w:val="-314589001"/>
                <w:tag w:val="goog_rdk_98"/>
              </w:sdtPr>
              <w:sdtContent>
                <w:r w:rsidDel="00000000" w:rsidR="00000000" w:rsidRPr="00000000">
                  <w:rPr>
                    <w:rFonts w:ascii="Gungsuh" w:cs="Gungsuh" w:eastAsia="Gungsuh" w:hAnsi="Gungsuh"/>
                    <w:b w:val="0"/>
                    <w:i w:val="0"/>
                    <w:color w:val="000000"/>
                    <w:sz w:val="22"/>
                    <w:szCs w:val="22"/>
                    <w:rtl w:val="0"/>
                  </w:rPr>
                  <w:t xml:space="preserve">採用三線模型：第一線為業務和職能部門負責日常運營及控制執行；第二線為內部控制部門，負責政策制定、統一規劃、監督及協助第一線完善內控；第三線為內部審核部門及反舞弊調查部門，提供獨立評價和鑒證，並直接向審核委員會匯報。審核委員會每季度審閱管理層風險管理實踐，每年評估系統有效性，並聘請外部專業機構複核。</w:t>
                </w:r>
              </w:sdtContent>
            </w:sdt>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C">
            <w:pPr>
              <w:spacing w:after="0" w:before="0" w:lineRule="auto"/>
              <w:ind w:left="0" w:firstLine="0"/>
              <w:jc w:val="left"/>
              <w:rPr/>
            </w:pPr>
            <w:r w:rsidDel="00000000" w:rsidR="00000000" w:rsidRPr="00000000">
              <w:rPr>
                <w:b w:val="0"/>
                <w:i w:val="0"/>
                <w:color w:val="000000"/>
                <w:sz w:val="22"/>
                <w:szCs w:val="22"/>
                <w:rtl w:val="0"/>
              </w:rPr>
              <w:t xml:space="preserve">Identified material weaknesses or deficiencies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D">
            <w:pPr>
              <w:spacing w:after="0" w:before="0" w:lineRule="auto"/>
              <w:ind w:left="0" w:firstLine="0"/>
              <w:jc w:val="left"/>
              <w:rPr/>
            </w:pPr>
            <w:r w:rsidDel="00000000" w:rsidR="00000000" w:rsidRPr="00000000">
              <w:rPr>
                <w:rtl w:val="0"/>
              </w:rPr>
              <w:t xml:space="preserve">N.A</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E">
            <w:pPr>
              <w:spacing w:after="0" w:before="0" w:lineRule="auto"/>
              <w:ind w:left="0" w:firstLine="0"/>
              <w:jc w:val="left"/>
              <w:rPr/>
            </w:pPr>
            <w:r w:rsidDel="00000000" w:rsidR="00000000" w:rsidRPr="00000000">
              <w:rPr>
                <w:rtl w:val="0"/>
              </w:rPr>
              <w:t xml:space="preserve">N.A</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6F">
            <w:pPr>
              <w:spacing w:after="0" w:before="0" w:lineRule="auto"/>
              <w:ind w:left="0" w:firstLine="0"/>
              <w:jc w:val="left"/>
              <w:rPr/>
            </w:pPr>
            <w:r w:rsidDel="00000000" w:rsidR="00000000" w:rsidRPr="00000000">
              <w:rPr>
                <w:b w:val="0"/>
                <w:i w:val="0"/>
                <w:color w:val="000000"/>
                <w:sz w:val="22"/>
                <w:szCs w:val="22"/>
                <w:rtl w:val="0"/>
              </w:rPr>
              <w:t xml:space="preserve">Effectiveness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0">
            <w:pPr>
              <w:spacing w:after="0" w:before="0" w:lineRule="auto"/>
              <w:ind w:left="0" w:firstLine="0"/>
              <w:jc w:val="left"/>
              <w:rPr/>
            </w:pPr>
            <w:sdt>
              <w:sdtPr>
                <w:id w:val="-1553645467"/>
                <w:tag w:val="goog_rdk_99"/>
              </w:sdtPr>
              <w:sdtContent>
                <w:r w:rsidDel="00000000" w:rsidR="00000000" w:rsidRPr="00000000">
                  <w:rPr>
                    <w:rFonts w:ascii="Gungsuh" w:cs="Gungsuh" w:eastAsia="Gungsuh" w:hAnsi="Gungsuh"/>
                    <w:b w:val="0"/>
                    <w:i w:val="0"/>
                    <w:color w:val="000000"/>
                    <w:sz w:val="22"/>
                    <w:szCs w:val="22"/>
                    <w:rtl w:val="0"/>
                  </w:rPr>
                  <w:t xml:space="preserve">董事會認為截至2024年12月31日止年度，風險管理及內部監控系統（包括財務報告及上市規則合規程序）有效及足夠。會計、財務報告及ESG相關職能由具備資歷及經驗的僱員履行，資源、培訓及預算均足夠。</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1">
            <w:pPr>
              <w:spacing w:after="0" w:before="0" w:lineRule="auto"/>
              <w:ind w:left="0" w:firstLine="0"/>
              <w:jc w:val="left"/>
              <w:rPr/>
            </w:pPr>
            <w:sdt>
              <w:sdtPr>
                <w:id w:val="303620308"/>
                <w:tag w:val="goog_rdk_100"/>
              </w:sdtPr>
              <w:sdtContent>
                <w:r w:rsidDel="00000000" w:rsidR="00000000" w:rsidRPr="00000000">
                  <w:rPr>
                    <w:rFonts w:ascii="Gungsuh" w:cs="Gungsuh" w:eastAsia="Gungsuh" w:hAnsi="Gungsuh"/>
                    <w:b w:val="0"/>
                    <w:i w:val="0"/>
                    <w:color w:val="000000"/>
                    <w:sz w:val="22"/>
                    <w:szCs w:val="22"/>
                    <w:rtl w:val="0"/>
                  </w:rPr>
                  <w:t xml:space="preserve">董事會認為截至2023年12月31日止年度，風險管理及內部監控系統（包括財務報告及上市規則合規程序）有效及足夠。會計、財務報告及ESG相關職能由具備資歷及經驗的僱員履行，資源、培訓及預算均足夠。</w:t>
                </w:r>
              </w:sdtContent>
            </w:sdt>
            <w:r w:rsidDel="00000000" w:rsidR="00000000" w:rsidRPr="00000000">
              <w:rPr>
                <w:rtl w:val="0"/>
              </w:rPr>
            </w:r>
          </w:p>
        </w:tc>
      </w:tr>
    </w:tbl>
    <w:p w:rsidR="00000000" w:rsidDel="00000000" w:rsidP="00000000" w:rsidRDefault="00000000" w:rsidRPr="00000000" w14:paraId="00000172">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73">
      <w:pPr>
        <w:spacing w:after="161" w:before="161" w:lineRule="auto"/>
        <w:ind w:left="0" w:firstLine="0"/>
        <w:jc w:val="left"/>
        <w:rPr/>
      </w:pPr>
      <w:r w:rsidDel="00000000" w:rsidR="00000000" w:rsidRPr="00000000">
        <w:rPr>
          <w:b w:val="1"/>
          <w:i w:val="0"/>
          <w:color w:val="000000"/>
          <w:sz w:val="44"/>
          <w:szCs w:val="44"/>
          <w:rtl w:val="0"/>
        </w:rPr>
        <w:t xml:space="preserve">Section 6: Future Outlook</w:t>
      </w:r>
      <w:r w:rsidDel="00000000" w:rsidR="00000000" w:rsidRPr="00000000">
        <w:rPr>
          <w:rtl w:val="0"/>
        </w:rPr>
      </w:r>
    </w:p>
    <w:p w:rsidR="00000000" w:rsidDel="00000000" w:rsidP="00000000" w:rsidRDefault="00000000" w:rsidRPr="00000000" w14:paraId="00000174">
      <w:pPr>
        <w:spacing w:after="180" w:before="180" w:lineRule="auto"/>
        <w:ind w:left="0" w:firstLine="0"/>
        <w:jc w:val="left"/>
        <w:rPr/>
      </w:pPr>
      <w:r w:rsidDel="00000000" w:rsidR="00000000" w:rsidRPr="00000000">
        <w:rPr>
          <w:b w:val="1"/>
          <w:i w:val="0"/>
          <w:color w:val="000000"/>
          <w:sz w:val="33"/>
          <w:szCs w:val="33"/>
          <w:rtl w:val="0"/>
        </w:rPr>
        <w:t xml:space="preserve">S6.1: Strategic Direction</w:t>
      </w:r>
      <w:r w:rsidDel="00000000" w:rsidR="00000000" w:rsidRPr="00000000">
        <w:rPr>
          <w:rtl w:val="0"/>
        </w:rPr>
      </w:r>
    </w:p>
    <w:tbl>
      <w:tblPr>
        <w:tblStyle w:val="Table15"/>
        <w:tblW w:w="859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1395"/>
        <w:gridCol w:w="3600"/>
        <w:gridCol w:w="3600"/>
        <w:tblGridChange w:id="0">
          <w:tblGrid>
            <w:gridCol w:w="1395"/>
            <w:gridCol w:w="3600"/>
            <w:gridCol w:w="360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5">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6">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7">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78">
            <w:pPr>
              <w:spacing w:after="0" w:lineRule="auto"/>
              <w:rPr/>
            </w:pPr>
            <w:r w:rsidDel="00000000" w:rsidR="00000000" w:rsidRPr="00000000">
              <w:rPr>
                <w:rtl w:val="0"/>
              </w:rPr>
              <w:t xml:space="preserve">Mergers and Acquisition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79">
            <w:pPr>
              <w:spacing w:after="0" w:lineRule="auto"/>
              <w:rPr/>
            </w:pPr>
            <w:sdt>
              <w:sdtPr>
                <w:id w:val="305693062"/>
                <w:tag w:val="goog_rdk_101"/>
              </w:sdtPr>
              <w:sdtContent>
                <w:r w:rsidDel="00000000" w:rsidR="00000000" w:rsidRPr="00000000">
                  <w:rPr>
                    <w:rFonts w:ascii="Gungsuh" w:cs="Gungsuh" w:eastAsia="Gungsuh" w:hAnsi="Gungsuh"/>
                    <w:rtl w:val="0"/>
                  </w:rPr>
                  <w:t xml:space="preserve">2024年，騰訊持續進行併購活動，特別是在遊戲開發領域，通過分階段收購現有聯營公司額外權益，</w:t>
                </w:r>
              </w:sdtContent>
            </w:sdt>
            <w:sdt>
              <w:sdtPr>
                <w:id w:val="933933736"/>
                <w:tag w:val="goog_rdk_102"/>
              </w:sdtPr>
              <w:sdtContent>
                <w:r w:rsidDel="00000000" w:rsidR="00000000" w:rsidRPr="00000000">
                  <w:rPr>
                    <w:rFonts w:ascii="Arial Unicode MS" w:cs="Arial Unicode MS" w:eastAsia="Arial Unicode MS" w:hAnsi="Arial Unicode MS"/>
                    <w:color w:val="131314"/>
                    <w:sz w:val="21"/>
                    <w:szCs w:val="21"/>
                    <w:highlight w:val="white"/>
                    <w:rtl w:val="0"/>
                  </w:rPr>
                  <w:t xml:space="preserve">購買價合共約人民幣95億元，確認商譽約人民幣191億元</w:t>
                </w:r>
              </w:sdtContent>
            </w:sdt>
            <w:sdt>
              <w:sdtPr>
                <w:id w:val="-542912066"/>
                <w:tag w:val="goog_rdk_103"/>
              </w:sdtPr>
              <w:sdtContent>
                <w:r w:rsidDel="00000000" w:rsidR="00000000" w:rsidRPr="00000000">
                  <w:rPr>
                    <w:rFonts w:ascii="Gungsuh" w:cs="Gungsuh" w:eastAsia="Gungsuh" w:hAnsi="Gungsuh"/>
                    <w:rtl w:val="0"/>
                  </w:rPr>
                  <w:t xml:space="preserve">。公司強調設有投資委員會及專業團隊，持續監控投資組合表現，並根據宏觀環境及行業法規動態調整投資策略。</w:t>
                </w:r>
              </w:sdtContent>
            </w:sdt>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7A">
            <w:pPr>
              <w:spacing w:after="0" w:lineRule="auto"/>
              <w:rPr/>
            </w:pPr>
            <w:sdt>
              <w:sdtPr>
                <w:id w:val="1325610825"/>
                <w:tag w:val="goog_rdk_104"/>
              </w:sdtPr>
              <w:sdtContent>
                <w:r w:rsidDel="00000000" w:rsidR="00000000" w:rsidRPr="00000000">
                  <w:rPr>
                    <w:rFonts w:ascii="Gungsuh" w:cs="Gungsuh" w:eastAsia="Gungsuh" w:hAnsi="Gungsuh"/>
                    <w:rtl w:val="0"/>
                  </w:rPr>
                  <w:t xml:space="preserve">2023年，騰訊完成對一間遊戲公司67%股權的收購，將其納入附屬公司，強調併購帶來的經營協同效應與規模經濟。公司設有投資委員會及專業團隊，動態分析宏觀經濟及行業法規，制定風險管理策略，有效管理投資風險。</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7B">
            <w:pPr>
              <w:spacing w:after="0" w:lineRule="auto"/>
              <w:rPr/>
            </w:pPr>
            <w:r w:rsidDel="00000000" w:rsidR="00000000" w:rsidRPr="00000000">
              <w:rPr>
                <w:rtl w:val="0"/>
              </w:rPr>
              <w:t xml:space="preserve">New technologies</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7C">
            <w:pPr>
              <w:spacing w:after="0" w:lineRule="auto"/>
              <w:rPr/>
            </w:pPr>
            <w:sdt>
              <w:sdtPr>
                <w:id w:val="1931866028"/>
                <w:tag w:val="goog_rdk_105"/>
              </w:sdtPr>
              <w:sdtContent>
                <w:r w:rsidDel="00000000" w:rsidR="00000000" w:rsidRPr="00000000">
                  <w:rPr>
                    <w:rFonts w:ascii="Gungsuh" w:cs="Gungsuh" w:eastAsia="Gungsuh" w:hAnsi="Gungsuh"/>
                    <w:rtl w:val="0"/>
                  </w:rPr>
                  <w:t xml:space="preserve">騰訊持續加大AI、雲計算、量子計算等前沿技術投入，推動混元基礎模型等AI技術在產品和服務中的應用，並深化產學研合作，促進技術轉化。公司強調以創新為核心，利用新技術優化C端與B端解決方案，提升產品智能化和用戶體驗，並推動可持續社會價值創新。</w:t>
                </w:r>
              </w:sdtContent>
            </w:sdt>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40.0" w:type="dxa"/>
              <w:right w:w="40.0" w:type="dxa"/>
            </w:tcMar>
            <w:vAlign w:val="center"/>
          </w:tcPr>
          <w:p w:rsidR="00000000" w:rsidDel="00000000" w:rsidP="00000000" w:rsidRDefault="00000000" w:rsidRPr="00000000" w14:paraId="0000017D">
            <w:pPr>
              <w:spacing w:after="0" w:lineRule="auto"/>
              <w:rPr/>
            </w:pPr>
            <w:sdt>
              <w:sdtPr>
                <w:id w:val="1731220074"/>
                <w:tag w:val="goog_rdk_106"/>
              </w:sdtPr>
              <w:sdtContent>
                <w:r w:rsidDel="00000000" w:rsidR="00000000" w:rsidRPr="00000000">
                  <w:rPr>
                    <w:rFonts w:ascii="Gungsuh" w:cs="Gungsuh" w:eastAsia="Gungsuh" w:hAnsi="Gungsuh"/>
                    <w:rtl w:val="0"/>
                  </w:rPr>
                  <w:t xml:space="preserve">騰訊重視前沿技術創新，持續投入AI、雲計算、大數據等領域，推動混元大模型及其他創新科技應用於產品和服務，提升用戶體驗與市場競爭力。公司強調通過技術創新驅動業務發展，並支持產業升級與社會價值創造。</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E">
            <w:pPr>
              <w:spacing w:after="0" w:before="0" w:lineRule="auto"/>
              <w:ind w:left="0" w:firstLine="0"/>
              <w:jc w:val="left"/>
              <w:rPr/>
            </w:pPr>
            <w:r w:rsidDel="00000000" w:rsidR="00000000" w:rsidRPr="00000000">
              <w:rPr>
                <w:b w:val="0"/>
                <w:i w:val="0"/>
                <w:color w:val="000000"/>
                <w:sz w:val="22"/>
                <w:szCs w:val="22"/>
                <w:rtl w:val="0"/>
              </w:rPr>
              <w:t xml:space="preserve">Organisational Restructuring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7F">
            <w:pPr>
              <w:spacing w:after="0" w:before="0" w:lineRule="auto"/>
              <w:ind w:left="0" w:firstLine="0"/>
              <w:jc w:val="left"/>
              <w:rPr/>
            </w:pPr>
            <w:sdt>
              <w:sdtPr>
                <w:id w:val="-390142798"/>
                <w:tag w:val="goog_rdk_107"/>
              </w:sdtPr>
              <w:sdtContent>
                <w:r w:rsidDel="00000000" w:rsidR="00000000" w:rsidRPr="00000000">
                  <w:rPr>
                    <w:rFonts w:ascii="Gungsuh" w:cs="Gungsuh" w:eastAsia="Gungsuh" w:hAnsi="Gungsuh"/>
                    <w:b w:val="0"/>
                    <w:i w:val="0"/>
                    <w:color w:val="000000"/>
                    <w:sz w:val="22"/>
                    <w:szCs w:val="22"/>
                    <w:rtl w:val="0"/>
                  </w:rPr>
                  <w:t xml:space="preserve">騰訊持續優化資源配置、經營策略、</w:t>
                </w:r>
              </w:sdtContent>
            </w:sdt>
            <w:sdt>
              <w:sdtPr>
                <w:id w:val="1604943016"/>
                <w:tag w:val="goog_rdk_108"/>
              </w:sdtPr>
              <w:sdtContent>
                <w:r w:rsidDel="00000000" w:rsidR="00000000" w:rsidRPr="00000000">
                  <w:rPr>
                    <w:rFonts w:ascii="Arial Unicode MS" w:cs="Arial Unicode MS" w:eastAsia="Arial Unicode MS" w:hAnsi="Arial Unicode MS"/>
                    <w:b w:val="1"/>
                    <w:color w:val="131314"/>
                    <w:sz w:val="21"/>
                    <w:szCs w:val="21"/>
                    <w:highlight w:val="white"/>
                    <w:rtl w:val="0"/>
                  </w:rPr>
                  <w:t xml:space="preserve">人力資源、</w:t>
                </w:r>
              </w:sdtContent>
            </w:sdt>
            <w:sdt>
              <w:sdtPr>
                <w:id w:val="583699522"/>
                <w:tag w:val="goog_rdk_109"/>
              </w:sdtPr>
              <w:sdtContent>
                <w:r w:rsidDel="00000000" w:rsidR="00000000" w:rsidRPr="00000000">
                  <w:rPr>
                    <w:rFonts w:ascii="Gungsuh" w:cs="Gungsuh" w:eastAsia="Gungsuh" w:hAnsi="Gungsuh"/>
                    <w:b w:val="0"/>
                    <w:i w:val="0"/>
                    <w:color w:val="000000"/>
                    <w:sz w:val="22"/>
                    <w:szCs w:val="22"/>
                    <w:rtl w:val="0"/>
                  </w:rPr>
                  <w:t xml:space="preserve">組織架構及管理制度，提升專業人才匹配度，完善內部管理流程。</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0">
            <w:pPr>
              <w:spacing w:after="0" w:before="0" w:lineRule="auto"/>
              <w:ind w:left="0" w:firstLine="0"/>
              <w:jc w:val="left"/>
              <w:rPr/>
            </w:pPr>
            <w:sdt>
              <w:sdtPr>
                <w:id w:val="-205195617"/>
                <w:tag w:val="goog_rdk_110"/>
              </w:sdtPr>
              <w:sdtContent>
                <w:r w:rsidDel="00000000" w:rsidR="00000000" w:rsidRPr="00000000">
                  <w:rPr>
                    <w:rFonts w:ascii="Gungsuh" w:cs="Gungsuh" w:eastAsia="Gungsuh" w:hAnsi="Gungsuh"/>
                    <w:b w:val="0"/>
                    <w:i w:val="0"/>
                    <w:color w:val="000000"/>
                    <w:sz w:val="22"/>
                    <w:szCs w:val="22"/>
                    <w:rtl w:val="0"/>
                  </w:rPr>
                  <w:t xml:space="preserve">騰訊持續優化資源配置、經營策略、組織架構及人力資源，優化管理制度與業務流程，加強產品研發與競爭力，提升與外部合作效益，確保ToB業務可持續發展。</w:t>
                </w:r>
              </w:sdtContent>
            </w:sdt>
            <w:r w:rsidDel="00000000" w:rsidR="00000000" w:rsidRPr="00000000">
              <w:rPr>
                <w:rtl w:val="0"/>
              </w:rPr>
            </w:r>
          </w:p>
        </w:tc>
      </w:tr>
    </w:tbl>
    <w:p w:rsidR="00000000" w:rsidDel="00000000" w:rsidP="00000000" w:rsidRDefault="00000000" w:rsidRPr="00000000" w14:paraId="00000181">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82">
      <w:pPr>
        <w:spacing w:after="180" w:before="180" w:lineRule="auto"/>
        <w:ind w:left="0" w:firstLine="0"/>
        <w:jc w:val="left"/>
        <w:rPr/>
      </w:pPr>
      <w:r w:rsidDel="00000000" w:rsidR="00000000" w:rsidRPr="00000000">
        <w:rPr>
          <w:b w:val="1"/>
          <w:i w:val="0"/>
          <w:color w:val="000000"/>
          <w:sz w:val="33"/>
          <w:szCs w:val="33"/>
          <w:rtl w:val="0"/>
        </w:rPr>
        <w:t xml:space="preserve">S6.2: Challenges and Uncertainties</w:t>
      </w:r>
      <w:r w:rsidDel="00000000" w:rsidR="00000000" w:rsidRPr="00000000">
        <w:rPr>
          <w:rtl w:val="0"/>
        </w:rPr>
      </w:r>
    </w:p>
    <w:tbl>
      <w:tblPr>
        <w:tblStyle w:val="Table16"/>
        <w:tblW w:w="841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655"/>
        <w:gridCol w:w="2880"/>
        <w:gridCol w:w="2880"/>
        <w:tblGridChange w:id="0">
          <w:tblGrid>
            <w:gridCol w:w="2655"/>
            <w:gridCol w:w="2880"/>
            <w:gridCol w:w="28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3">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4">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5">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rPr/>
            </w:pPr>
            <w:r w:rsidDel="00000000" w:rsidR="00000000" w:rsidRPr="00000000">
              <w:rPr>
                <w:rtl w:val="0"/>
              </w:rPr>
              <w:t xml:space="preserve">Economic challenges such as inflation, recession risks, and shifting consumer behavior that could impact revenue and profitability.</w:t>
            </w:r>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pPr>
            <w:sdt>
              <w:sdtPr>
                <w:id w:val="-1937059824"/>
                <w:tag w:val="goog_rdk_111"/>
              </w:sdtPr>
              <w:sdtContent>
                <w:r w:rsidDel="00000000" w:rsidR="00000000" w:rsidRPr="00000000">
                  <w:rPr>
                    <w:rFonts w:ascii="Gungsuh" w:cs="Gungsuh" w:eastAsia="Gungsuh" w:hAnsi="Gungsuh"/>
                    <w:rtl w:val="0"/>
                  </w:rPr>
                  <w:t xml:space="preserve">公司部分業務與宏觀經濟形勢和整體消費經濟密切相關。國際局勢變化、各地經濟發展速度差異及經濟環境不確定性，可能影響個人用戶購買力和消費意願，以及企業客戶的運營情況，進而對公司部分收入來源造成不利影響。隨著全球化業務推進，國際局勢不確定性及地緣政治矛盾可能導致貿易、投資等政策及市場變化，影響公司經營和業務合作，削弱競爭優勢和業務發展潛力。</w:t>
                </w:r>
              </w:sdtContent>
            </w:sdt>
          </w:p>
        </w:tc>
        <w:tc>
          <w:tcPr>
            <w:tcBorders>
              <w:top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pPr>
            <w:sdt>
              <w:sdtPr>
                <w:id w:val="-1826017765"/>
                <w:tag w:val="goog_rdk_112"/>
              </w:sdtPr>
              <w:sdtContent>
                <w:r w:rsidDel="00000000" w:rsidR="00000000" w:rsidRPr="00000000">
                  <w:rPr>
                    <w:rFonts w:ascii="Gungsuh" w:cs="Gungsuh" w:eastAsia="Gungsuh" w:hAnsi="Gungsuh"/>
                    <w:rtl w:val="0"/>
                  </w:rPr>
                  <w:t xml:space="preserve">公司部分業務收入與宏觀經濟形勢和整體消費經濟密切相關。隨著公司業務國際化，國際社會形勢變化及各地經濟發展速度差異，以及突發事件等，可能降低個人用戶購買能力和消費意願，影響企業客戶運營和利潤，導致其減少投入，對公司部分收入來源造成不利影響。全球局勢不確定性可能導致貿易、投資等政策及市場變化，影響公司經營和業務合作，削弱競爭力和業務發展潛力。</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9">
            <w:pPr>
              <w:spacing w:after="0" w:before="0" w:lineRule="auto"/>
              <w:ind w:left="0" w:firstLine="0"/>
              <w:jc w:val="left"/>
              <w:rPr/>
            </w:pPr>
            <w:r w:rsidDel="00000000" w:rsidR="00000000" w:rsidRPr="00000000">
              <w:rPr>
                <w:b w:val="0"/>
                <w:i w:val="0"/>
                <w:color w:val="000000"/>
                <w:sz w:val="22"/>
                <w:szCs w:val="22"/>
                <w:rtl w:val="0"/>
              </w:rPr>
              <w:t xml:space="preserve">Competitive pressures from both established industry players and new, disruptive market entrants that the company faces.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A">
            <w:pPr>
              <w:spacing w:after="0" w:before="0" w:lineRule="auto"/>
              <w:ind w:left="0" w:firstLine="0"/>
              <w:jc w:val="left"/>
              <w:rPr/>
            </w:pPr>
            <w:sdt>
              <w:sdtPr>
                <w:id w:val="35873701"/>
                <w:tag w:val="goog_rdk_113"/>
              </w:sdtPr>
              <w:sdtContent>
                <w:r w:rsidDel="00000000" w:rsidR="00000000" w:rsidRPr="00000000">
                  <w:rPr>
                    <w:rFonts w:ascii="Gungsuh" w:cs="Gungsuh" w:eastAsia="Gungsuh" w:hAnsi="Gungsuh"/>
                    <w:b w:val="0"/>
                    <w:i w:val="0"/>
                    <w:color w:val="000000"/>
                    <w:sz w:val="22"/>
                    <w:szCs w:val="22"/>
                    <w:rtl w:val="0"/>
                  </w:rPr>
                  <w:t xml:space="preserve">市場競爭及創新風險加劇，互聯網及科技行業面臨技術迭代加速與競爭格局動態重構的雙重挑戰。AI等前沿技術突破加速產品生命周期迭代，企業需持續投入研發以維持競爭力。技術驅動的商業模式變革吸引傳統行業及跨界競爭者進入，核心業務面臨市場份額被侵蝕及新興領域佈局追趕不及的風險。國內外市場需求分化及競爭加劇進一步放大行業不確定性。公司持續加大技術投入，利用AI等核心技術提升產品智能化，吸引和培養人才，深化產學研合作，鞏固創新能力，積極佈局新業務，與合作夥伴攜手創新，提升服務能力。</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B">
            <w:pPr>
              <w:spacing w:after="0" w:before="0" w:lineRule="auto"/>
              <w:ind w:left="0" w:firstLine="0"/>
              <w:jc w:val="left"/>
              <w:rPr/>
            </w:pPr>
            <w:sdt>
              <w:sdtPr>
                <w:id w:val="-50181040"/>
                <w:tag w:val="goog_rdk_114"/>
              </w:sdtPr>
              <w:sdtContent>
                <w:r w:rsidDel="00000000" w:rsidR="00000000" w:rsidRPr="00000000">
                  <w:rPr>
                    <w:rFonts w:ascii="Gungsuh" w:cs="Gungsuh" w:eastAsia="Gungsuh" w:hAnsi="Gungsuh"/>
                    <w:b w:val="0"/>
                    <w:i w:val="0"/>
                    <w:color w:val="000000"/>
                    <w:sz w:val="22"/>
                    <w:szCs w:val="22"/>
                    <w:rtl w:val="0"/>
                  </w:rPr>
                  <w:t xml:space="preserve">市場競爭及創新風險持續存在，互聯網及科技行業時刻面對激烈競爭，產品更新換代迅速，人工智能技術發展日新月異。科技創新推動商業模式創新，市場加入更多新競爭者，現有競爭格局可能出現較大變化。公司重視創新，關注行業和用戶需求變化，通過前沿技術創新提升產品和服務，吸引和培養人才，加大科研投入，聚焦核心產品和業務，與合作夥伴共同創新，提升服務能力，支持生態系統實現產品服務增長及持續創新。</w:t>
                </w:r>
              </w:sdtContent>
            </w:sdt>
            <w:r w:rsidDel="00000000" w:rsidR="00000000" w:rsidRPr="00000000">
              <w:rPr>
                <w:rtl w:val="0"/>
              </w:rPr>
            </w:r>
          </w:p>
        </w:tc>
      </w:tr>
    </w:tbl>
    <w:p w:rsidR="00000000" w:rsidDel="00000000" w:rsidP="00000000" w:rsidRDefault="00000000" w:rsidRPr="00000000" w14:paraId="0000018C">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p w:rsidR="00000000" w:rsidDel="00000000" w:rsidP="00000000" w:rsidRDefault="00000000" w:rsidRPr="00000000" w14:paraId="0000018D">
      <w:pPr>
        <w:spacing w:after="180" w:before="180" w:lineRule="auto"/>
        <w:ind w:left="0" w:firstLine="0"/>
        <w:jc w:val="left"/>
        <w:rPr/>
      </w:pPr>
      <w:r w:rsidDel="00000000" w:rsidR="00000000" w:rsidRPr="00000000">
        <w:rPr>
          <w:b w:val="1"/>
          <w:i w:val="0"/>
          <w:color w:val="000000"/>
          <w:sz w:val="33"/>
          <w:szCs w:val="33"/>
          <w:rtl w:val="0"/>
        </w:rPr>
        <w:t xml:space="preserve">S6.3: Innovation and Development Plans</w:t>
      </w:r>
      <w:r w:rsidDel="00000000" w:rsidR="00000000" w:rsidRPr="00000000">
        <w:rPr>
          <w:rtl w:val="0"/>
        </w:rPr>
      </w:r>
    </w:p>
    <w:tbl>
      <w:tblPr>
        <w:tblStyle w:val="Table17"/>
        <w:tblW w:w="8655.0" w:type="dxa"/>
        <w:jc w:val="left"/>
        <w:tblBorders>
          <w:top w:color="000000" w:space="0" w:sz="8" w:val="single"/>
          <w:left w:color="000000" w:space="0" w:sz="8" w:val="single"/>
          <w:bottom w:color="000000" w:space="0" w:sz="8" w:val="single"/>
          <w:right w:color="000000" w:space="0" w:sz="8" w:val="single"/>
          <w:insideH w:color="000000" w:space="0" w:sz="0" w:val="nil"/>
          <w:insideV w:color="000000" w:space="0" w:sz="0" w:val="nil"/>
        </w:tblBorders>
        <w:tblLayout w:type="fixed"/>
        <w:tblLook w:val="0000"/>
      </w:tblPr>
      <w:tblGrid>
        <w:gridCol w:w="2895"/>
        <w:gridCol w:w="2880"/>
        <w:gridCol w:w="2880"/>
        <w:tblGridChange w:id="0">
          <w:tblGrid>
            <w:gridCol w:w="2895"/>
            <w:gridCol w:w="2880"/>
            <w:gridCol w:w="28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E">
            <w:pPr>
              <w:spacing w:after="0" w:before="0" w:lineRule="auto"/>
              <w:ind w:left="0" w:firstLine="0"/>
              <w:jc w:val="left"/>
              <w:rPr/>
            </w:pPr>
            <w:r w:rsidDel="00000000" w:rsidR="00000000" w:rsidRPr="00000000">
              <w:rPr>
                <w:b w:val="1"/>
                <w:i w:val="0"/>
                <w:color w:val="000000"/>
                <w:sz w:val="22"/>
                <w:szCs w:val="22"/>
                <w:rtl w:val="0"/>
              </w:rPr>
              <w:t xml:space="preserve">Perspective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8F">
            <w:pPr>
              <w:spacing w:after="0" w:before="0" w:lineRule="auto"/>
              <w:ind w:left="0" w:firstLine="0"/>
              <w:jc w:val="left"/>
              <w:rPr/>
            </w:pPr>
            <w:r w:rsidDel="00000000" w:rsidR="00000000" w:rsidRPr="00000000">
              <w:rPr>
                <w:b w:val="1"/>
                <w:i w:val="0"/>
                <w:color w:val="000000"/>
                <w:sz w:val="22"/>
                <w:szCs w:val="22"/>
                <w:rtl w:val="0"/>
              </w:rPr>
              <w:t xml:space="preserve">2024 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0">
            <w:pPr>
              <w:spacing w:after="0" w:before="0" w:lineRule="auto"/>
              <w:ind w:left="0" w:firstLine="0"/>
              <w:jc w:val="left"/>
              <w:rPr/>
            </w:pPr>
            <w:r w:rsidDel="00000000" w:rsidR="00000000" w:rsidRPr="00000000">
              <w:rPr>
                <w:b w:val="1"/>
                <w:i w:val="0"/>
                <w:color w:val="000000"/>
                <w:sz w:val="22"/>
                <w:szCs w:val="22"/>
                <w:rtl w:val="0"/>
              </w:rPr>
              <w:t xml:space="preserve">2023 Report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1">
            <w:pPr>
              <w:spacing w:after="0" w:before="0" w:lineRule="auto"/>
              <w:ind w:left="0" w:firstLine="0"/>
              <w:jc w:val="left"/>
              <w:rPr/>
            </w:pPr>
            <w:r w:rsidDel="00000000" w:rsidR="00000000" w:rsidRPr="00000000">
              <w:rPr>
                <w:b w:val="0"/>
                <w:i w:val="0"/>
                <w:color w:val="000000"/>
                <w:sz w:val="22"/>
                <w:szCs w:val="22"/>
                <w:rtl w:val="0"/>
              </w:rPr>
              <w:t xml:space="preserve">R&amp;D investments, with a focus on advancing technology, improving products, and creating new solutions to cater to market trends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2">
            <w:pPr>
              <w:spacing w:after="0" w:before="0" w:lineRule="auto"/>
              <w:ind w:left="0" w:firstLine="0"/>
              <w:jc w:val="left"/>
              <w:rPr/>
            </w:pPr>
            <w:sdt>
              <w:sdtPr>
                <w:id w:val="-57532909"/>
                <w:tag w:val="goog_rdk_115"/>
              </w:sdtPr>
              <w:sdtContent>
                <w:r w:rsidDel="00000000" w:rsidR="00000000" w:rsidRPr="00000000">
                  <w:rPr>
                    <w:rFonts w:ascii="Gungsuh" w:cs="Gungsuh" w:eastAsia="Gungsuh" w:hAnsi="Gungsuh"/>
                    <w:b w:val="0"/>
                    <w:i w:val="0"/>
                    <w:color w:val="000000"/>
                    <w:sz w:val="22"/>
                    <w:szCs w:val="22"/>
                    <w:rtl w:val="0"/>
                  </w:rPr>
                  <w:t xml:space="preserve">騰訊持續加大技術投入，特別是在AI、混元基礎模型等前沿技術領域，提升產品智能化水平，並深化產學研合作，推動AI、量子計算等技術轉化。</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3">
            <w:pPr>
              <w:spacing w:after="0" w:before="0" w:lineRule="auto"/>
              <w:ind w:left="0" w:firstLine="0"/>
              <w:jc w:val="left"/>
              <w:rPr/>
            </w:pPr>
            <w:sdt>
              <w:sdtPr>
                <w:id w:val="332340275"/>
                <w:tag w:val="goog_rdk_116"/>
              </w:sdtPr>
              <w:sdtContent>
                <w:r w:rsidDel="00000000" w:rsidR="00000000" w:rsidRPr="00000000">
                  <w:rPr>
                    <w:rFonts w:ascii="Gungsuh" w:cs="Gungsuh" w:eastAsia="Gungsuh" w:hAnsi="Gungsuh"/>
                    <w:b w:val="0"/>
                    <w:i w:val="0"/>
                    <w:color w:val="000000"/>
                    <w:sz w:val="22"/>
                    <w:szCs w:val="22"/>
                    <w:rtl w:val="0"/>
                  </w:rPr>
                  <w:t xml:space="preserve">騰訊重視創新，持續加大科研投入，提升技術創新能力，並結合混元大模型及其他創新科技，推動產品和業務的前沿發展。公司聚焦於科技創新、產品創新和商業模式創新</w:t>
                </w:r>
              </w:sdtContent>
            </w:sdt>
            <w:sdt>
              <w:sdtPr>
                <w:id w:val="357318627"/>
                <w:tag w:val="goog_rdk_117"/>
              </w:sdtPr>
              <w:sdtContent>
                <w:r w:rsidDel="00000000" w:rsidR="00000000" w:rsidRPr="00000000">
                  <w:rPr>
                    <w:rFonts w:ascii="Gungsuh" w:cs="Gungsuh" w:eastAsia="Gungsuh" w:hAnsi="Gungsuh"/>
                    <w:rtl w:val="0"/>
                  </w:rPr>
                  <w:t xml:space="preserve">。</w:t>
                </w:r>
              </w:sdtContent>
            </w:sdt>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4">
            <w:pPr>
              <w:spacing w:after="0" w:before="0" w:lineRule="auto"/>
              <w:ind w:left="0" w:firstLine="0"/>
              <w:jc w:val="left"/>
              <w:rPr/>
            </w:pPr>
            <w:r w:rsidDel="00000000" w:rsidR="00000000" w:rsidRPr="00000000">
              <w:rPr>
                <w:b w:val="0"/>
                <w:i w:val="0"/>
                <w:color w:val="000000"/>
                <w:sz w:val="22"/>
                <w:szCs w:val="22"/>
                <w:rtl w:val="0"/>
              </w:rPr>
              <w:t xml:space="preserve">New product launches, emphasizing the company’s commitment to continuously introducing differentiated products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5">
            <w:pPr>
              <w:spacing w:after="0" w:before="0" w:lineRule="auto"/>
              <w:ind w:left="0" w:firstLine="0"/>
              <w:jc w:val="left"/>
              <w:rPr/>
            </w:pPr>
            <w:sdt>
              <w:sdtPr>
                <w:id w:val="219660996"/>
                <w:tag w:val="goog_rdk_118"/>
              </w:sdtPr>
              <w:sdtContent>
                <w:r w:rsidDel="00000000" w:rsidR="00000000" w:rsidRPr="00000000">
                  <w:rPr>
                    <w:rFonts w:ascii="Gungsuh" w:cs="Gungsuh" w:eastAsia="Gungsuh" w:hAnsi="Gungsuh"/>
                    <w:b w:val="0"/>
                    <w:i w:val="0"/>
                    <w:color w:val="000000"/>
                    <w:sz w:val="22"/>
                    <w:szCs w:val="22"/>
                    <w:rtl w:val="0"/>
                  </w:rPr>
                  <w:t xml:space="preserve">騰訊持續推出新產品，如微信小店、視頻號、微信搜一搜等，並將AI能力整合到產品中，提升用戶體驗和產品差異化。公司強調快速迭代混元基礎模型，為AI在消費端的大規模普及做好準備，並不斷擴充長青遊戲組合，培育新遊戲。</w:t>
                </w:r>
              </w:sdtContent>
            </w:sdt>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96">
            <w:pPr>
              <w:spacing w:after="0" w:before="0" w:lineRule="auto"/>
              <w:ind w:left="0" w:firstLine="0"/>
              <w:jc w:val="left"/>
              <w:rPr/>
            </w:pPr>
            <w:sdt>
              <w:sdtPr>
                <w:id w:val="383400004"/>
                <w:tag w:val="goog_rdk_119"/>
              </w:sdtPr>
              <w:sdtContent>
                <w:r w:rsidDel="00000000" w:rsidR="00000000" w:rsidRPr="00000000">
                  <w:rPr>
                    <w:rFonts w:ascii="Gungsuh" w:cs="Gungsuh" w:eastAsia="Gungsuh" w:hAnsi="Gungsuh"/>
                    <w:b w:val="0"/>
                    <w:i w:val="0"/>
                    <w:color w:val="000000"/>
                    <w:sz w:val="22"/>
                    <w:szCs w:val="22"/>
                    <w:rtl w:val="0"/>
                  </w:rPr>
                  <w:t xml:space="preserve">騰訊持續通過產品創新，開發符合國內外市場用戶期望的新產品，提升用戶體驗。公司聚焦於增強核心產品和業務，並探索創新商業模式，與合作夥伴共同創新，推動產品服務增長及持續迭代創新。</w:t>
                </w:r>
              </w:sdtContent>
            </w:sdt>
            <w:r w:rsidDel="00000000" w:rsidR="00000000" w:rsidRPr="00000000">
              <w:rPr>
                <w:rtl w:val="0"/>
              </w:rPr>
            </w:r>
          </w:p>
        </w:tc>
      </w:tr>
    </w:tbl>
    <w:p w:rsidR="00000000" w:rsidDel="00000000" w:rsidP="00000000" w:rsidRDefault="00000000" w:rsidRPr="00000000" w14:paraId="00000197">
      <w:pPr>
        <w:spacing w:after="0" w:before="0" w:lineRule="auto"/>
        <w:ind w:left="0" w:firstLine="0"/>
        <w:jc w:val="left"/>
        <w:rPr/>
      </w:pPr>
      <w:r w:rsidDel="00000000" w:rsidR="00000000" w:rsidRPr="00000000">
        <w:rPr>
          <w:rtl w:val="0"/>
        </w:rPr>
        <w:br w:type="textWrapping"/>
      </w:r>
      <w:r w:rsidDel="00000000" w:rsidR="00000000" w:rsidRPr="00000000">
        <w:rPr>
          <w:b w:val="0"/>
          <w:i w:val="0"/>
          <w:color w:val="000000"/>
          <w:sz w:val="22"/>
          <w:szCs w:val="22"/>
          <w:rtl w:val="0"/>
        </w:rPr>
        <w:t xml:space="preserve"> </w:t>
      </w:r>
      <w:r w:rsidDel="00000000" w:rsidR="00000000" w:rsidRPr="00000000">
        <w:rPr>
          <w:rtl w:val="0"/>
        </w:rPr>
      </w:r>
    </w:p>
    <w:sectPr>
      <w:pgSz w:h="20013" w:w="14173"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ungsuh"/>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before="480" w:lineRule="auto"/>
    </w:pPr>
    <w:rPr>
      <w:b w:val="1"/>
      <w:color w:val="365f91"/>
      <w:sz w:val="28"/>
      <w:szCs w:val="28"/>
    </w:rPr>
  </w:style>
  <w:style w:type="paragraph" w:styleId="Heading2">
    <w:name w:val="heading 2"/>
    <w:basedOn w:val="Normal"/>
    <w:next w:val="Normal"/>
    <w:pPr>
      <w:keepNext w:val="1"/>
      <w:keepLines w:val="1"/>
      <w:spacing w:before="200" w:lineRule="auto"/>
    </w:pPr>
    <w:rPr>
      <w:b w:val="1"/>
      <w:color w:val="4f81bd"/>
      <w:sz w:val="26"/>
      <w:szCs w:val="26"/>
    </w:rPr>
  </w:style>
  <w:style w:type="paragraph" w:styleId="Heading3">
    <w:name w:val="heading 3"/>
    <w:basedOn w:val="Normal"/>
    <w:next w:val="Normal"/>
    <w:pPr>
      <w:keepNext w:val="1"/>
      <w:keepLines w:val="1"/>
      <w:spacing w:before="200" w:lineRule="auto"/>
    </w:pPr>
    <w:rPr>
      <w:b w:val="1"/>
      <w:color w:val="4f81bd"/>
    </w:rPr>
  </w:style>
  <w:style w:type="paragraph" w:styleId="Heading4">
    <w:name w:val="heading 4"/>
    <w:basedOn w:val="Normal"/>
    <w:next w:val="Normal"/>
    <w:pPr>
      <w:keepNext w:val="1"/>
      <w:keepLines w:val="1"/>
      <w:spacing w:before="200" w:lineRule="auto"/>
    </w:pPr>
    <w:rPr>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color w:val="17365d"/>
      <w:sz w:val="52"/>
      <w:szCs w:val="5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DefaultParagraphFont" w:default="1">
    <w:name w:val="Default Paragraph Font"/>
    <w:uiPriority w:val="1"/>
    <w:semiHidden w:val="1"/>
    <w:unhideWhenUsed w:val="1"/>
  </w:style>
  <w:style w:type="paragraph" w:styleId="Header">
    <w:name w:val="header"/>
    <w:basedOn w:val="Normal"/>
    <w:link w:val="HeaderChar"/>
    <w:uiPriority w:val="99"/>
    <w:unhideWhenUsed w:val="1"/>
    <w:rsid w:val="00841CD9"/>
    <w:pPr>
      <w:tabs>
        <w:tab w:val="center" w:pos="4680"/>
        <w:tab w:val="right" w:pos="9360"/>
      </w:tabs>
    </w:pPr>
  </w:style>
  <w:style w:type="character" w:styleId="HeaderChar" w:customStyle="1">
    <w:name w:val="Header Char"/>
    <w:basedOn w:val="DefaultParagraphFont"/>
    <w:link w:val="Header"/>
    <w:uiPriority w:val="99"/>
    <w:rsid w:val="00841CD9"/>
  </w:style>
  <w:style w:type="character" w:styleId="Heading1Char" w:customStyle="1">
    <w:name w:val="Heading 1 Char"/>
    <w:basedOn w:val="DefaultParagraphFont"/>
    <w:link w:val="Heading1"/>
    <w:uiPriority w:val="9"/>
    <w:rsid w:val="00841CD9"/>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841CD9"/>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841CD9"/>
    <w:rPr>
      <w:rFonts w:asciiTheme="majorHAnsi" w:cstheme="majorBidi" w:eastAsiaTheme="majorEastAsia" w:hAnsiTheme="majorHAnsi"/>
      <w:b w:val="1"/>
      <w:bCs w:val="1"/>
      <w:color w:val="4f81bd" w:themeColor="accent1"/>
    </w:rPr>
  </w:style>
  <w:style w:type="character" w:styleId="Heading4Char" w:customStyle="1">
    <w:name w:val="Heading 4 Char"/>
    <w:basedOn w:val="DefaultParagraphFont"/>
    <w:link w:val="Heading4"/>
    <w:uiPriority w:val="9"/>
    <w:rsid w:val="00841CD9"/>
    <w:rPr>
      <w:rFonts w:asciiTheme="majorHAnsi" w:cstheme="majorBidi" w:eastAsiaTheme="majorEastAsia" w:hAnsiTheme="majorHAnsi"/>
      <w:b w:val="1"/>
      <w:bCs w:val="1"/>
      <w:i w:val="1"/>
      <w:iCs w:val="1"/>
      <w:color w:val="4f81bd" w:themeColor="accent1"/>
    </w:rPr>
  </w:style>
  <w:style w:type="paragraph" w:styleId="NormalIndent">
    <w:name w:val="Normal Indent"/>
    <w:basedOn w:val="Normal"/>
    <w:uiPriority w:val="99"/>
    <w:unhideWhenUsed w:val="1"/>
    <w:rsid w:val="00841CD9"/>
    <w:pPr>
      <w:ind w:left="720"/>
    </w:pPr>
  </w:style>
  <w:style w:type="character" w:styleId="SubtitleChar" w:customStyle="1">
    <w:name w:val="Subtitle Char"/>
    <w:basedOn w:val="DefaultParagraphFont"/>
    <w:link w:val="Subtitle"/>
    <w:uiPriority w:val="11"/>
    <w:rsid w:val="00841CD9"/>
    <w:rPr>
      <w:rFonts w:asciiTheme="majorHAnsi" w:cstheme="majorBidi" w:eastAsiaTheme="majorEastAsia" w:hAnsiTheme="majorHAnsi"/>
      <w:i w:val="1"/>
      <w:iCs w:val="1"/>
      <w:color w:val="4f81bd" w:themeColor="accent1"/>
      <w:spacing w:val="15"/>
      <w:sz w:val="24"/>
      <w:szCs w:val="24"/>
    </w:rPr>
  </w:style>
  <w:style w:type="character" w:styleId="TitleChar" w:customStyle="1">
    <w:name w:val="Title Char"/>
    <w:basedOn w:val="DefaultParagraphFont"/>
    <w:link w:val="Title"/>
    <w:uiPriority w:val="10"/>
    <w:rsid w:val="00841CD9"/>
    <w:rPr>
      <w:rFonts w:asciiTheme="majorHAnsi" w:cstheme="majorBidi" w:eastAsiaTheme="majorEastAsia" w:hAnsiTheme="majorHAnsi"/>
      <w:color w:val="17365d" w:themeColor="text2" w:themeShade="0000BF"/>
      <w:spacing w:val="5"/>
      <w:kern w:val="28"/>
      <w:sz w:val="52"/>
      <w:szCs w:val="52"/>
    </w:rPr>
  </w:style>
  <w:style w:type="character" w:styleId="Emphasis">
    <w:name w:val="Emphasis"/>
    <w:basedOn w:val="DefaultParagraphFont"/>
    <w:uiPriority w:val="20"/>
    <w:qFormat w:val="1"/>
    <w:rsid w:val="00D1197D"/>
    <w:rPr>
      <w:i w:val="1"/>
      <w:iCs w:val="1"/>
    </w:rPr>
  </w:style>
  <w:style w:type="character" w:styleId="Hyperlink">
    <w:name w:val="Hyperlink"/>
    <w:basedOn w:val="DefaultParagraphFont"/>
    <w:uiPriority w:val="99"/>
    <w:unhideWhenUsed w:val="1"/>
    <w:rPr>
      <w:color w:val="0000ff" w:themeColor="hyperlink"/>
      <w:u w:val="single"/>
    </w:rPr>
  </w:style>
  <w:style w:type="table" w:styleId="TableGrid">
    <w:name w:val="Table Grid"/>
    <w:basedOn w:val="TableNormal"/>
    <w:uiPriority w:val="59"/>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paragraph" w:styleId="Caption">
    <w:name w:val="caption"/>
    <w:basedOn w:val="Normal"/>
    <w:next w:val="Normal"/>
    <w:uiPriority w:val="35"/>
    <w:semiHidden w:val="1"/>
    <w:unhideWhenUsed w:val="1"/>
    <w:qFormat w:val="1"/>
    <w:rsid w:val="007109C0"/>
    <w:pPr>
      <w:spacing w:line="240" w:lineRule="auto"/>
    </w:pPr>
    <w:rPr>
      <w:b w:val="1"/>
      <w:bCs w:val="1"/>
      <w:color w:val="4f81bd" w:themeColor="accent1"/>
      <w:sz w:val="18"/>
      <w:szCs w:val="1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ind w:left="86"/>
    </w:pPr>
    <w:rPr>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9aCk0zEv8QZg7czC0slnJ6cqsA==">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