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1" w:before="161" w:lineRule="auto"/>
        <w:ind w:left="0" w:firstLine="0"/>
        <w:jc w:val="left"/>
        <w:rPr/>
      </w:pPr>
      <w:r w:rsidDel="00000000" w:rsidR="00000000" w:rsidRPr="00000000">
        <w:rPr>
          <w:b w:val="1"/>
          <w:i w:val="0"/>
          <w:color w:val="000000"/>
          <w:sz w:val="44"/>
          <w:szCs w:val="44"/>
          <w:rtl w:val="0"/>
        </w:rPr>
        <w:t xml:space="preserve">Section 1: Company Overview</w:t>
      </w:r>
      <w:r w:rsidDel="00000000" w:rsidR="00000000" w:rsidRPr="00000000">
        <w:rPr>
          <w:rtl w:val="0"/>
        </w:rPr>
      </w:r>
    </w:p>
    <w:p w:rsidR="00000000" w:rsidDel="00000000" w:rsidP="00000000" w:rsidRDefault="00000000" w:rsidRPr="00000000" w14:paraId="00000002">
      <w:pPr>
        <w:spacing w:after="180" w:before="180" w:lineRule="auto"/>
        <w:ind w:left="0" w:firstLine="0"/>
        <w:jc w:val="left"/>
        <w:rPr/>
      </w:pPr>
      <w:r w:rsidDel="00000000" w:rsidR="00000000" w:rsidRPr="00000000">
        <w:rPr>
          <w:b w:val="1"/>
          <w:i w:val="0"/>
          <w:color w:val="000000"/>
          <w:sz w:val="33"/>
          <w:szCs w:val="33"/>
          <w:rtl w:val="0"/>
        </w:rPr>
        <w:t xml:space="preserve">S1.1: Basic Information</w:t>
      </w:r>
      <w:r w:rsidDel="00000000" w:rsidR="00000000" w:rsidRPr="00000000">
        <w:rPr>
          <w:rtl w:val="0"/>
        </w:rPr>
      </w:r>
    </w:p>
    <w:tbl>
      <w:tblPr>
        <w:tblStyle w:val="Table1"/>
        <w:tblW w:w="7194.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907"/>
        <w:gridCol w:w="4287"/>
        <w:tblGridChange w:id="0">
          <w:tblGrid>
            <w:gridCol w:w="2907"/>
            <w:gridCol w:w="42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before="0" w:lineRule="auto"/>
              <w:ind w:left="0" w:firstLine="0"/>
              <w:jc w:val="left"/>
              <w:rPr/>
            </w:pPr>
            <w:r w:rsidDel="00000000" w:rsidR="00000000" w:rsidRPr="00000000">
              <w:rPr>
                <w:b w:val="0"/>
                <w:i w:val="0"/>
                <w:color w:val="000000"/>
                <w:sz w:val="22"/>
                <w:szCs w:val="22"/>
                <w:rtl w:val="0"/>
              </w:rPr>
              <w:t xml:space="preserve">Company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after="0" w:before="0" w:lineRule="auto"/>
              <w:ind w:left="0" w:firstLine="0"/>
              <w:jc w:val="left"/>
              <w:rPr/>
            </w:pPr>
            <w:r w:rsidDel="00000000" w:rsidR="00000000" w:rsidRPr="00000000">
              <w:rPr>
                <w:b w:val="0"/>
                <w:i w:val="0"/>
                <w:color w:val="000000"/>
                <w:sz w:val="22"/>
                <w:szCs w:val="22"/>
                <w:rtl w:val="0"/>
              </w:rPr>
              <w:t xml:space="preserve">Singapore Airlines Limited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0" w:before="0" w:lineRule="auto"/>
              <w:ind w:left="0" w:firstLine="0"/>
              <w:jc w:val="left"/>
              <w:rPr/>
            </w:pPr>
            <w:r w:rsidDel="00000000" w:rsidR="00000000" w:rsidRPr="00000000">
              <w:rPr>
                <w:b w:val="0"/>
                <w:i w:val="0"/>
                <w:color w:val="000000"/>
                <w:sz w:val="22"/>
                <w:szCs w:val="22"/>
                <w:rtl w:val="0"/>
              </w:rPr>
              <w:t xml:space="preserve">Establishment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before="0" w:lineRule="auto"/>
              <w:ind w:left="0" w:firstLine="0"/>
              <w:jc w:val="left"/>
              <w:rPr/>
            </w:pPr>
            <w:r w:rsidDel="00000000" w:rsidR="00000000" w:rsidRPr="00000000">
              <w:rPr>
                <w:b w:val="0"/>
                <w:i w:val="0"/>
                <w:color w:val="000000"/>
                <w:sz w:val="22"/>
                <w:szCs w:val="22"/>
                <w:rtl w:val="0"/>
              </w:rPr>
              <w:t xml:space="preserve">Headquarters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0" w:before="0" w:lineRule="auto"/>
              <w:ind w:left="0" w:firstLine="0"/>
              <w:jc w:val="left"/>
              <w:rPr/>
            </w:pPr>
            <w:r w:rsidDel="00000000" w:rsidR="00000000" w:rsidRPr="00000000">
              <w:rPr>
                <w:b w:val="0"/>
                <w:i w:val="0"/>
                <w:color w:val="000000"/>
                <w:sz w:val="22"/>
                <w:szCs w:val="22"/>
                <w:rtl w:val="0"/>
              </w:rPr>
              <w:t xml:space="preserve">Singapore, </w:t>
            </w:r>
            <w:r w:rsidDel="00000000" w:rsidR="00000000" w:rsidRPr="00000000">
              <w:rPr>
                <w:rtl w:val="0"/>
              </w:rPr>
              <w:t xml:space="preserve">Singapore</w:t>
            </w:r>
          </w:p>
        </w:tc>
      </w:tr>
    </w:tbl>
    <w:p w:rsidR="00000000" w:rsidDel="00000000" w:rsidP="00000000" w:rsidRDefault="00000000" w:rsidRPr="00000000" w14:paraId="000000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1" w:before="161" w:line="276" w:lineRule="auto"/>
        <w:ind w:left="0" w:right="0" w:firstLine="0"/>
        <w:jc w:val="left"/>
        <w:rPr>
          <w:b w:val="1"/>
          <w:sz w:val="44"/>
          <w:szCs w:val="44"/>
        </w:rPr>
      </w:pPr>
      <w:r w:rsidDel="00000000" w:rsidR="00000000" w:rsidRPr="00000000">
        <w:rPr>
          <w:b w:val="1"/>
          <w:i w:val="0"/>
          <w:color w:val="000000"/>
          <w:sz w:val="33"/>
          <w:szCs w:val="33"/>
          <w:rtl w:val="0"/>
        </w:rPr>
        <w:t xml:space="preserve">S1.2 : Core Competencies</w:t>
      </w:r>
      <w:r w:rsidDel="00000000" w:rsidR="00000000" w:rsidRPr="00000000">
        <w:rPr>
          <w:rtl w:val="0"/>
        </w:rPr>
      </w:r>
    </w:p>
    <w:tbl>
      <w:tblPr>
        <w:tblStyle w:val="Table2"/>
        <w:tblW w:w="1012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490"/>
        <w:gridCol w:w="3540"/>
        <w:gridCol w:w="4095"/>
        <w:tblGridChange w:id="0">
          <w:tblGrid>
            <w:gridCol w:w="2490"/>
            <w:gridCol w:w="3540"/>
            <w:gridCol w:w="40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0" w:before="0" w:lineRule="auto"/>
              <w:ind w:left="0" w:firstLine="0"/>
              <w:jc w:val="left"/>
              <w:rPr/>
            </w:pPr>
            <w:r w:rsidDel="00000000" w:rsidR="00000000" w:rsidRPr="00000000">
              <w:rPr>
                <w:b w:val="0"/>
                <w:i w:val="0"/>
                <w:color w:val="000000"/>
                <w:sz w:val="22"/>
                <w:szCs w:val="22"/>
                <w:rtl w:val="0"/>
              </w:rPr>
              <w:t xml:space="preserve">Innovation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0" w:before="0" w:lineRule="auto"/>
              <w:ind w:left="0" w:firstLine="0"/>
              <w:jc w:val="left"/>
              <w:rPr/>
            </w:pPr>
            <w:r w:rsidDel="00000000" w:rsidR="00000000" w:rsidRPr="00000000">
              <w:rPr>
                <w:b w:val="0"/>
                <w:i w:val="0"/>
                <w:color w:val="000000"/>
                <w:sz w:val="22"/>
                <w:szCs w:val="22"/>
                <w:rtl w:val="0"/>
              </w:rPr>
              <w:t xml:space="preserve">The 2024 report highlights SIA's commitment to digital transformation, with over 300 use cases for Generative AI identified and around 80 implemented. This includes collaborations with Salesforce and OpenAI to enhance customer service and operational efficiencies.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0" w:before="0" w:lineRule="auto"/>
              <w:ind w:left="0" w:firstLine="0"/>
              <w:jc w:val="left"/>
              <w:rPr/>
            </w:pPr>
            <w:r w:rsidDel="00000000" w:rsidR="00000000" w:rsidRPr="00000000">
              <w:rPr>
                <w:b w:val="0"/>
                <w:i w:val="0"/>
                <w:color w:val="000000"/>
                <w:sz w:val="22"/>
                <w:szCs w:val="22"/>
                <w:rtl w:val="0"/>
              </w:rPr>
              <w:t xml:space="preserve">The 2023 report emphasizes SIA's investment in digital capabilities, including the use of Generative AI to enhance revenue generation, customer experience, and operational efficiency. The introduction of JARVIS, a GenAI-enabled assistant, is also noted.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before="0" w:lineRule="auto"/>
              <w:ind w:left="0" w:firstLine="0"/>
              <w:jc w:val="left"/>
              <w:rPr/>
            </w:pPr>
            <w:r w:rsidDel="00000000" w:rsidR="00000000" w:rsidRPr="00000000">
              <w:rPr>
                <w:b w:val="0"/>
                <w:i w:val="0"/>
                <w:color w:val="000000"/>
                <w:sz w:val="22"/>
                <w:szCs w:val="22"/>
                <w:rtl w:val="0"/>
              </w:rPr>
              <w:t xml:space="preserve">Product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before="0" w:lineRule="auto"/>
              <w:ind w:left="0" w:firstLine="0"/>
              <w:jc w:val="left"/>
              <w:rPr/>
            </w:pPr>
            <w:r w:rsidDel="00000000" w:rsidR="00000000" w:rsidRPr="00000000">
              <w:rPr>
                <w:b w:val="0"/>
                <w:i w:val="0"/>
                <w:color w:val="000000"/>
                <w:sz w:val="22"/>
                <w:szCs w:val="22"/>
                <w:rtl w:val="0"/>
              </w:rPr>
              <w:t xml:space="preserve">The 2024 report details SIA's investment in upgrading its A350-900 long-haul aircraft with next-generation cabin products, aiming to elevate the premium travel experience.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0" w:lineRule="auto"/>
              <w:ind w:left="0" w:firstLine="0"/>
              <w:jc w:val="left"/>
              <w:rPr/>
            </w:pPr>
            <w:r w:rsidDel="00000000" w:rsidR="00000000" w:rsidRPr="00000000">
              <w:rPr>
                <w:b w:val="0"/>
                <w:i w:val="0"/>
                <w:color w:val="000000"/>
                <w:sz w:val="22"/>
                <w:szCs w:val="22"/>
                <w:rtl w:val="0"/>
              </w:rPr>
              <w:t xml:space="preserve">The 2023 report highlights SIA's expansion of free unlimited in-flight Wi-Fi to all cabin classes and the introduction of a digital in-flight menu on selected aircraft.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0" w:lineRule="auto"/>
              <w:ind w:left="0" w:firstLine="0"/>
              <w:jc w:val="left"/>
              <w:rPr/>
            </w:pPr>
            <w:r w:rsidDel="00000000" w:rsidR="00000000" w:rsidRPr="00000000">
              <w:rPr>
                <w:b w:val="0"/>
                <w:i w:val="0"/>
                <w:color w:val="000000"/>
                <w:sz w:val="22"/>
                <w:szCs w:val="22"/>
                <w:rtl w:val="0"/>
              </w:rPr>
              <w:t xml:space="preserve">Brand Recognition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before="0" w:lineRule="auto"/>
              <w:ind w:left="0" w:firstLine="0"/>
              <w:jc w:val="left"/>
              <w:rPr/>
            </w:pPr>
            <w:r w:rsidDel="00000000" w:rsidR="00000000" w:rsidRPr="00000000">
              <w:rPr>
                <w:b w:val="0"/>
                <w:i w:val="0"/>
                <w:color w:val="000000"/>
                <w:sz w:val="22"/>
                <w:szCs w:val="22"/>
                <w:rtl w:val="0"/>
              </w:rPr>
              <w:t xml:space="preserve">The 2024 report emphasizes SIA's strategic growth and market position, leveraging its strong foundations and brand promise pillars to enhance customer experience.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0" w:lineRule="auto"/>
              <w:ind w:left="0" w:firstLine="0"/>
              <w:jc w:val="left"/>
              <w:rPr/>
            </w:pPr>
            <w:r w:rsidDel="00000000" w:rsidR="00000000" w:rsidRPr="00000000">
              <w:rPr>
                <w:b w:val="0"/>
                <w:i w:val="0"/>
                <w:color w:val="000000"/>
                <w:sz w:val="22"/>
                <w:szCs w:val="22"/>
                <w:rtl w:val="0"/>
              </w:rPr>
              <w:t xml:space="preserve">The 2023 report highlights SIA's commitment to service excellence, product innovation, and network connectivity, reinforcing its brand promise.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0" w:lineRule="auto"/>
              <w:ind w:left="0" w:firstLine="0"/>
              <w:jc w:val="left"/>
              <w:rPr/>
            </w:pPr>
            <w:r w:rsidDel="00000000" w:rsidR="00000000" w:rsidRPr="00000000">
              <w:rPr>
                <w:b w:val="0"/>
                <w:i w:val="0"/>
                <w:color w:val="000000"/>
                <w:sz w:val="22"/>
                <w:szCs w:val="22"/>
                <w:rtl w:val="0"/>
              </w:rPr>
              <w:t xml:space="preserve">Reputation Ratings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0" w:lineRule="auto"/>
              <w:ind w:left="0" w:firstLine="0"/>
              <w:jc w:val="left"/>
              <w:rPr/>
            </w:pPr>
            <w:r w:rsidDel="00000000" w:rsidR="00000000" w:rsidRPr="00000000">
              <w:rPr>
                <w:b w:val="0"/>
                <w:i w:val="0"/>
                <w:color w:val="000000"/>
                <w:sz w:val="22"/>
                <w:szCs w:val="22"/>
                <w:rtl w:val="0"/>
              </w:rPr>
              <w:t xml:space="preserve">The 2024 report lists numerous awards, including being ranked 1st in the airline category by Fortune Magazine and receiving the Best Airline (Overall) award from DestinAsian.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0" w:lineRule="auto"/>
              <w:ind w:left="0" w:firstLine="0"/>
              <w:jc w:val="left"/>
              <w:rPr/>
            </w:pPr>
            <w:r w:rsidDel="00000000" w:rsidR="00000000" w:rsidRPr="00000000">
              <w:rPr>
                <w:b w:val="0"/>
                <w:i w:val="0"/>
                <w:color w:val="000000"/>
                <w:sz w:val="22"/>
                <w:szCs w:val="22"/>
                <w:rtl w:val="0"/>
              </w:rPr>
              <w:t xml:space="preserve">The 2023 report mentions several awards, such as the World's Best Airline by Skytrax and Best Airline in the World by Condé Nast Traveler.</w:t>
            </w:r>
            <w:r w:rsidDel="00000000" w:rsidR="00000000" w:rsidRPr="00000000">
              <w:rPr>
                <w:rtl w:val="0"/>
              </w:rPr>
            </w:r>
          </w:p>
        </w:tc>
      </w:tr>
    </w:tbl>
    <w:p w:rsidR="00000000" w:rsidDel="00000000" w:rsidP="00000000" w:rsidRDefault="00000000" w:rsidRPr="00000000" w14:paraId="0000001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D">
      <w:pPr>
        <w:spacing w:after="180" w:before="180" w:lineRule="auto"/>
        <w:ind w:left="0" w:firstLine="0"/>
        <w:jc w:val="left"/>
        <w:rPr/>
      </w:pPr>
      <w:r w:rsidDel="00000000" w:rsidR="00000000" w:rsidRPr="00000000">
        <w:rPr>
          <w:b w:val="1"/>
          <w:i w:val="0"/>
          <w:color w:val="000000"/>
          <w:sz w:val="33"/>
          <w:szCs w:val="33"/>
          <w:rtl w:val="0"/>
        </w:rPr>
        <w:t xml:space="preserve">S1.3 : Mission &amp; Vision</w:t>
      </w:r>
      <w:r w:rsidDel="00000000" w:rsidR="00000000" w:rsidRPr="00000000">
        <w:rPr>
          <w:rtl w:val="0"/>
        </w:rPr>
      </w:r>
    </w:p>
    <w:tbl>
      <w:tblPr>
        <w:tblStyle w:val="Table3"/>
        <w:tblW w:w="9737.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340"/>
        <w:gridCol w:w="8397"/>
        <w:tblGridChange w:id="0">
          <w:tblGrid>
            <w:gridCol w:w="1340"/>
            <w:gridCol w:w="839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0" w:lineRule="auto"/>
              <w:ind w:left="0" w:firstLine="0"/>
              <w:jc w:val="left"/>
              <w:rPr/>
            </w:pPr>
            <w:r w:rsidDel="00000000" w:rsidR="00000000" w:rsidRPr="00000000">
              <w:rPr>
                <w:b w:val="1"/>
                <w:i w:val="0"/>
                <w:color w:val="000000"/>
                <w:sz w:val="22"/>
                <w:szCs w:val="22"/>
                <w:rtl w:val="0"/>
              </w:rPr>
              <w:t xml:space="preserve">Answer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0" w:lineRule="auto"/>
              <w:ind w:left="0" w:firstLine="0"/>
              <w:jc w:val="left"/>
              <w:rPr/>
            </w:pPr>
            <w:r w:rsidDel="00000000" w:rsidR="00000000" w:rsidRPr="00000000">
              <w:rPr>
                <w:b w:val="0"/>
                <w:i w:val="0"/>
                <w:color w:val="000000"/>
                <w:sz w:val="22"/>
                <w:szCs w:val="22"/>
                <w:rtl w:val="0"/>
              </w:rPr>
              <w:t xml:space="preserve">Mission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before="0" w:lineRule="auto"/>
              <w:ind w:left="0" w:firstLine="0"/>
              <w:jc w:val="left"/>
              <w:rPr/>
            </w:pPr>
            <w:r w:rsidDel="00000000" w:rsidR="00000000" w:rsidRPr="00000000">
              <w:rPr>
                <w:b w:val="0"/>
                <w:i w:val="0"/>
                <w:color w:val="000000"/>
                <w:sz w:val="22"/>
                <w:szCs w:val="22"/>
                <w:rtl w:val="0"/>
              </w:rPr>
              <w:t xml:space="preserve">Singapore Airlines is a global company dedicated to providing air transportation services of the highest quality and to maximising returns for the benefit of its shareholders and employees.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0" w:before="0" w:lineRule="auto"/>
              <w:ind w:left="0" w:firstLine="0"/>
              <w:jc w:val="left"/>
              <w:rPr/>
            </w:pPr>
            <w:r w:rsidDel="00000000" w:rsidR="00000000" w:rsidRPr="00000000">
              <w:rPr>
                <w:b w:val="0"/>
                <w:i w:val="0"/>
                <w:color w:val="000000"/>
                <w:sz w:val="22"/>
                <w:szCs w:val="22"/>
                <w:rtl w:val="0"/>
              </w:rPr>
              <w:t xml:space="preserve">Vision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before="0" w:lineRule="auto"/>
              <w:ind w:left="0" w:firstLine="0"/>
              <w:jc w:val="left"/>
              <w:rPr/>
            </w:pPr>
            <w:r w:rsidDel="00000000" w:rsidR="00000000" w:rsidRPr="00000000">
              <w:rPr>
                <w:b w:val="0"/>
                <w:i w:val="0"/>
                <w:color w:val="000000"/>
                <w:sz w:val="22"/>
                <w:szCs w:val="22"/>
                <w:rtl w:val="0"/>
              </w:rPr>
              <w:t xml:space="preserve">The Singapore Airlines Group remains committed to maintaining its position as a leading airline in the industry. By leveraging its strong foundations, the Airline is well positioned to seize growth opportunities and navigate challenges in an agile and flexible manner.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before="0" w:lineRule="auto"/>
              <w:ind w:left="0" w:firstLine="0"/>
              <w:jc w:val="left"/>
              <w:rPr/>
            </w:pPr>
            <w:r w:rsidDel="00000000" w:rsidR="00000000" w:rsidRPr="00000000">
              <w:rPr>
                <w:b w:val="0"/>
                <w:i w:val="0"/>
                <w:color w:val="000000"/>
                <w:sz w:val="22"/>
                <w:szCs w:val="22"/>
                <w:rtl w:val="0"/>
              </w:rPr>
              <w:t xml:space="preserve">Core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bl>
    <w:p w:rsidR="00000000" w:rsidDel="00000000" w:rsidP="00000000" w:rsidRDefault="00000000" w:rsidRPr="00000000" w14:paraId="0000002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27">
      <w:pPr>
        <w:spacing w:after="161" w:before="161" w:lineRule="auto"/>
        <w:ind w:left="0" w:firstLine="0"/>
        <w:jc w:val="left"/>
        <w:rPr/>
      </w:pPr>
      <w:r w:rsidDel="00000000" w:rsidR="00000000" w:rsidRPr="00000000">
        <w:rPr>
          <w:b w:val="1"/>
          <w:i w:val="0"/>
          <w:color w:val="000000"/>
          <w:sz w:val="44"/>
          <w:szCs w:val="44"/>
          <w:rtl w:val="0"/>
        </w:rPr>
        <w:t xml:space="preserve">Section 2: Financial Performance</w:t>
      </w:r>
      <w:r w:rsidDel="00000000" w:rsidR="00000000" w:rsidRPr="00000000">
        <w:rPr>
          <w:rtl w:val="0"/>
        </w:rPr>
      </w:r>
    </w:p>
    <w:p w:rsidR="00000000" w:rsidDel="00000000" w:rsidP="00000000" w:rsidRDefault="00000000" w:rsidRPr="00000000" w14:paraId="00000028">
      <w:pPr>
        <w:spacing w:after="180" w:before="180" w:lineRule="auto"/>
        <w:ind w:left="0" w:firstLine="0"/>
        <w:jc w:val="left"/>
        <w:rPr/>
      </w:pPr>
      <w:r w:rsidDel="00000000" w:rsidR="00000000" w:rsidRPr="00000000">
        <w:rPr>
          <w:b w:val="1"/>
          <w:i w:val="0"/>
          <w:color w:val="000000"/>
          <w:sz w:val="33"/>
          <w:szCs w:val="33"/>
          <w:rtl w:val="0"/>
        </w:rPr>
        <w:t xml:space="preserve">S2.1: Income Statement</w:t>
      </w:r>
      <w:r w:rsidDel="00000000" w:rsidR="00000000" w:rsidRPr="00000000">
        <w:rPr>
          <w:rtl w:val="0"/>
        </w:rPr>
      </w:r>
    </w:p>
    <w:tbl>
      <w:tblPr>
        <w:tblStyle w:val="Table4"/>
        <w:tblW w:w="8612.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231"/>
        <w:gridCol w:w="1180"/>
        <w:gridCol w:w="1180"/>
        <w:gridCol w:w="1180"/>
        <w:gridCol w:w="1465"/>
        <w:gridCol w:w="1376"/>
        <w:tblGridChange w:id="0">
          <w:tblGrid>
            <w:gridCol w:w="2231"/>
            <w:gridCol w:w="1180"/>
            <w:gridCol w:w="1180"/>
            <w:gridCol w:w="118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0" w:lineRule="auto"/>
              <w:ind w:left="0" w:firstLine="0"/>
              <w:jc w:val="left"/>
              <w:rPr/>
            </w:pPr>
            <w:r w:rsidDel="00000000" w:rsidR="00000000" w:rsidRPr="00000000">
              <w:rPr>
                <w:b w:val="1"/>
                <w:i w:val="0"/>
                <w:color w:val="000000"/>
                <w:sz w:val="22"/>
                <w:szCs w:val="22"/>
                <w:rtl w:val="0"/>
              </w:rPr>
              <w:t xml:space="preserve">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0" w:lineRule="auto"/>
              <w:ind w:left="0" w:firstLine="0"/>
              <w:jc w:val="left"/>
              <w:rPr/>
            </w:pPr>
            <w:r w:rsidDel="00000000" w:rsidR="00000000" w:rsidRPr="00000000">
              <w:rPr>
                <w:b w:val="0"/>
                <w:i w:val="0"/>
                <w:color w:val="000000"/>
                <w:sz w:val="22"/>
                <w:szCs w:val="22"/>
                <w:rtl w:val="0"/>
              </w:rPr>
              <w:t xml:space="preserve">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0" w:lineRule="auto"/>
              <w:ind w:left="0" w:firstLine="0"/>
              <w:jc w:val="left"/>
              <w:rPr/>
            </w:pPr>
            <w:r w:rsidDel="00000000" w:rsidR="00000000" w:rsidRPr="00000000">
              <w:rPr>
                <w:b w:val="0"/>
                <w:i w:val="0"/>
                <w:color w:val="000000"/>
                <w:sz w:val="22"/>
                <w:szCs w:val="22"/>
                <w:rtl w:val="0"/>
              </w:rPr>
              <w:t xml:space="preserve">19,539.8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0" w:lineRule="auto"/>
              <w:ind w:left="0" w:firstLine="0"/>
              <w:jc w:val="left"/>
              <w:rPr/>
            </w:pPr>
            <w:r w:rsidDel="00000000" w:rsidR="00000000" w:rsidRPr="00000000">
              <w:rPr>
                <w:b w:val="0"/>
                <w:i w:val="0"/>
                <w:color w:val="000000"/>
                <w:sz w:val="22"/>
                <w:szCs w:val="22"/>
                <w:rtl w:val="0"/>
              </w:rPr>
              <w:t xml:space="preserve">19,012.7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0" w:lineRule="auto"/>
              <w:ind w:left="0" w:firstLine="0"/>
              <w:jc w:val="left"/>
              <w:rPr/>
            </w:pPr>
            <w:r w:rsidDel="00000000" w:rsidR="00000000" w:rsidRPr="00000000">
              <w:rPr>
                <w:b w:val="0"/>
                <w:i w:val="0"/>
                <w:color w:val="000000"/>
                <w:sz w:val="22"/>
                <w:szCs w:val="22"/>
                <w:rtl w:val="0"/>
              </w:rPr>
              <w:t xml:space="preserve">17,774.8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0" w:lineRule="auto"/>
              <w:ind w:left="0" w:firstLine="0"/>
              <w:jc w:val="left"/>
              <w:rPr/>
            </w:pPr>
            <w:r w:rsidDel="00000000" w:rsidR="00000000" w:rsidRPr="00000000">
              <w:rPr>
                <w:b w:val="0"/>
                <w:i w:val="0"/>
                <w:color w:val="000000"/>
                <w:sz w:val="22"/>
                <w:szCs w:val="22"/>
                <w:rtl w:val="0"/>
              </w:rPr>
              <w:t xml:space="preserve">Cost of Goods Sold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0" w:lineRule="auto"/>
              <w:ind w:lef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lineRule="auto"/>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lineRule="auto"/>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0" w:lineRule="auto"/>
              <w:ind w:left="0" w:firstLine="0"/>
              <w:jc w:val="left"/>
              <w:rPr/>
            </w:pPr>
            <w:r w:rsidDel="00000000" w:rsidR="00000000" w:rsidRPr="00000000">
              <w:rPr>
                <w:b w:val="0"/>
                <w:i w:val="0"/>
                <w:color w:val="000000"/>
                <w:sz w:val="22"/>
                <w:szCs w:val="22"/>
                <w:rtl w:val="0"/>
              </w:rPr>
              <w:t xml:space="preserve">Gross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lineRule="auto"/>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lineRule="auto"/>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lineRule="auto"/>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lineRule="auto"/>
              <w:rPr/>
            </w:pPr>
            <w:r w:rsidDel="00000000" w:rsidR="00000000" w:rsidRPr="00000000">
              <w:rPr>
                <w:rtl w:val="0"/>
              </w:rPr>
              <w:t xml:space="preserve">Millions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lineRule="auto"/>
              <w:rPr/>
            </w:pPr>
            <w:r w:rsidDel="00000000" w:rsidR="00000000" w:rsidRPr="00000000">
              <w:rPr>
                <w:rtl w:val="0"/>
              </w:rPr>
              <w:t xml:space="preserve">SGD</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0" w:lineRule="auto"/>
              <w:ind w:left="0" w:firstLine="0"/>
              <w:jc w:val="left"/>
              <w:rPr/>
            </w:pPr>
            <w:r w:rsidDel="00000000" w:rsidR="00000000" w:rsidRPr="00000000">
              <w:rPr>
                <w:b w:val="0"/>
                <w:i w:val="0"/>
                <w:color w:val="000000"/>
                <w:sz w:val="22"/>
                <w:szCs w:val="22"/>
                <w:rtl w:val="0"/>
              </w:rPr>
              <w:t xml:space="preserve">Operating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0" w:lineRule="auto"/>
              <w:ind w:left="0" w:firstLine="0"/>
              <w:jc w:val="left"/>
              <w:rPr/>
            </w:pPr>
            <w:r w:rsidDel="00000000" w:rsidR="00000000" w:rsidRPr="00000000">
              <w:rPr>
                <w:b w:val="0"/>
                <w:i w:val="0"/>
                <w:color w:val="000000"/>
                <w:sz w:val="22"/>
                <w:szCs w:val="22"/>
                <w:rtl w:val="0"/>
              </w:rPr>
              <w:t xml:space="preserve">Operating 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before="0" w:lineRule="auto"/>
              <w:ind w:left="0" w:firstLine="0"/>
              <w:jc w:val="left"/>
              <w:rPr/>
            </w:pPr>
            <w:r w:rsidDel="00000000" w:rsidR="00000000" w:rsidRPr="00000000">
              <w:rPr>
                <w:b w:val="0"/>
                <w:i w:val="0"/>
                <w:color w:val="000000"/>
                <w:sz w:val="22"/>
                <w:szCs w:val="22"/>
                <w:rtl w:val="0"/>
              </w:rPr>
              <w:t xml:space="preserve">1,709.1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before="0" w:lineRule="auto"/>
              <w:ind w:left="0" w:firstLine="0"/>
              <w:jc w:val="left"/>
              <w:rPr/>
            </w:pPr>
            <w:r w:rsidDel="00000000" w:rsidR="00000000" w:rsidRPr="00000000">
              <w:rPr>
                <w:b w:val="0"/>
                <w:i w:val="0"/>
                <w:color w:val="000000"/>
                <w:sz w:val="22"/>
                <w:szCs w:val="22"/>
                <w:rtl w:val="0"/>
              </w:rPr>
              <w:t xml:space="preserve">2,727.5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0" w:before="0" w:lineRule="auto"/>
              <w:ind w:left="0" w:firstLine="0"/>
              <w:jc w:val="left"/>
              <w:rPr/>
            </w:pPr>
            <w:r w:rsidDel="00000000" w:rsidR="00000000" w:rsidRPr="00000000">
              <w:rPr>
                <w:b w:val="0"/>
                <w:i w:val="0"/>
                <w:color w:val="000000"/>
                <w:sz w:val="22"/>
                <w:szCs w:val="22"/>
                <w:rtl w:val="0"/>
              </w:rPr>
              <w:t xml:space="preserve">2,692.1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before="0" w:lineRule="auto"/>
              <w:ind w:left="0" w:firstLine="0"/>
              <w:jc w:val="left"/>
              <w:rPr/>
            </w:pPr>
            <w:r w:rsidDel="00000000" w:rsidR="00000000" w:rsidRPr="00000000">
              <w:rPr>
                <w:b w:val="0"/>
                <w:i w:val="0"/>
                <w:color w:val="000000"/>
                <w:sz w:val="22"/>
                <w:szCs w:val="22"/>
                <w:rtl w:val="0"/>
              </w:rPr>
              <w:t xml:space="preserve">Net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before="0" w:lineRule="auto"/>
              <w:ind w:left="0" w:firstLine="0"/>
              <w:jc w:val="left"/>
              <w:rPr/>
            </w:pPr>
            <w:r w:rsidDel="00000000" w:rsidR="00000000" w:rsidRPr="00000000">
              <w:rPr>
                <w:b w:val="0"/>
                <w:i w:val="0"/>
                <w:color w:val="000000"/>
                <w:sz w:val="22"/>
                <w:szCs w:val="22"/>
                <w:rtl w:val="0"/>
              </w:rPr>
              <w:t xml:space="preserve">2,</w:t>
            </w:r>
            <w:r w:rsidDel="00000000" w:rsidR="00000000" w:rsidRPr="00000000">
              <w:rPr>
                <w:rtl w:val="0"/>
              </w:rPr>
              <w:t xml:space="preserve">778.0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before="0" w:lineRule="auto"/>
              <w:ind w:left="0" w:firstLine="0"/>
              <w:jc w:val="left"/>
              <w:rPr/>
            </w:pPr>
            <w:r w:rsidDel="00000000" w:rsidR="00000000" w:rsidRPr="00000000">
              <w:rPr>
                <w:b w:val="0"/>
                <w:i w:val="0"/>
                <w:color w:val="000000"/>
                <w:sz w:val="22"/>
                <w:szCs w:val="22"/>
                <w:rtl w:val="0"/>
              </w:rPr>
              <w:t xml:space="preserve">2,6</w:t>
            </w:r>
            <w:r w:rsidDel="00000000" w:rsidR="00000000" w:rsidRPr="00000000">
              <w:rPr>
                <w:rtl w:val="0"/>
              </w:rPr>
              <w:t xml:space="preserve">74.8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before="0" w:lineRule="auto"/>
              <w:ind w:left="0" w:firstLine="0"/>
              <w:jc w:val="left"/>
              <w:rPr/>
            </w:pPr>
            <w:r w:rsidDel="00000000" w:rsidR="00000000" w:rsidRPr="00000000">
              <w:rPr>
                <w:b w:val="0"/>
                <w:i w:val="0"/>
                <w:color w:val="000000"/>
                <w:sz w:val="22"/>
                <w:szCs w:val="22"/>
                <w:rtl w:val="0"/>
              </w:rPr>
              <w:t xml:space="preserve">2,1</w:t>
            </w:r>
            <w:r w:rsidDel="00000000" w:rsidR="00000000" w:rsidRPr="00000000">
              <w:rPr>
                <w:rtl w:val="0"/>
              </w:rPr>
              <w:t xml:space="preserve">56.8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before="0" w:lineRule="auto"/>
              <w:ind w:left="0" w:firstLine="0"/>
              <w:jc w:val="left"/>
              <w:rPr/>
            </w:pPr>
            <w:r w:rsidDel="00000000" w:rsidR="00000000" w:rsidRPr="00000000">
              <w:rPr>
                <w:b w:val="0"/>
                <w:i w:val="0"/>
                <w:color w:val="000000"/>
                <w:sz w:val="22"/>
                <w:szCs w:val="22"/>
                <w:rtl w:val="0"/>
              </w:rPr>
              <w:t xml:space="preserve">Income before income taxes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before="0" w:lineRule="auto"/>
              <w:ind w:left="0" w:firstLine="0"/>
              <w:jc w:val="left"/>
              <w:rPr/>
            </w:pPr>
            <w:r w:rsidDel="00000000" w:rsidR="00000000" w:rsidRPr="00000000">
              <w:rPr>
                <w:b w:val="0"/>
                <w:i w:val="0"/>
                <w:color w:val="000000"/>
                <w:sz w:val="22"/>
                <w:szCs w:val="22"/>
                <w:rtl w:val="0"/>
              </w:rPr>
              <w:t xml:space="preserve">2,964.8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before="0" w:lineRule="auto"/>
              <w:ind w:left="0" w:firstLine="0"/>
              <w:jc w:val="left"/>
              <w:rPr/>
            </w:pPr>
            <w:r w:rsidDel="00000000" w:rsidR="00000000" w:rsidRPr="00000000">
              <w:rPr>
                <w:b w:val="0"/>
                <w:i w:val="0"/>
                <w:color w:val="000000"/>
                <w:sz w:val="22"/>
                <w:szCs w:val="22"/>
                <w:rtl w:val="0"/>
              </w:rPr>
              <w:t xml:space="preserve">3,037.1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before="0" w:lineRule="auto"/>
              <w:ind w:left="0" w:firstLine="0"/>
              <w:jc w:val="left"/>
              <w:rPr/>
            </w:pPr>
            <w:r w:rsidDel="00000000" w:rsidR="00000000" w:rsidRPr="00000000">
              <w:rPr>
                <w:b w:val="0"/>
                <w:i w:val="0"/>
                <w:color w:val="000000"/>
                <w:sz w:val="22"/>
                <w:szCs w:val="22"/>
                <w:rtl w:val="0"/>
              </w:rPr>
              <w:t xml:space="preserve">2,636.8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after="0" w:before="0" w:lineRule="auto"/>
              <w:ind w:left="0" w:firstLine="0"/>
              <w:jc w:val="left"/>
              <w:rPr/>
            </w:pPr>
            <w:r w:rsidDel="00000000" w:rsidR="00000000" w:rsidRPr="00000000">
              <w:rPr>
                <w:b w:val="0"/>
                <w:i w:val="0"/>
                <w:color w:val="000000"/>
                <w:sz w:val="22"/>
                <w:szCs w:val="22"/>
                <w:rtl w:val="0"/>
              </w:rPr>
              <w:t xml:space="preserve">Income tax expense(benefit)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before="0" w:lineRule="auto"/>
              <w:ind w:left="0" w:firstLine="0"/>
              <w:jc w:val="left"/>
              <w:rPr/>
            </w:pPr>
            <w:r w:rsidDel="00000000" w:rsidR="00000000" w:rsidRPr="00000000">
              <w:rPr>
                <w:b w:val="0"/>
                <w:i w:val="0"/>
                <w:color w:val="000000"/>
                <w:sz w:val="22"/>
                <w:szCs w:val="22"/>
                <w:rtl w:val="0"/>
              </w:rPr>
              <w:t xml:space="preserve">152.6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before="0" w:lineRule="auto"/>
              <w:ind w:left="0" w:firstLine="0"/>
              <w:jc w:val="left"/>
              <w:rPr/>
            </w:pPr>
            <w:r w:rsidDel="00000000" w:rsidR="00000000" w:rsidRPr="00000000">
              <w:rPr>
                <w:b w:val="0"/>
                <w:i w:val="0"/>
                <w:color w:val="000000"/>
                <w:sz w:val="22"/>
                <w:szCs w:val="22"/>
                <w:rtl w:val="0"/>
              </w:rPr>
              <w:t xml:space="preserve">342.0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before="0" w:lineRule="auto"/>
              <w:ind w:left="0" w:firstLine="0"/>
              <w:jc w:val="left"/>
              <w:rPr/>
            </w:pPr>
            <w:r w:rsidDel="00000000" w:rsidR="00000000" w:rsidRPr="00000000">
              <w:rPr>
                <w:b w:val="0"/>
                <w:i w:val="0"/>
                <w:color w:val="000000"/>
                <w:sz w:val="22"/>
                <w:szCs w:val="22"/>
                <w:rtl w:val="0"/>
              </w:rPr>
              <w:t xml:space="preserve">473.5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after="0" w:before="0" w:lineRule="auto"/>
              <w:ind w:left="0" w:firstLine="0"/>
              <w:jc w:val="left"/>
              <w:rPr/>
            </w:pPr>
            <w:r w:rsidDel="00000000" w:rsidR="00000000" w:rsidRPr="00000000">
              <w:rPr>
                <w:b w:val="0"/>
                <w:i w:val="0"/>
                <w:color w:val="000000"/>
                <w:sz w:val="22"/>
                <w:szCs w:val="22"/>
                <w:rtl w:val="0"/>
              </w:rPr>
              <w:t xml:space="preserve">Interest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before="0" w:lineRule="auto"/>
              <w:ind w:left="0" w:firstLine="0"/>
              <w:jc w:val="left"/>
              <w:rPr/>
            </w:pPr>
            <w:r w:rsidDel="00000000" w:rsidR="00000000" w:rsidRPr="00000000">
              <w:rPr>
                <w:b w:val="0"/>
                <w:i w:val="0"/>
                <w:color w:val="000000"/>
                <w:sz w:val="22"/>
                <w:szCs w:val="22"/>
                <w:rtl w:val="0"/>
              </w:rPr>
              <w:t xml:space="preserve">3</w:t>
            </w:r>
            <w:r w:rsidDel="00000000" w:rsidR="00000000" w:rsidRPr="00000000">
              <w:rPr>
                <w:rtl w:val="0"/>
              </w:rPr>
              <w:t xml:space="preserve">66</w:t>
            </w:r>
            <w:r w:rsidDel="00000000" w:rsidR="00000000" w:rsidRPr="00000000">
              <w:rPr>
                <w:b w:val="0"/>
                <w:i w:val="0"/>
                <w:color w:val="000000"/>
                <w:sz w:val="22"/>
                <w:szCs w:val="22"/>
                <w:rtl w:val="0"/>
              </w:rPr>
              <w:t xml:space="preserve">.</w:t>
            </w: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before="0" w:lineRule="auto"/>
              <w:ind w:left="0" w:firstLine="0"/>
              <w:jc w:val="left"/>
              <w:rPr/>
            </w:pPr>
            <w:r w:rsidDel="00000000" w:rsidR="00000000" w:rsidRPr="00000000">
              <w:rPr>
                <w:rtl w:val="0"/>
              </w:rPr>
              <w:t xml:space="preserve">394</w:t>
            </w:r>
            <w:r w:rsidDel="00000000" w:rsidR="00000000" w:rsidRPr="00000000">
              <w:rPr>
                <w:b w:val="0"/>
                <w:i w:val="0"/>
                <w:color w:val="000000"/>
                <w:sz w:val="22"/>
                <w:szCs w:val="22"/>
                <w:rtl w:val="0"/>
              </w:rPr>
              <w:t xml:space="preserve">.</w:t>
            </w: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before="0" w:lineRule="auto"/>
              <w:ind w:left="0" w:firstLine="0"/>
              <w:jc w:val="left"/>
              <w:rPr/>
            </w:pPr>
            <w:r w:rsidDel="00000000" w:rsidR="00000000" w:rsidRPr="00000000">
              <w:rPr>
                <w:rtl w:val="0"/>
              </w:rPr>
              <w:t xml:space="preserve">388</w:t>
            </w:r>
            <w:r w:rsidDel="00000000" w:rsidR="00000000" w:rsidRPr="00000000">
              <w:rPr>
                <w:b w:val="0"/>
                <w:i w:val="0"/>
                <w:color w:val="000000"/>
                <w:sz w:val="22"/>
                <w:szCs w:val="22"/>
                <w:rtl w:val="0"/>
              </w:rPr>
              <w:t xml:space="preserve">.</w:t>
            </w: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bl>
    <w:p w:rsidR="00000000" w:rsidDel="00000000" w:rsidP="00000000" w:rsidRDefault="00000000" w:rsidRPr="00000000" w14:paraId="0000006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66">
      <w:pPr>
        <w:spacing w:after="180" w:before="180" w:lineRule="auto"/>
        <w:ind w:left="0" w:firstLine="0"/>
        <w:jc w:val="left"/>
        <w:rPr/>
      </w:pPr>
      <w:r w:rsidDel="00000000" w:rsidR="00000000" w:rsidRPr="00000000">
        <w:rPr>
          <w:b w:val="1"/>
          <w:i w:val="0"/>
          <w:color w:val="000000"/>
          <w:sz w:val="33"/>
          <w:szCs w:val="33"/>
          <w:rtl w:val="0"/>
        </w:rPr>
        <w:t xml:space="preserve">S2.2: Balance Sheet</w:t>
      </w:r>
      <w:r w:rsidDel="00000000" w:rsidR="00000000" w:rsidRPr="00000000">
        <w:rPr>
          <w:rtl w:val="0"/>
        </w:rPr>
      </w:r>
    </w:p>
    <w:tbl>
      <w:tblPr>
        <w:tblStyle w:val="Table5"/>
        <w:tblW w:w="8576.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95"/>
        <w:gridCol w:w="1180"/>
        <w:gridCol w:w="1180"/>
        <w:gridCol w:w="1180"/>
        <w:gridCol w:w="1465"/>
        <w:gridCol w:w="1376"/>
        <w:tblGridChange w:id="0">
          <w:tblGrid>
            <w:gridCol w:w="2195"/>
            <w:gridCol w:w="1180"/>
            <w:gridCol w:w="1180"/>
            <w:gridCol w:w="118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before="0" w:lineRule="auto"/>
              <w:ind w:left="0" w:firstLine="0"/>
              <w:jc w:val="left"/>
              <w:rPr/>
            </w:pPr>
            <w:r w:rsidDel="00000000" w:rsidR="00000000" w:rsidRPr="00000000">
              <w:rPr>
                <w:b w:val="1"/>
                <w:i w:val="0"/>
                <w:color w:val="000000"/>
                <w:sz w:val="22"/>
                <w:szCs w:val="22"/>
                <w:rtl w:val="0"/>
              </w:rPr>
              <w:t xml:space="preserve">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before="0" w:lineRule="auto"/>
              <w:ind w:left="0" w:firstLine="0"/>
              <w:jc w:val="left"/>
              <w:rPr/>
            </w:pPr>
            <w:r w:rsidDel="00000000" w:rsidR="00000000" w:rsidRPr="00000000">
              <w:rPr>
                <w:b w:val="0"/>
                <w:i w:val="0"/>
                <w:color w:val="000000"/>
                <w:sz w:val="22"/>
                <w:szCs w:val="22"/>
                <w:rtl w:val="0"/>
              </w:rPr>
              <w:t xml:space="preserve">Total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after="0" w:before="0" w:lineRule="auto"/>
              <w:ind w:left="0" w:firstLine="0"/>
              <w:jc w:val="left"/>
              <w:rPr/>
            </w:pPr>
            <w:r w:rsidDel="00000000" w:rsidR="00000000" w:rsidRPr="00000000">
              <w:rPr>
                <w:b w:val="0"/>
                <w:i w:val="0"/>
                <w:color w:val="000000"/>
                <w:sz w:val="22"/>
                <w:szCs w:val="22"/>
                <w:rtl w:val="0"/>
              </w:rPr>
              <w:t xml:space="preserve">43,086.8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0" w:before="0" w:lineRule="auto"/>
              <w:ind w:left="0" w:firstLine="0"/>
              <w:jc w:val="left"/>
              <w:rPr/>
            </w:pPr>
            <w:r w:rsidDel="00000000" w:rsidR="00000000" w:rsidRPr="00000000">
              <w:rPr>
                <w:b w:val="0"/>
                <w:i w:val="0"/>
                <w:color w:val="000000"/>
                <w:sz w:val="22"/>
                <w:szCs w:val="22"/>
                <w:rtl w:val="0"/>
              </w:rPr>
              <w:t xml:space="preserve">44,264.7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before="0" w:lineRule="auto"/>
              <w:ind w:left="0" w:firstLine="0"/>
              <w:jc w:val="left"/>
              <w:rPr/>
            </w:pPr>
            <w:r w:rsidDel="00000000" w:rsidR="00000000" w:rsidRPr="00000000">
              <w:rPr>
                <w:b w:val="0"/>
                <w:i w:val="0"/>
                <w:color w:val="000000"/>
                <w:sz w:val="22"/>
                <w:szCs w:val="22"/>
                <w:rtl w:val="0"/>
              </w:rPr>
              <w:t xml:space="preserve">49,101.2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before="0" w:lineRule="auto"/>
              <w:ind w:left="0" w:firstLine="0"/>
              <w:jc w:val="left"/>
              <w:rPr/>
            </w:pPr>
            <w:r w:rsidDel="00000000" w:rsidR="00000000" w:rsidRPr="00000000">
              <w:rPr>
                <w:b w:val="0"/>
                <w:i w:val="0"/>
                <w:color w:val="000000"/>
                <w:sz w:val="22"/>
                <w:szCs w:val="22"/>
                <w:rtl w:val="0"/>
              </w:rPr>
              <w:t xml:space="preserve">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before="0" w:lineRule="auto"/>
              <w:ind w:left="0" w:firstLine="0"/>
              <w:jc w:val="left"/>
              <w:rPr/>
            </w:pPr>
            <w:r w:rsidDel="00000000" w:rsidR="00000000" w:rsidRPr="00000000">
              <w:rPr>
                <w:b w:val="0"/>
                <w:i w:val="0"/>
                <w:color w:val="000000"/>
                <w:sz w:val="22"/>
                <w:szCs w:val="22"/>
                <w:rtl w:val="0"/>
              </w:rPr>
              <w:t xml:space="preserve">11,396.0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before="0" w:lineRule="auto"/>
              <w:ind w:left="0" w:firstLine="0"/>
              <w:jc w:val="left"/>
              <w:rPr/>
            </w:pPr>
            <w:r w:rsidDel="00000000" w:rsidR="00000000" w:rsidRPr="00000000">
              <w:rPr>
                <w:b w:val="0"/>
                <w:i w:val="0"/>
                <w:color w:val="000000"/>
                <w:sz w:val="22"/>
                <w:szCs w:val="22"/>
                <w:rtl w:val="0"/>
              </w:rPr>
              <w:t xml:space="preserve">15,641.7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before="0" w:lineRule="auto"/>
              <w:ind w:left="0" w:firstLine="0"/>
              <w:jc w:val="left"/>
              <w:rPr/>
            </w:pPr>
            <w:r w:rsidDel="00000000" w:rsidR="00000000" w:rsidRPr="00000000">
              <w:rPr>
                <w:b w:val="0"/>
                <w:i w:val="0"/>
                <w:color w:val="000000"/>
                <w:sz w:val="22"/>
                <w:szCs w:val="22"/>
                <w:rtl w:val="0"/>
              </w:rPr>
              <w:t xml:space="preserve">19,299.3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before="0" w:lineRule="auto"/>
              <w:ind w:left="0" w:firstLine="0"/>
              <w:jc w:val="left"/>
              <w:rPr/>
            </w:pPr>
            <w:r w:rsidDel="00000000" w:rsidR="00000000" w:rsidRPr="00000000">
              <w:rPr>
                <w:b w:val="0"/>
                <w:i w:val="0"/>
                <w:color w:val="000000"/>
                <w:sz w:val="22"/>
                <w:szCs w:val="22"/>
                <w:rtl w:val="0"/>
              </w:rPr>
              <w:t xml:space="preserve">Non-Current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after="0" w:before="0" w:lineRule="auto"/>
              <w:ind w:left="0" w:firstLine="0"/>
              <w:jc w:val="left"/>
              <w:rPr/>
            </w:pPr>
            <w:r w:rsidDel="00000000" w:rsidR="00000000" w:rsidRPr="00000000">
              <w:rPr>
                <w:b w:val="0"/>
                <w:i w:val="0"/>
                <w:color w:val="000000"/>
                <w:sz w:val="22"/>
                <w:szCs w:val="22"/>
                <w:rtl w:val="0"/>
              </w:rPr>
              <w:t xml:space="preserve">Total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0" w:before="0" w:lineRule="auto"/>
              <w:ind w:left="0" w:firstLine="0"/>
              <w:jc w:val="left"/>
              <w:rPr/>
            </w:pPr>
            <w:r w:rsidDel="00000000" w:rsidR="00000000" w:rsidRPr="00000000">
              <w:rPr>
                <w:b w:val="0"/>
                <w:i w:val="0"/>
                <w:color w:val="000000"/>
                <w:sz w:val="22"/>
                <w:szCs w:val="22"/>
                <w:rtl w:val="0"/>
              </w:rPr>
              <w:t xml:space="preserve">27,016.8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after="0" w:before="0" w:lineRule="auto"/>
              <w:ind w:left="0" w:firstLine="0"/>
              <w:jc w:val="left"/>
              <w:rPr/>
            </w:pPr>
            <w:r w:rsidDel="00000000" w:rsidR="00000000" w:rsidRPr="00000000">
              <w:rPr>
                <w:b w:val="0"/>
                <w:i w:val="0"/>
                <w:color w:val="000000"/>
                <w:sz w:val="22"/>
                <w:szCs w:val="22"/>
                <w:rtl w:val="0"/>
              </w:rPr>
              <w:t xml:space="preserve">27,520.1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0" w:before="0" w:lineRule="auto"/>
              <w:ind w:left="0" w:firstLine="0"/>
              <w:jc w:val="left"/>
              <w:rPr/>
            </w:pPr>
            <w:r w:rsidDel="00000000" w:rsidR="00000000" w:rsidRPr="00000000">
              <w:rPr>
                <w:b w:val="0"/>
                <w:i w:val="0"/>
                <w:color w:val="000000"/>
                <w:sz w:val="22"/>
                <w:szCs w:val="22"/>
                <w:rtl w:val="0"/>
              </w:rPr>
              <w:t xml:space="preserve">28,851.4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before="0" w:lineRule="auto"/>
              <w:ind w:left="0" w:firstLine="0"/>
              <w:jc w:val="left"/>
              <w:rPr/>
            </w:pPr>
            <w:r w:rsidDel="00000000" w:rsidR="00000000" w:rsidRPr="00000000">
              <w:rPr>
                <w:b w:val="0"/>
                <w:i w:val="0"/>
                <w:color w:val="000000"/>
                <w:sz w:val="22"/>
                <w:szCs w:val="22"/>
                <w:rtl w:val="0"/>
              </w:rPr>
              <w:t xml:space="preserve">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after="0" w:before="0" w:lineRule="auto"/>
              <w:ind w:left="0" w:firstLine="0"/>
              <w:jc w:val="left"/>
              <w:rPr/>
            </w:pPr>
            <w:r w:rsidDel="00000000" w:rsidR="00000000" w:rsidRPr="00000000">
              <w:rPr>
                <w:b w:val="0"/>
                <w:i w:val="0"/>
                <w:color w:val="000000"/>
                <w:sz w:val="22"/>
                <w:szCs w:val="22"/>
                <w:rtl w:val="0"/>
              </w:rPr>
              <w:t xml:space="preserve">13,</w:t>
            </w:r>
            <w:r w:rsidDel="00000000" w:rsidR="00000000" w:rsidRPr="00000000">
              <w:rPr>
                <w:rtl w:val="0"/>
              </w:rPr>
              <w:t xml:space="preserve">955</w:t>
            </w:r>
            <w:r w:rsidDel="00000000" w:rsidR="00000000" w:rsidRPr="00000000">
              <w:rPr>
                <w:b w:val="0"/>
                <w:i w:val="0"/>
                <w:color w:val="000000"/>
                <w:sz w:val="22"/>
                <w:szCs w:val="22"/>
                <w:rtl w:val="0"/>
              </w:rPr>
              <w:t xml:space="preserve">.</w:t>
            </w: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0" w:before="0" w:lineRule="auto"/>
              <w:ind w:left="0" w:firstLine="0"/>
              <w:jc w:val="left"/>
              <w:rPr/>
            </w:pPr>
            <w:r w:rsidDel="00000000" w:rsidR="00000000" w:rsidRPr="00000000">
              <w:rPr>
                <w:b w:val="0"/>
                <w:i w:val="0"/>
                <w:color w:val="000000"/>
                <w:sz w:val="22"/>
                <w:szCs w:val="22"/>
                <w:rtl w:val="0"/>
              </w:rPr>
              <w:t xml:space="preserve">12,</w:t>
            </w:r>
            <w:r w:rsidDel="00000000" w:rsidR="00000000" w:rsidRPr="00000000">
              <w:rPr>
                <w:rtl w:val="0"/>
              </w:rPr>
              <w:t xml:space="preserve">671</w:t>
            </w:r>
            <w:r w:rsidDel="00000000" w:rsidR="00000000" w:rsidRPr="00000000">
              <w:rPr>
                <w:b w:val="0"/>
                <w:i w:val="0"/>
                <w:color w:val="000000"/>
                <w:sz w:val="22"/>
                <w:szCs w:val="22"/>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before="0" w:lineRule="auto"/>
              <w:ind w:left="0" w:firstLine="0"/>
              <w:jc w:val="left"/>
              <w:rPr/>
            </w:pPr>
            <w:r w:rsidDel="00000000" w:rsidR="00000000" w:rsidRPr="00000000">
              <w:rPr>
                <w:b w:val="0"/>
                <w:i w:val="0"/>
                <w:color w:val="000000"/>
                <w:sz w:val="22"/>
                <w:szCs w:val="22"/>
                <w:rtl w:val="0"/>
              </w:rPr>
              <w:t xml:space="preserve">13,</w:t>
            </w:r>
            <w:r w:rsidDel="00000000" w:rsidR="00000000" w:rsidRPr="00000000">
              <w:rPr>
                <w:rtl w:val="0"/>
              </w:rPr>
              <w:t xml:space="preserve">670</w:t>
            </w:r>
            <w:r w:rsidDel="00000000" w:rsidR="00000000" w:rsidRPr="00000000">
              <w:rPr>
                <w:b w:val="0"/>
                <w:i w:val="0"/>
                <w:color w:val="000000"/>
                <w:sz w:val="22"/>
                <w:szCs w:val="22"/>
                <w:rtl w:val="0"/>
              </w:rPr>
              <w:t xml:space="preserve">.</w:t>
            </w: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0" w:before="0" w:lineRule="auto"/>
              <w:ind w:left="0" w:firstLine="0"/>
              <w:jc w:val="left"/>
              <w:rPr/>
            </w:pPr>
            <w:r w:rsidDel="00000000" w:rsidR="00000000" w:rsidRPr="00000000">
              <w:rPr>
                <w:b w:val="0"/>
                <w:i w:val="0"/>
                <w:color w:val="000000"/>
                <w:sz w:val="22"/>
                <w:szCs w:val="22"/>
                <w:rtl w:val="0"/>
              </w:rPr>
              <w:t xml:space="preserve">Non-Current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before="0" w:lineRule="auto"/>
              <w:ind w:left="0" w:firstLine="0"/>
              <w:jc w:val="left"/>
              <w:rPr/>
            </w:pPr>
            <w:r w:rsidDel="00000000" w:rsidR="00000000" w:rsidRPr="00000000">
              <w:rPr>
                <w:b w:val="0"/>
                <w:i w:val="0"/>
                <w:color w:val="000000"/>
                <w:sz w:val="22"/>
                <w:szCs w:val="22"/>
                <w:rtl w:val="0"/>
              </w:rPr>
              <w:t xml:space="preserve">Shareholders'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0" w:before="0" w:lineRule="auto"/>
              <w:ind w:left="0" w:firstLine="0"/>
              <w:jc w:val="left"/>
              <w:rPr/>
            </w:pPr>
            <w:r w:rsidDel="00000000" w:rsidR="00000000" w:rsidRPr="00000000">
              <w:rPr>
                <w:rtl w:val="0"/>
              </w:rPr>
              <w:t xml:space="preserve">16,070.0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0" w:before="0" w:lineRule="auto"/>
              <w:ind w:left="0" w:firstLine="0"/>
              <w:jc w:val="left"/>
              <w:rPr/>
            </w:pPr>
            <w:r w:rsidDel="00000000" w:rsidR="00000000" w:rsidRPr="00000000">
              <w:rPr>
                <w:rtl w:val="0"/>
              </w:rPr>
              <w:t xml:space="preserve">16,744.6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before="0" w:lineRule="auto"/>
              <w:ind w:left="0" w:firstLine="0"/>
              <w:jc w:val="left"/>
              <w:rPr/>
            </w:pPr>
            <w:r w:rsidDel="00000000" w:rsidR="00000000" w:rsidRPr="00000000">
              <w:rPr>
                <w:rtl w:val="0"/>
              </w:rPr>
              <w:t xml:space="preserve">20,249.8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0" w:before="0" w:lineRule="auto"/>
              <w:ind w:left="0" w:firstLine="0"/>
              <w:jc w:val="left"/>
              <w:rPr/>
            </w:pPr>
            <w:r w:rsidDel="00000000" w:rsidR="00000000" w:rsidRPr="00000000">
              <w:rPr>
                <w:b w:val="0"/>
                <w:i w:val="0"/>
                <w:color w:val="000000"/>
                <w:sz w:val="22"/>
                <w:szCs w:val="22"/>
                <w:rtl w:val="0"/>
              </w:rPr>
              <w:t xml:space="preserve">Retained Earnings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0" w:before="0" w:lineRule="auto"/>
              <w:ind w:left="0" w:firstLine="0"/>
              <w:jc w:val="left"/>
              <w:rPr/>
            </w:pPr>
            <w:r w:rsidDel="00000000" w:rsidR="00000000" w:rsidRPr="00000000">
              <w:rPr>
                <w:b w:val="0"/>
                <w:i w:val="0"/>
                <w:color w:val="000000"/>
                <w:sz w:val="22"/>
                <w:szCs w:val="22"/>
                <w:rtl w:val="0"/>
              </w:rPr>
              <w:t xml:space="preserve">Total Equity and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0" w:before="0" w:lineRule="auto"/>
              <w:ind w:left="0" w:firstLine="0"/>
              <w:jc w:val="left"/>
              <w:rPr/>
            </w:pPr>
            <w:r w:rsidDel="00000000" w:rsidR="00000000" w:rsidRPr="00000000">
              <w:rPr>
                <w:b w:val="0"/>
                <w:i w:val="0"/>
                <w:color w:val="000000"/>
                <w:sz w:val="22"/>
                <w:szCs w:val="22"/>
                <w:rtl w:val="0"/>
              </w:rPr>
              <w:t xml:space="preserve">43,086.8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0" w:before="0" w:lineRule="auto"/>
              <w:ind w:left="0" w:firstLine="0"/>
              <w:jc w:val="left"/>
              <w:rPr/>
            </w:pPr>
            <w:r w:rsidDel="00000000" w:rsidR="00000000" w:rsidRPr="00000000">
              <w:rPr>
                <w:b w:val="0"/>
                <w:i w:val="0"/>
                <w:color w:val="000000"/>
                <w:sz w:val="22"/>
                <w:szCs w:val="22"/>
                <w:rtl w:val="0"/>
              </w:rPr>
              <w:t xml:space="preserve">44,264.7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before="0" w:lineRule="auto"/>
              <w:ind w:left="0" w:firstLine="0"/>
              <w:jc w:val="left"/>
              <w:rPr/>
            </w:pPr>
            <w:r w:rsidDel="00000000" w:rsidR="00000000" w:rsidRPr="00000000">
              <w:rPr>
                <w:b w:val="0"/>
                <w:i w:val="0"/>
                <w:color w:val="000000"/>
                <w:sz w:val="22"/>
                <w:szCs w:val="22"/>
                <w:rtl w:val="0"/>
              </w:rPr>
              <w:t xml:space="preserve">49,101.2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before="0" w:lineRule="auto"/>
              <w:ind w:left="0" w:firstLine="0"/>
              <w:jc w:val="left"/>
              <w:rPr/>
            </w:pPr>
            <w:r w:rsidDel="00000000" w:rsidR="00000000" w:rsidRPr="00000000">
              <w:rPr>
                <w:b w:val="0"/>
                <w:i w:val="0"/>
                <w:color w:val="000000"/>
                <w:sz w:val="22"/>
                <w:szCs w:val="22"/>
                <w:rtl w:val="0"/>
              </w:rPr>
              <w:t xml:space="preserve">Inventories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before="0" w:lineRule="auto"/>
              <w:ind w:left="0" w:firstLine="0"/>
              <w:jc w:val="left"/>
              <w:rPr/>
            </w:pPr>
            <w:r w:rsidDel="00000000" w:rsidR="00000000" w:rsidRPr="00000000">
              <w:rPr>
                <w:b w:val="0"/>
                <w:i w:val="0"/>
                <w:color w:val="000000"/>
                <w:sz w:val="22"/>
                <w:szCs w:val="22"/>
                <w:rtl w:val="0"/>
              </w:rPr>
              <w:t xml:space="preserve">344.9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before="0" w:lineRule="auto"/>
              <w:ind w:left="0" w:firstLine="0"/>
              <w:jc w:val="left"/>
              <w:rPr/>
            </w:pPr>
            <w:r w:rsidDel="00000000" w:rsidR="00000000" w:rsidRPr="00000000">
              <w:rPr>
                <w:b w:val="0"/>
                <w:i w:val="0"/>
                <w:color w:val="000000"/>
                <w:sz w:val="22"/>
                <w:szCs w:val="22"/>
                <w:rtl w:val="0"/>
              </w:rPr>
              <w:t xml:space="preserve">268.0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0" w:before="0" w:lineRule="auto"/>
              <w:ind w:left="0" w:firstLine="0"/>
              <w:jc w:val="left"/>
              <w:rPr/>
            </w:pPr>
            <w:r w:rsidDel="00000000" w:rsidR="00000000" w:rsidRPr="00000000">
              <w:rPr>
                <w:b w:val="0"/>
                <w:i w:val="0"/>
                <w:color w:val="000000"/>
                <w:sz w:val="22"/>
                <w:szCs w:val="22"/>
                <w:rtl w:val="0"/>
              </w:rPr>
              <w:t xml:space="preserve">227.0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before="0" w:lineRule="auto"/>
              <w:ind w:left="0" w:firstLine="0"/>
              <w:jc w:val="left"/>
              <w:rPr/>
            </w:pPr>
            <w:r w:rsidDel="00000000" w:rsidR="00000000" w:rsidRPr="00000000">
              <w:rPr>
                <w:b w:val="0"/>
                <w:i w:val="0"/>
                <w:color w:val="000000"/>
                <w:sz w:val="22"/>
                <w:szCs w:val="22"/>
                <w:rtl w:val="0"/>
              </w:rPr>
              <w:t xml:space="preserve">Prepaid Expenses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0" w:before="0" w:lineRule="auto"/>
              <w:ind w:left="0" w:firstLine="0"/>
              <w:jc w:val="left"/>
              <w:rPr/>
            </w:pPr>
            <w:r w:rsidDel="00000000" w:rsidR="00000000" w:rsidRPr="00000000">
              <w:rPr>
                <w:b w:val="0"/>
                <w:i w:val="0"/>
                <w:color w:val="000000"/>
                <w:sz w:val="22"/>
                <w:szCs w:val="22"/>
                <w:rtl w:val="0"/>
              </w:rPr>
              <w:t xml:space="preserve">109.9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0" w:before="0" w:lineRule="auto"/>
              <w:ind w:left="0" w:firstLine="0"/>
              <w:jc w:val="left"/>
              <w:rPr/>
            </w:pPr>
            <w:r w:rsidDel="00000000" w:rsidR="00000000" w:rsidRPr="00000000">
              <w:rPr>
                <w:b w:val="0"/>
                <w:i w:val="0"/>
                <w:color w:val="000000"/>
                <w:sz w:val="22"/>
                <w:szCs w:val="22"/>
                <w:rtl w:val="0"/>
              </w:rPr>
              <w:t xml:space="preserve">153.9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0" w:before="0" w:lineRule="auto"/>
              <w:ind w:left="0" w:firstLine="0"/>
              <w:jc w:val="left"/>
              <w:rPr/>
            </w:pPr>
            <w:r w:rsidDel="00000000" w:rsidR="00000000" w:rsidRPr="00000000">
              <w:rPr>
                <w:b w:val="0"/>
                <w:i w:val="0"/>
                <w:color w:val="000000"/>
                <w:sz w:val="22"/>
                <w:szCs w:val="22"/>
                <w:rtl w:val="0"/>
              </w:rPr>
              <w:t xml:space="preserve">105.0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bl>
    <w:p w:rsidR="00000000" w:rsidDel="00000000" w:rsidP="00000000" w:rsidRDefault="00000000" w:rsidRPr="00000000" w14:paraId="000000AF">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B0">
      <w:pPr>
        <w:spacing w:after="180" w:before="180" w:lineRule="auto"/>
        <w:ind w:left="0" w:firstLine="0"/>
        <w:jc w:val="left"/>
        <w:rPr/>
      </w:pPr>
      <w:r w:rsidDel="00000000" w:rsidR="00000000" w:rsidRPr="00000000">
        <w:rPr>
          <w:b w:val="1"/>
          <w:i w:val="0"/>
          <w:color w:val="000000"/>
          <w:sz w:val="33"/>
          <w:szCs w:val="33"/>
          <w:rtl w:val="0"/>
        </w:rPr>
        <w:t xml:space="preserve">S2.3: Cash Flow Statement</w:t>
      </w:r>
      <w:r w:rsidDel="00000000" w:rsidR="00000000" w:rsidRPr="00000000">
        <w:rPr>
          <w:rtl w:val="0"/>
        </w:rPr>
      </w:r>
    </w:p>
    <w:tbl>
      <w:tblPr>
        <w:tblStyle w:val="Table6"/>
        <w:tblW w:w="8931.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388"/>
        <w:gridCol w:w="1234"/>
        <w:gridCol w:w="1234"/>
        <w:gridCol w:w="1234"/>
        <w:gridCol w:w="1465"/>
        <w:gridCol w:w="1376"/>
        <w:tblGridChange w:id="0">
          <w:tblGrid>
            <w:gridCol w:w="2388"/>
            <w:gridCol w:w="1234"/>
            <w:gridCol w:w="1234"/>
            <w:gridCol w:w="1234"/>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0" w:before="0" w:lineRule="auto"/>
              <w:ind w:left="0" w:firstLine="0"/>
              <w:jc w:val="left"/>
              <w:rPr/>
            </w:pPr>
            <w:r w:rsidDel="00000000" w:rsidR="00000000" w:rsidRPr="00000000">
              <w:rPr>
                <w:b w:val="1"/>
                <w:i w:val="0"/>
                <w:color w:val="000000"/>
                <w:sz w:val="22"/>
                <w:szCs w:val="22"/>
                <w:rtl w:val="0"/>
              </w:rPr>
              <w:t xml:space="preserve">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0" w:before="0" w:lineRule="auto"/>
              <w:ind w:left="0" w:firstLine="0"/>
              <w:jc w:val="left"/>
              <w:rPr/>
            </w:pPr>
            <w:r w:rsidDel="00000000" w:rsidR="00000000" w:rsidRPr="00000000">
              <w:rPr>
                <w:b w:val="0"/>
                <w:i w:val="0"/>
                <w:color w:val="000000"/>
                <w:sz w:val="22"/>
                <w:szCs w:val="22"/>
                <w:rtl w:val="0"/>
              </w:rPr>
              <w:t xml:space="preserve">Net Cash Flow from 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before="0" w:lineRule="auto"/>
              <w:ind w:left="0" w:firstLine="0"/>
              <w:jc w:val="left"/>
              <w:rPr/>
            </w:pPr>
            <w:r w:rsidDel="00000000" w:rsidR="00000000" w:rsidRPr="00000000">
              <w:rPr>
                <w:b w:val="0"/>
                <w:i w:val="0"/>
                <w:color w:val="000000"/>
                <w:sz w:val="22"/>
                <w:szCs w:val="22"/>
                <w:rtl w:val="0"/>
              </w:rPr>
              <w:t xml:space="preserve">4,707.7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after="0" w:before="0" w:lineRule="auto"/>
              <w:ind w:left="0" w:firstLine="0"/>
              <w:jc w:val="left"/>
              <w:rPr/>
            </w:pPr>
            <w:r w:rsidDel="00000000" w:rsidR="00000000" w:rsidRPr="00000000">
              <w:rPr>
                <w:b w:val="0"/>
                <w:i w:val="0"/>
                <w:color w:val="000000"/>
                <w:sz w:val="22"/>
                <w:szCs w:val="22"/>
                <w:rtl w:val="0"/>
              </w:rPr>
              <w:t xml:space="preserve">5,0</w:t>
            </w:r>
            <w:r w:rsidDel="00000000" w:rsidR="00000000" w:rsidRPr="00000000">
              <w:rPr>
                <w:rtl w:val="0"/>
              </w:rPr>
              <w:t xml:space="preserve">42.1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0" w:before="0" w:lineRule="auto"/>
              <w:ind w:left="0" w:firstLine="0"/>
              <w:jc w:val="left"/>
              <w:rPr/>
            </w:pPr>
            <w:r w:rsidDel="00000000" w:rsidR="00000000" w:rsidRPr="00000000">
              <w:rPr>
                <w:rtl w:val="0"/>
              </w:rPr>
              <w:t xml:space="preserve">9,130.1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0" w:before="0" w:lineRule="auto"/>
              <w:ind w:left="0" w:firstLine="0"/>
              <w:jc w:val="left"/>
              <w:rPr/>
            </w:pPr>
            <w:r w:rsidDel="00000000" w:rsidR="00000000" w:rsidRPr="00000000">
              <w:rPr>
                <w:b w:val="0"/>
                <w:i w:val="0"/>
                <w:color w:val="000000"/>
                <w:sz w:val="22"/>
                <w:szCs w:val="22"/>
                <w:rtl w:val="0"/>
              </w:rPr>
              <w:t xml:space="preserve">Net Cash Flow from Investing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0" w:before="0" w:lineRule="auto"/>
              <w:ind w:left="0" w:firstLine="0"/>
              <w:jc w:val="left"/>
              <w:rPr/>
            </w:pPr>
            <w:r w:rsidDel="00000000" w:rsidR="00000000" w:rsidRPr="00000000">
              <w:rPr>
                <w:b w:val="0"/>
                <w:i w:val="0"/>
                <w:color w:val="000000"/>
                <w:sz w:val="22"/>
                <w:szCs w:val="22"/>
                <w:rtl w:val="0"/>
              </w:rPr>
              <w:t xml:space="preserve">(3,301.7)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0" w:before="0" w:lineRule="auto"/>
              <w:ind w:left="0" w:firstLine="0"/>
              <w:jc w:val="left"/>
              <w:rPr/>
            </w:pPr>
            <w:r w:rsidDel="00000000" w:rsidR="00000000" w:rsidRPr="00000000">
              <w:rPr>
                <w:b w:val="0"/>
                <w:i w:val="0"/>
                <w:color w:val="000000"/>
                <w:sz w:val="22"/>
                <w:szCs w:val="22"/>
                <w:rtl w:val="0"/>
              </w:rPr>
              <w:t xml:space="preserve">(1,436.2)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34.0</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0" w:before="0" w:lineRule="auto"/>
              <w:ind w:left="0" w:firstLine="0"/>
              <w:jc w:val="left"/>
              <w:rPr/>
            </w:pPr>
            <w:r w:rsidDel="00000000" w:rsidR="00000000" w:rsidRPr="00000000">
              <w:rPr>
                <w:b w:val="0"/>
                <w:i w:val="0"/>
                <w:color w:val="000000"/>
                <w:sz w:val="22"/>
                <w:szCs w:val="22"/>
                <w:rtl w:val="0"/>
              </w:rPr>
              <w:t xml:space="preserve">Net Cash Flow from Financing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0" w:before="0" w:lineRule="auto"/>
              <w:ind w:left="0" w:firstLine="0"/>
              <w:jc w:val="left"/>
              <w:rPr/>
            </w:pPr>
            <w:r w:rsidDel="00000000" w:rsidR="00000000" w:rsidRPr="00000000">
              <w:rPr>
                <w:b w:val="0"/>
                <w:i w:val="0"/>
                <w:color w:val="000000"/>
                <w:sz w:val="22"/>
                <w:szCs w:val="22"/>
                <w:rtl w:val="0"/>
              </w:rPr>
              <w:t xml:space="preserve">(4,326.5)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0" w:before="0" w:lineRule="auto"/>
              <w:ind w:left="0" w:firstLine="0"/>
              <w:jc w:val="left"/>
              <w:rPr/>
            </w:pPr>
            <w:r w:rsidDel="00000000" w:rsidR="00000000" w:rsidRPr="00000000">
              <w:rPr>
                <w:b w:val="0"/>
                <w:i w:val="0"/>
                <w:color w:val="000000"/>
                <w:sz w:val="22"/>
                <w:szCs w:val="22"/>
                <w:rtl w:val="0"/>
              </w:rPr>
              <w:t xml:space="preserve">(8,779.1)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6</w:t>
            </w:r>
            <w:r w:rsidDel="00000000" w:rsidR="00000000" w:rsidRPr="00000000">
              <w:rPr>
                <w:b w:val="0"/>
                <w:i w:val="0"/>
                <w:color w:val="000000"/>
                <w:sz w:val="22"/>
                <w:szCs w:val="22"/>
                <w:rtl w:val="0"/>
              </w:rPr>
              <w:t xml:space="preserve">,</w:t>
            </w:r>
            <w:r w:rsidDel="00000000" w:rsidR="00000000" w:rsidRPr="00000000">
              <w:rPr>
                <w:rtl w:val="0"/>
              </w:rPr>
              <w:t xml:space="preserve">213</w:t>
            </w:r>
            <w:r w:rsidDel="00000000" w:rsidR="00000000" w:rsidRPr="00000000">
              <w:rPr>
                <w:b w:val="0"/>
                <w:i w:val="0"/>
                <w:color w:val="000000"/>
                <w:sz w:val="22"/>
                <w:szCs w:val="22"/>
                <w:rtl w:val="0"/>
              </w:rPr>
              <w:t xml:space="preserve">.</w:t>
            </w:r>
            <w:r w:rsidDel="00000000" w:rsidR="00000000" w:rsidRPr="00000000">
              <w:rPr>
                <w:rtl w:val="0"/>
              </w:rPr>
              <w:t xml:space="preserve">4</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before="0" w:lineRule="auto"/>
              <w:ind w:left="0" w:firstLine="0"/>
              <w:jc w:val="left"/>
              <w:rPr/>
            </w:pPr>
            <w:r w:rsidDel="00000000" w:rsidR="00000000" w:rsidRPr="00000000">
              <w:rPr>
                <w:b w:val="0"/>
                <w:i w:val="0"/>
                <w:color w:val="000000"/>
                <w:sz w:val="22"/>
                <w:szCs w:val="22"/>
                <w:rtl w:val="0"/>
              </w:rPr>
              <w:t xml:space="preserve">Net Increase/Decrease in Cash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before="0" w:lineRule="auto"/>
              <w:ind w:left="0" w:firstLine="0"/>
              <w:jc w:val="left"/>
              <w:rPr/>
            </w:pPr>
            <w:r w:rsidDel="00000000" w:rsidR="00000000" w:rsidRPr="00000000">
              <w:rPr>
                <w:b w:val="0"/>
                <w:i w:val="0"/>
                <w:color w:val="000000"/>
                <w:sz w:val="22"/>
                <w:szCs w:val="22"/>
                <w:rtl w:val="0"/>
              </w:rPr>
              <w:t xml:space="preserve">(2,920.5)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0" w:before="0" w:lineRule="auto"/>
              <w:ind w:left="0" w:firstLine="0"/>
              <w:jc w:val="left"/>
              <w:rPr/>
            </w:pPr>
            <w:r w:rsidDel="00000000" w:rsidR="00000000" w:rsidRPr="00000000">
              <w:rPr>
                <w:b w:val="0"/>
                <w:i w:val="0"/>
                <w:color w:val="000000"/>
                <w:sz w:val="22"/>
                <w:szCs w:val="22"/>
                <w:rtl w:val="0"/>
              </w:rPr>
              <w:t xml:space="preserve">(5,173.2)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0" w:before="0" w:lineRule="auto"/>
              <w:ind w:left="0" w:firstLine="0"/>
              <w:jc w:val="left"/>
              <w:rPr/>
            </w:pPr>
            <w:r w:rsidDel="00000000" w:rsidR="00000000" w:rsidRPr="00000000">
              <w:rPr>
                <w:rtl w:val="0"/>
              </w:rPr>
              <w:t xml:space="preserve">2,782.7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0" w:before="0" w:lineRule="auto"/>
              <w:ind w:left="0" w:firstLine="0"/>
              <w:jc w:val="left"/>
              <w:rPr/>
            </w:pPr>
            <w:r w:rsidDel="00000000" w:rsidR="00000000" w:rsidRPr="00000000">
              <w:rPr>
                <w:b w:val="0"/>
                <w:i w:val="0"/>
                <w:color w:val="000000"/>
                <w:sz w:val="22"/>
                <w:szCs w:val="22"/>
                <w:rtl w:val="0"/>
              </w:rPr>
              <w:t xml:space="preserve">Dividends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0" w:before="0" w:lineRule="auto"/>
              <w:ind w:left="0" w:firstLine="0"/>
              <w:jc w:val="left"/>
              <w:rPr/>
            </w:pPr>
            <w:r w:rsidDel="00000000" w:rsidR="00000000" w:rsidRPr="00000000">
              <w:rPr>
                <w:rtl w:val="0"/>
              </w:rPr>
              <w:t xml:space="preserve">(1,428.8)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before="0" w:lineRule="auto"/>
              <w:ind w:left="0" w:firstLine="0"/>
              <w:jc w:val="left"/>
              <w:rPr/>
            </w:pPr>
            <w:r w:rsidDel="00000000" w:rsidR="00000000" w:rsidRPr="00000000">
              <w:rPr>
                <w:rtl w:val="0"/>
              </w:rPr>
              <w:t xml:space="preserve">(</w:t>
            </w:r>
            <w:r w:rsidDel="00000000" w:rsidR="00000000" w:rsidRPr="00000000">
              <w:rPr>
                <w:b w:val="0"/>
                <w:i w:val="0"/>
                <w:color w:val="000000"/>
                <w:sz w:val="22"/>
                <w:szCs w:val="22"/>
                <w:rtl w:val="0"/>
              </w:rPr>
              <w:t xml:space="preserve">1,</w:t>
            </w:r>
            <w:r w:rsidDel="00000000" w:rsidR="00000000" w:rsidRPr="00000000">
              <w:rPr>
                <w:rtl w:val="0"/>
              </w:rPr>
              <w:t xml:space="preserve">130</w:t>
            </w:r>
            <w:r w:rsidDel="00000000" w:rsidR="00000000" w:rsidRPr="00000000">
              <w:rPr>
                <w:b w:val="0"/>
                <w:i w:val="0"/>
                <w:color w:val="000000"/>
                <w:sz w:val="22"/>
                <w:szCs w:val="22"/>
                <w:rtl w:val="0"/>
              </w:rPr>
              <w:t xml:space="preserve">.</w:t>
            </w: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0" w:before="0" w:lineRule="auto"/>
              <w:ind w:left="0" w:firstLine="0"/>
              <w:jc w:val="left"/>
              <w:rPr/>
            </w:pPr>
            <w:r w:rsidDel="00000000" w:rsidR="00000000" w:rsidRPr="00000000">
              <w:rPr>
                <w:rtl w:val="0"/>
              </w:rPr>
              <w:t xml:space="preserve">(297</w:t>
            </w:r>
            <w:r w:rsidDel="00000000" w:rsidR="00000000" w:rsidRPr="00000000">
              <w:rPr>
                <w:b w:val="0"/>
                <w:i w:val="0"/>
                <w:color w:val="000000"/>
                <w:sz w:val="22"/>
                <w:szCs w:val="22"/>
                <w:rtl w:val="0"/>
              </w:rPr>
              <w:t xml:space="preserve">.</w:t>
            </w: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0" w:before="0" w:lineRule="auto"/>
              <w:ind w:left="0" w:firstLine="0"/>
              <w:jc w:val="left"/>
              <w:rPr/>
            </w:pPr>
            <w:r w:rsidDel="00000000" w:rsidR="00000000" w:rsidRPr="00000000">
              <w:rPr>
                <w:b w:val="0"/>
                <w:i w:val="0"/>
                <w:color w:val="000000"/>
                <w:sz w:val="22"/>
                <w:szCs w:val="22"/>
                <w:rtl w:val="0"/>
              </w:rPr>
              <w:t xml:space="preserve">SGD</w:t>
            </w:r>
            <w:r w:rsidDel="00000000" w:rsidR="00000000" w:rsidRPr="00000000">
              <w:rPr>
                <w:rtl w:val="0"/>
              </w:rPr>
            </w:r>
          </w:p>
        </w:tc>
      </w:tr>
    </w:tbl>
    <w:p w:rsidR="00000000" w:rsidDel="00000000" w:rsidP="00000000" w:rsidRDefault="00000000" w:rsidRPr="00000000" w14:paraId="000000D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pacing w:after="180" w:before="180" w:lineRule="auto"/>
        <w:ind w:left="0" w:firstLine="0"/>
        <w:jc w:val="left"/>
        <w:rPr/>
      </w:pPr>
      <w:r w:rsidDel="00000000" w:rsidR="00000000" w:rsidRPr="00000000">
        <w:rPr>
          <w:b w:val="1"/>
          <w:i w:val="0"/>
          <w:color w:val="000000"/>
          <w:sz w:val="33"/>
          <w:szCs w:val="33"/>
          <w:rtl w:val="0"/>
        </w:rPr>
        <w:t xml:space="preserve">S2.4: Key Financial Metrics</w:t>
      </w:r>
      <w:r w:rsidDel="00000000" w:rsidR="00000000" w:rsidRPr="00000000">
        <w:rPr>
          <w:rtl w:val="0"/>
        </w:rPr>
      </w:r>
    </w:p>
    <w:tbl>
      <w:tblPr>
        <w:tblStyle w:val="Table7"/>
        <w:tblW w:w="5088.33694801861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9.3072116286166"/>
        <w:gridCol w:w="1093.0099121300002"/>
        <w:gridCol w:w="1093.0099121300002"/>
        <w:gridCol w:w="1093.0099121300002"/>
        <w:tblGridChange w:id="0">
          <w:tblGrid>
            <w:gridCol w:w="1809.3072116286166"/>
            <w:gridCol w:w="1093.0099121300002"/>
            <w:gridCol w:w="1093.0099121300002"/>
            <w:gridCol w:w="1093.00991213000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before="0" w:lineRule="auto"/>
              <w:ind w:left="0" w:firstLine="0"/>
              <w:jc w:val="left"/>
              <w:rPr/>
            </w:pPr>
            <w:r w:rsidDel="00000000" w:rsidR="00000000" w:rsidRPr="00000000">
              <w:rPr>
                <w:b w:val="1"/>
                <w:i w:val="0"/>
                <w:color w:val="000000"/>
                <w:sz w:val="22"/>
                <w:szCs w:val="22"/>
                <w:rtl w:val="0"/>
              </w:rPr>
              <w:t xml:space="preserve">202</w:t>
            </w:r>
            <w:r w:rsidDel="00000000" w:rsidR="00000000" w:rsidRPr="00000000">
              <w:rPr>
                <w:b w:val="1"/>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before="0" w:lineRule="auto"/>
              <w:ind w:left="0" w:firstLine="0"/>
              <w:jc w:val="left"/>
              <w:rPr/>
            </w:pPr>
            <w:r w:rsidDel="00000000" w:rsidR="00000000" w:rsidRPr="00000000">
              <w:rPr>
                <w:b w:val="1"/>
                <w:i w:val="0"/>
                <w:color w:val="000000"/>
                <w:sz w:val="22"/>
                <w:szCs w:val="22"/>
                <w:rtl w:val="0"/>
              </w:rPr>
              <w:t xml:space="preserve">202</w:t>
            </w:r>
            <w:r w:rsidDel="00000000" w:rsidR="00000000" w:rsidRPr="00000000">
              <w:rPr>
                <w:b w:val="1"/>
                <w:rtl w:val="0"/>
              </w:rPr>
              <w:t xml:space="preserve">4</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D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after="0" w:before="0" w:lineRule="auto"/>
              <w:ind w:left="0" w:firstLine="0"/>
              <w:jc w:val="left"/>
              <w:rPr/>
            </w:pPr>
            <w:r w:rsidDel="00000000" w:rsidR="00000000" w:rsidRPr="00000000">
              <w:rPr>
                <w:b w:val="0"/>
                <w:i w:val="0"/>
                <w:color w:val="000000"/>
                <w:sz w:val="22"/>
                <w:szCs w:val="22"/>
                <w:rtl w:val="0"/>
              </w:rPr>
              <w:t xml:space="preserve">Gross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0" w:before="0" w:lineRule="auto"/>
              <w:ind w:lef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lineRule="auto"/>
              <w:rPr/>
            </w:pPr>
            <w:r w:rsidDel="00000000" w:rsidR="00000000" w:rsidRPr="00000000">
              <w:rPr>
                <w:rtl w:val="0"/>
              </w:rPr>
              <w:t xml:space="preserve">N/A</w:t>
            </w:r>
          </w:p>
        </w:tc>
        <w:tc>
          <w:tcPr>
            <w:tcMar>
              <w:top w:w="40.0" w:type="dxa"/>
              <w:left w:w="40.0" w:type="dxa"/>
              <w:bottom w:w="40.0" w:type="dxa"/>
              <w:right w:w="40.0" w:type="dxa"/>
            </w:tcMar>
            <w:vAlign w:val="center"/>
          </w:tcPr>
          <w:p w:rsidR="00000000" w:rsidDel="00000000" w:rsidP="00000000" w:rsidRDefault="00000000" w:rsidRPr="00000000" w14:paraId="000000DE">
            <w:pPr>
              <w:spacing w:after="0" w:lineRule="auto"/>
              <w:rPr>
                <w:rFonts w:ascii="Arial" w:cs="Arial" w:eastAsia="Arial" w:hAnsi="Arial"/>
                <w:sz w:val="20"/>
                <w:szCs w:val="20"/>
                <w:highlight w:val="yellow"/>
              </w:rPr>
            </w:pPr>
            <w:r w:rsidDel="00000000" w:rsidR="00000000" w:rsidRPr="00000000">
              <w:rPr>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before="0" w:lineRule="auto"/>
              <w:ind w:left="0" w:firstLine="0"/>
              <w:jc w:val="left"/>
              <w:rPr/>
            </w:pPr>
            <w:r w:rsidDel="00000000" w:rsidR="00000000" w:rsidRPr="00000000">
              <w:rPr>
                <w:b w:val="0"/>
                <w:i w:val="0"/>
                <w:color w:val="000000"/>
                <w:sz w:val="22"/>
                <w:szCs w:val="22"/>
                <w:rtl w:val="0"/>
              </w:rPr>
              <w:t xml:space="preserve">Operating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before="0" w:lineRule="auto"/>
              <w:ind w:left="0" w:firstLine="0"/>
              <w:jc w:val="left"/>
              <w:rPr/>
            </w:pPr>
            <w:r w:rsidDel="00000000" w:rsidR="00000000" w:rsidRPr="00000000">
              <w:rPr>
                <w:rtl w:val="0"/>
              </w:rPr>
              <w:t xml:space="preserve">8</w:t>
            </w:r>
            <w:r w:rsidDel="00000000" w:rsidR="00000000" w:rsidRPr="00000000">
              <w:rPr>
                <w:b w:val="0"/>
                <w:i w:val="0"/>
                <w:color w:val="000000"/>
                <w:sz w:val="22"/>
                <w:szCs w:val="22"/>
                <w:rtl w:val="0"/>
              </w:rPr>
              <w:t xml:space="preserve">.</w:t>
            </w:r>
            <w:r w:rsidDel="00000000" w:rsidR="00000000" w:rsidRPr="00000000">
              <w:rPr>
                <w:rtl w:val="0"/>
              </w:rPr>
              <w:t xml:space="preserve">75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spacing w:after="0" w:before="0" w:lineRule="auto"/>
              <w:ind w:left="0" w:firstLine="0"/>
              <w:jc w:val="left"/>
              <w:rPr/>
            </w:pPr>
            <w:r w:rsidDel="00000000" w:rsidR="00000000" w:rsidRPr="00000000">
              <w:rPr>
                <w:rtl w:val="0"/>
              </w:rPr>
              <w:t xml:space="preserve">14.35</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15.15%</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after="0" w:before="0" w:lineRule="auto"/>
              <w:ind w:left="0" w:firstLine="0"/>
              <w:jc w:val="left"/>
              <w:rPr/>
            </w:pPr>
            <w:r w:rsidDel="00000000" w:rsidR="00000000" w:rsidRPr="00000000">
              <w:rPr>
                <w:b w:val="0"/>
                <w:i w:val="0"/>
                <w:color w:val="000000"/>
                <w:sz w:val="22"/>
                <w:szCs w:val="22"/>
                <w:rtl w:val="0"/>
              </w:rPr>
              <w:t xml:space="preserve">Net Profit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before="0" w:lineRule="auto"/>
              <w:ind w:left="0" w:firstLine="0"/>
              <w:jc w:val="left"/>
              <w:rPr/>
            </w:pPr>
            <w:r w:rsidDel="00000000" w:rsidR="00000000" w:rsidRPr="00000000">
              <w:rPr>
                <w:b w:val="0"/>
                <w:i w:val="0"/>
                <w:color w:val="000000"/>
                <w:sz w:val="22"/>
                <w:szCs w:val="22"/>
                <w:rtl w:val="0"/>
              </w:rPr>
              <w:t xml:space="preserve">14.17%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4</w:t>
            </w:r>
            <w:r w:rsidDel="00000000" w:rsidR="00000000" w:rsidRPr="00000000">
              <w:rPr>
                <w:b w:val="0"/>
                <w:i w:val="0"/>
                <w:color w:val="000000"/>
                <w:sz w:val="22"/>
                <w:szCs w:val="22"/>
                <w:rtl w:val="0"/>
              </w:rPr>
              <w:t xml:space="preserve">.</w:t>
            </w:r>
            <w:r w:rsidDel="00000000" w:rsidR="00000000" w:rsidRPr="00000000">
              <w:rPr>
                <w:rtl w:val="0"/>
              </w:rPr>
              <w:t xml:space="preserve">07</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12.13%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0" w:before="0" w:lineRule="auto"/>
              <w:ind w:left="0" w:firstLine="0"/>
              <w:jc w:val="left"/>
              <w:rPr/>
            </w:pPr>
            <w:r w:rsidDel="00000000" w:rsidR="00000000" w:rsidRPr="00000000">
              <w:rPr>
                <w:b w:val="0"/>
                <w:i w:val="0"/>
                <w:color w:val="000000"/>
                <w:sz w:val="22"/>
                <w:szCs w:val="22"/>
                <w:rtl w:val="0"/>
              </w:rPr>
              <w:t xml:space="preserve">Current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spacing w:after="0" w:before="0" w:lineRule="auto"/>
              <w:ind w:left="0" w:firstLine="0"/>
              <w:jc w:val="left"/>
              <w:rPr/>
            </w:pPr>
            <w:r w:rsidDel="00000000" w:rsidR="00000000" w:rsidRPr="00000000">
              <w:rPr>
                <w:rtl w:val="0"/>
              </w:rPr>
              <w:t xml:space="preserve">81</w:t>
            </w:r>
            <w:r w:rsidDel="00000000" w:rsidR="00000000" w:rsidRPr="00000000">
              <w:rPr>
                <w:b w:val="0"/>
                <w:i w:val="0"/>
                <w:color w:val="000000"/>
                <w:sz w:val="22"/>
                <w:szCs w:val="22"/>
                <w:rtl w:val="0"/>
              </w:rPr>
              <w:t xml:space="preserve">.</w:t>
            </w:r>
            <w:r w:rsidDel="00000000" w:rsidR="00000000" w:rsidRPr="00000000">
              <w:rPr>
                <w:rtl w:val="0"/>
              </w:rPr>
              <w:t xml:space="preserve">66</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spacing w:after="0" w:before="0" w:lineRule="auto"/>
              <w:ind w:left="0" w:firstLine="0"/>
              <w:jc w:val="left"/>
              <w:rPr/>
            </w:pPr>
            <w:r w:rsidDel="00000000" w:rsidR="00000000" w:rsidRPr="00000000">
              <w:rPr>
                <w:b w:val="0"/>
                <w:i w:val="0"/>
                <w:color w:val="000000"/>
                <w:sz w:val="22"/>
                <w:szCs w:val="22"/>
                <w:rtl w:val="0"/>
              </w:rPr>
              <w:t xml:space="preserve">12</w:t>
            </w:r>
            <w:r w:rsidDel="00000000" w:rsidR="00000000" w:rsidRPr="00000000">
              <w:rPr>
                <w:rtl w:val="0"/>
              </w:rPr>
              <w:t xml:space="preserve">3</w:t>
            </w:r>
            <w:r w:rsidDel="00000000" w:rsidR="00000000" w:rsidRPr="00000000">
              <w:rPr>
                <w:b w:val="0"/>
                <w:i w:val="0"/>
                <w:color w:val="000000"/>
                <w:sz w:val="22"/>
                <w:szCs w:val="22"/>
                <w:rtl w:val="0"/>
              </w:rPr>
              <w:t xml:space="preserve">.</w:t>
            </w:r>
            <w:r w:rsidDel="00000000" w:rsidR="00000000" w:rsidRPr="00000000">
              <w:rPr>
                <w:rtl w:val="0"/>
              </w:rPr>
              <w:t xml:space="preserve">44</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141.17%</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0" w:before="0" w:lineRule="auto"/>
              <w:ind w:left="0" w:firstLine="0"/>
              <w:jc w:val="left"/>
              <w:rPr/>
            </w:pPr>
            <w:r w:rsidDel="00000000" w:rsidR="00000000" w:rsidRPr="00000000">
              <w:rPr>
                <w:b w:val="0"/>
                <w:i w:val="0"/>
                <w:color w:val="000000"/>
                <w:sz w:val="22"/>
                <w:szCs w:val="22"/>
                <w:rtl w:val="0"/>
              </w:rPr>
              <w:t xml:space="preserve">Quick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after="0" w:before="0" w:lineRule="auto"/>
              <w:ind w:left="0" w:firstLine="0"/>
              <w:jc w:val="left"/>
              <w:rPr/>
            </w:pPr>
            <w:r w:rsidDel="00000000" w:rsidR="00000000" w:rsidRPr="00000000">
              <w:rPr>
                <w:rtl w:val="0"/>
              </w:rPr>
              <w:t xml:space="preserve">78</w:t>
            </w:r>
            <w:r w:rsidDel="00000000" w:rsidR="00000000" w:rsidRPr="00000000">
              <w:rPr>
                <w:b w:val="0"/>
                <w:i w:val="0"/>
                <w:color w:val="000000"/>
                <w:sz w:val="22"/>
                <w:szCs w:val="22"/>
                <w:rtl w:val="0"/>
              </w:rPr>
              <w:t xml:space="preserve">.</w:t>
            </w:r>
            <w:r w:rsidDel="00000000" w:rsidR="00000000" w:rsidRPr="00000000">
              <w:rPr>
                <w:rtl w:val="0"/>
              </w:rPr>
              <w:t xml:space="preserve">40</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20</w:t>
            </w:r>
            <w:r w:rsidDel="00000000" w:rsidR="00000000" w:rsidRPr="00000000">
              <w:rPr>
                <w:b w:val="0"/>
                <w:i w:val="0"/>
                <w:color w:val="000000"/>
                <w:sz w:val="22"/>
                <w:szCs w:val="22"/>
                <w:rtl w:val="0"/>
              </w:rPr>
              <w:t xml:space="preserve">.</w:t>
            </w:r>
            <w:r w:rsidDel="00000000" w:rsidR="00000000" w:rsidRPr="00000000">
              <w:rPr>
                <w:rtl w:val="0"/>
              </w:rPr>
              <w:t xml:space="preserve">11</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138.74%</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spacing w:after="0" w:before="0" w:lineRule="auto"/>
              <w:ind w:left="0" w:firstLine="0"/>
              <w:jc w:val="left"/>
              <w:rPr/>
            </w:pPr>
            <w:r w:rsidDel="00000000" w:rsidR="00000000" w:rsidRPr="00000000">
              <w:rPr>
                <w:b w:val="0"/>
                <w:i w:val="0"/>
                <w:color w:val="000000"/>
                <w:sz w:val="22"/>
                <w:szCs w:val="22"/>
                <w:rtl w:val="0"/>
              </w:rPr>
              <w:t xml:space="preserve">Debt-to-Equity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68</w:t>
            </w:r>
            <w:r w:rsidDel="00000000" w:rsidR="00000000" w:rsidRPr="00000000">
              <w:rPr>
                <w:b w:val="0"/>
                <w:i w:val="0"/>
                <w:color w:val="000000"/>
                <w:sz w:val="22"/>
                <w:szCs w:val="22"/>
                <w:rtl w:val="0"/>
              </w:rPr>
              <w:t xml:space="preserve">.</w:t>
            </w:r>
            <w:r w:rsidDel="00000000" w:rsidR="00000000" w:rsidRPr="00000000">
              <w:rPr>
                <w:rtl w:val="0"/>
              </w:rPr>
              <w:t xml:space="preserve">12</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before="0" w:lineRule="auto"/>
              <w:ind w:left="0" w:firstLine="0"/>
              <w:jc w:val="left"/>
              <w:rPr/>
            </w:pPr>
            <w:r w:rsidDel="00000000" w:rsidR="00000000" w:rsidRPr="00000000">
              <w:rPr>
                <w:b w:val="0"/>
                <w:i w:val="0"/>
                <w:color w:val="000000"/>
                <w:sz w:val="22"/>
                <w:szCs w:val="22"/>
                <w:rtl w:val="0"/>
              </w:rPr>
              <w:t xml:space="preserve">16</w:t>
            </w:r>
            <w:r w:rsidDel="00000000" w:rsidR="00000000" w:rsidRPr="00000000">
              <w:rPr>
                <w:rtl w:val="0"/>
              </w:rPr>
              <w:t xml:space="preserve">4</w:t>
            </w:r>
            <w:r w:rsidDel="00000000" w:rsidR="00000000" w:rsidRPr="00000000">
              <w:rPr>
                <w:b w:val="0"/>
                <w:i w:val="0"/>
                <w:color w:val="000000"/>
                <w:sz w:val="22"/>
                <w:szCs w:val="22"/>
                <w:rtl w:val="0"/>
              </w:rPr>
              <w:t xml:space="preserve">.</w:t>
            </w:r>
            <w:r w:rsidDel="00000000" w:rsidR="00000000" w:rsidRPr="00000000">
              <w:rPr>
                <w:rtl w:val="0"/>
              </w:rPr>
              <w:t xml:space="preserve">35</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142.48%</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spacing w:after="0" w:before="0" w:lineRule="auto"/>
              <w:ind w:left="0" w:firstLine="0"/>
              <w:jc w:val="left"/>
              <w:rPr/>
            </w:pPr>
            <w:r w:rsidDel="00000000" w:rsidR="00000000" w:rsidRPr="00000000">
              <w:rPr>
                <w:b w:val="0"/>
                <w:i w:val="0"/>
                <w:color w:val="000000"/>
                <w:sz w:val="22"/>
                <w:szCs w:val="22"/>
                <w:rtl w:val="0"/>
              </w:rPr>
              <w:t xml:space="preserve">Interest Coverage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spacing w:after="0" w:before="0" w:lineRule="auto"/>
              <w:ind w:left="0" w:firstLine="0"/>
              <w:jc w:val="left"/>
              <w:rPr/>
            </w:pPr>
            <w:r w:rsidDel="00000000" w:rsidR="00000000" w:rsidRPr="00000000">
              <w:rPr>
                <w:rtl w:val="0"/>
              </w:rPr>
              <w:t xml:space="preserve">466</w:t>
            </w:r>
            <w:r w:rsidDel="00000000" w:rsidR="00000000" w:rsidRPr="00000000">
              <w:rPr>
                <w:b w:val="0"/>
                <w:i w:val="0"/>
                <w:color w:val="000000"/>
                <w:sz w:val="22"/>
                <w:szCs w:val="22"/>
                <w:rtl w:val="0"/>
              </w:rPr>
              <w:t xml:space="preserve">.</w:t>
            </w:r>
            <w:r w:rsidDel="00000000" w:rsidR="00000000" w:rsidRPr="00000000">
              <w:rPr>
                <w:rtl w:val="0"/>
              </w:rPr>
              <w:t xml:space="preserve">84</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after="0" w:before="0" w:lineRule="auto"/>
              <w:ind w:left="0" w:firstLine="0"/>
              <w:jc w:val="left"/>
              <w:rPr/>
            </w:pPr>
            <w:r w:rsidDel="00000000" w:rsidR="00000000" w:rsidRPr="00000000">
              <w:rPr>
                <w:b w:val="0"/>
                <w:i w:val="0"/>
                <w:color w:val="000000"/>
                <w:sz w:val="22"/>
                <w:szCs w:val="22"/>
                <w:rtl w:val="0"/>
              </w:rPr>
              <w:t xml:space="preserve">6</w:t>
            </w:r>
            <w:r w:rsidDel="00000000" w:rsidR="00000000" w:rsidRPr="00000000">
              <w:rPr>
                <w:rtl w:val="0"/>
              </w:rPr>
              <w:t xml:space="preserve">90</w:t>
            </w:r>
            <w:r w:rsidDel="00000000" w:rsidR="00000000" w:rsidRPr="00000000">
              <w:rPr>
                <w:b w:val="0"/>
                <w:i w:val="0"/>
                <w:color w:val="000000"/>
                <w:sz w:val="22"/>
                <w:szCs w:val="22"/>
                <w:rtl w:val="0"/>
              </w:rPr>
              <w:t xml:space="preserve">.</w:t>
            </w:r>
            <w:r w:rsidDel="00000000" w:rsidR="00000000" w:rsidRPr="00000000">
              <w:rPr>
                <w:rtl w:val="0"/>
              </w:rPr>
              <w:t xml:space="preserve">86</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692.59%</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spacing w:after="0" w:before="0" w:lineRule="auto"/>
              <w:ind w:left="0" w:firstLine="0"/>
              <w:jc w:val="left"/>
              <w:rPr/>
            </w:pPr>
            <w:r w:rsidDel="00000000" w:rsidR="00000000" w:rsidRPr="00000000">
              <w:rPr>
                <w:b w:val="0"/>
                <w:i w:val="0"/>
                <w:color w:val="000000"/>
                <w:sz w:val="22"/>
                <w:szCs w:val="22"/>
                <w:rtl w:val="0"/>
              </w:rPr>
              <w:t xml:space="preserve">Asset Turnover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spacing w:after="0" w:before="0" w:lineRule="auto"/>
              <w:ind w:left="0" w:firstLine="0"/>
              <w:jc w:val="left"/>
              <w:rPr/>
            </w:pPr>
            <w:r w:rsidDel="00000000" w:rsidR="00000000" w:rsidRPr="00000000">
              <w:rPr>
                <w:b w:val="0"/>
                <w:i w:val="0"/>
                <w:color w:val="000000"/>
                <w:sz w:val="22"/>
                <w:szCs w:val="22"/>
                <w:rtl w:val="0"/>
              </w:rPr>
              <w:t xml:space="preserve">4</w:t>
            </w:r>
            <w:r w:rsidDel="00000000" w:rsidR="00000000" w:rsidRPr="00000000">
              <w:rPr>
                <w:rtl w:val="0"/>
              </w:rPr>
              <w:t xml:space="preserve">4</w:t>
            </w:r>
            <w:r w:rsidDel="00000000" w:rsidR="00000000" w:rsidRPr="00000000">
              <w:rPr>
                <w:b w:val="0"/>
                <w:i w:val="0"/>
                <w:color w:val="000000"/>
                <w:sz w:val="22"/>
                <w:szCs w:val="22"/>
                <w:rtl w:val="0"/>
              </w:rPr>
              <w:t xml:space="preserve">.</w:t>
            </w:r>
            <w:r w:rsidDel="00000000" w:rsidR="00000000" w:rsidRPr="00000000">
              <w:rPr>
                <w:rtl w:val="0"/>
              </w:rPr>
              <w:t xml:space="preserve">74%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spacing w:after="0" w:before="0" w:lineRule="auto"/>
              <w:ind w:left="0" w:firstLine="0"/>
              <w:jc w:val="left"/>
              <w:rPr/>
            </w:pPr>
            <w:r w:rsidDel="00000000" w:rsidR="00000000" w:rsidRPr="00000000">
              <w:rPr>
                <w:rtl w:val="0"/>
              </w:rPr>
              <w:t xml:space="preserve">40</w:t>
            </w:r>
            <w:r w:rsidDel="00000000" w:rsidR="00000000" w:rsidRPr="00000000">
              <w:rPr>
                <w:b w:val="0"/>
                <w:i w:val="0"/>
                <w:color w:val="000000"/>
                <w:sz w:val="22"/>
                <w:szCs w:val="22"/>
                <w:rtl w:val="0"/>
              </w:rPr>
              <w:t xml:space="preserve">.</w:t>
            </w:r>
            <w:r w:rsidDel="00000000" w:rsidR="00000000" w:rsidRPr="00000000">
              <w:rPr>
                <w:rtl w:val="0"/>
              </w:rPr>
              <w:t xml:space="preserve">73%</w:t>
            </w:r>
          </w:p>
        </w:tc>
        <w:tc>
          <w:tcPr>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after="0" w:before="0" w:lineRule="auto"/>
              <w:ind w:left="0" w:firstLine="0"/>
              <w:jc w:val="left"/>
              <w:rPr/>
            </w:pPr>
            <w:r w:rsidDel="00000000" w:rsidR="00000000" w:rsidRPr="00000000">
              <w:rPr>
                <w:b w:val="0"/>
                <w:i w:val="0"/>
                <w:color w:val="000000"/>
                <w:sz w:val="22"/>
                <w:szCs w:val="22"/>
                <w:rtl w:val="0"/>
              </w:rPr>
              <w:t xml:space="preserve">Return on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6</w:t>
            </w:r>
            <w:r w:rsidDel="00000000" w:rsidR="00000000" w:rsidRPr="00000000">
              <w:rPr>
                <w:b w:val="0"/>
                <w:i w:val="0"/>
                <w:color w:val="000000"/>
                <w:sz w:val="22"/>
                <w:szCs w:val="22"/>
                <w:rtl w:val="0"/>
              </w:rPr>
              <w:t xml:space="preserve">.</w:t>
            </w:r>
            <w:r w:rsidDel="00000000" w:rsidR="00000000" w:rsidRPr="00000000">
              <w:rPr>
                <w:rtl w:val="0"/>
              </w:rPr>
              <w:t xml:space="preserve">93</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4</w:t>
            </w:r>
            <w:r w:rsidDel="00000000" w:rsidR="00000000" w:rsidRPr="00000000">
              <w:rPr>
                <w:b w:val="0"/>
                <w:i w:val="0"/>
                <w:color w:val="000000"/>
                <w:sz w:val="22"/>
                <w:szCs w:val="22"/>
                <w:rtl w:val="0"/>
              </w:rPr>
              <w:t xml:space="preserve">.</w:t>
            </w:r>
            <w:r w:rsidDel="00000000" w:rsidR="00000000" w:rsidRPr="00000000">
              <w:rPr>
                <w:rtl w:val="0"/>
              </w:rPr>
              <w:t xml:space="preserve">46</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0" w:before="0" w:lineRule="auto"/>
              <w:ind w:left="0" w:firstLine="0"/>
              <w:jc w:val="left"/>
              <w:rPr/>
            </w:pPr>
            <w:r w:rsidDel="00000000" w:rsidR="00000000" w:rsidRPr="00000000">
              <w:rPr>
                <w:b w:val="0"/>
                <w:i w:val="0"/>
                <w:color w:val="000000"/>
                <w:sz w:val="22"/>
                <w:szCs w:val="22"/>
                <w:rtl w:val="0"/>
              </w:rPr>
              <w:t xml:space="preserve">Return on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spacing w:after="0" w:before="0" w:lineRule="auto"/>
              <w:ind w:left="0" w:firstLine="0"/>
              <w:jc w:val="left"/>
              <w:rPr/>
            </w:pPr>
            <w:r w:rsidDel="00000000" w:rsidR="00000000" w:rsidRPr="00000000">
              <w:rPr>
                <w:b w:val="0"/>
                <w:i w:val="0"/>
                <w:color w:val="000000"/>
                <w:sz w:val="22"/>
                <w:szCs w:val="22"/>
                <w:rtl w:val="0"/>
              </w:rPr>
              <w:t xml:space="preserve">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spacing w:after="0" w:before="0" w:lineRule="auto"/>
              <w:ind w:left="0" w:firstLine="0"/>
              <w:jc w:val="left"/>
              <w:rPr/>
            </w:pPr>
            <w:r w:rsidDel="00000000" w:rsidR="00000000" w:rsidRPr="00000000">
              <w:rPr>
                <w:rtl w:val="0"/>
              </w:rPr>
              <w:t xml:space="preserve">5</w:t>
            </w:r>
            <w:r w:rsidDel="00000000" w:rsidR="00000000" w:rsidRPr="00000000">
              <w:rPr>
                <w:b w:val="0"/>
                <w:i w:val="0"/>
                <w:color w:val="000000"/>
                <w:sz w:val="22"/>
                <w:szCs w:val="22"/>
                <w:rtl w:val="0"/>
              </w:rPr>
              <w:t xml:space="preserve">.</w:t>
            </w:r>
            <w:r w:rsidDel="00000000" w:rsidR="00000000" w:rsidRPr="00000000">
              <w:rPr>
                <w:rtl w:val="0"/>
              </w:rPr>
              <w:t xml:space="preserve">73</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spacing w:after="0" w:before="0" w:lineRule="auto"/>
              <w:ind w:left="0" w:firstLine="0"/>
              <w:jc w:val="left"/>
              <w:rPr/>
            </w:pPr>
            <w:r w:rsidDel="00000000" w:rsidR="00000000" w:rsidRPr="00000000">
              <w:rPr>
                <w:b w:val="0"/>
                <w:i w:val="0"/>
                <w:color w:val="000000"/>
                <w:sz w:val="22"/>
                <w:szCs w:val="22"/>
                <w:rtl w:val="0"/>
              </w:rPr>
              <w:t xml:space="preserve">Effective Tax 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spacing w:after="0" w:before="0" w:lineRule="auto"/>
              <w:ind w:left="0" w:firstLine="0"/>
              <w:jc w:val="left"/>
              <w:rPr/>
            </w:pPr>
            <w:r w:rsidDel="00000000" w:rsidR="00000000" w:rsidRPr="00000000">
              <w:rPr>
                <w:rtl w:val="0"/>
              </w:rPr>
              <w:t xml:space="preserve">5</w:t>
            </w:r>
            <w:r w:rsidDel="00000000" w:rsidR="00000000" w:rsidRPr="00000000">
              <w:rPr>
                <w:b w:val="0"/>
                <w:i w:val="0"/>
                <w:color w:val="000000"/>
                <w:sz w:val="22"/>
                <w:szCs w:val="22"/>
                <w:rtl w:val="0"/>
              </w:rPr>
              <w:t xml:space="preserve">.</w:t>
            </w:r>
            <w:r w:rsidDel="00000000" w:rsidR="00000000" w:rsidRPr="00000000">
              <w:rPr>
                <w:rtl w:val="0"/>
              </w:rPr>
              <w:t xml:space="preserve">15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1</w:t>
            </w:r>
            <w:r w:rsidDel="00000000" w:rsidR="00000000" w:rsidRPr="00000000">
              <w:rPr>
                <w:b w:val="0"/>
                <w:i w:val="0"/>
                <w:color w:val="000000"/>
                <w:sz w:val="22"/>
                <w:szCs w:val="22"/>
                <w:rtl w:val="0"/>
              </w:rPr>
              <w:t xml:space="preserve">.</w:t>
            </w:r>
            <w:r w:rsidDel="00000000" w:rsidR="00000000" w:rsidRPr="00000000">
              <w:rPr>
                <w:rtl w:val="0"/>
              </w:rPr>
              <w:t xml:space="preserve">26</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17.96%</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spacing w:after="0" w:before="0" w:lineRule="auto"/>
              <w:ind w:left="0" w:firstLine="0"/>
              <w:jc w:val="left"/>
              <w:rPr/>
            </w:pPr>
            <w:r w:rsidDel="00000000" w:rsidR="00000000" w:rsidRPr="00000000">
              <w:rPr>
                <w:b w:val="0"/>
                <w:i w:val="0"/>
                <w:color w:val="000000"/>
                <w:sz w:val="22"/>
                <w:szCs w:val="22"/>
                <w:rtl w:val="0"/>
              </w:rPr>
              <w:t xml:space="preserve">Dividend Payout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0" w:before="0" w:lineRule="auto"/>
              <w:ind w:left="0" w:firstLine="0"/>
              <w:jc w:val="left"/>
              <w:rPr/>
            </w:pPr>
            <w:r w:rsidDel="00000000" w:rsidR="00000000" w:rsidRPr="00000000">
              <w:rPr>
                <w:b w:val="0"/>
                <w:i w:val="0"/>
                <w:color w:val="000000"/>
                <w:sz w:val="22"/>
                <w:szCs w:val="22"/>
                <w:rtl w:val="0"/>
              </w:rPr>
              <w:t xml:space="preserve">5</w:t>
            </w:r>
            <w:r w:rsidDel="00000000" w:rsidR="00000000" w:rsidRPr="00000000">
              <w:rPr>
                <w:rtl w:val="0"/>
              </w:rPr>
              <w:t xml:space="preserve">1</w:t>
            </w:r>
            <w:r w:rsidDel="00000000" w:rsidR="00000000" w:rsidRPr="00000000">
              <w:rPr>
                <w:b w:val="0"/>
                <w:i w:val="0"/>
                <w:color w:val="000000"/>
                <w:sz w:val="22"/>
                <w:szCs w:val="22"/>
                <w:rtl w:val="0"/>
              </w:rPr>
              <w:t xml:space="preserve">.</w:t>
            </w:r>
            <w:r w:rsidDel="00000000" w:rsidR="00000000" w:rsidRPr="00000000">
              <w:rPr>
                <w:rtl w:val="0"/>
              </w:rPr>
              <w:t xml:space="preserve">43</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after="0" w:before="0" w:lineRule="auto"/>
              <w:ind w:left="0" w:firstLine="0"/>
              <w:jc w:val="left"/>
              <w:rPr/>
            </w:pPr>
            <w:r w:rsidDel="00000000" w:rsidR="00000000" w:rsidRPr="00000000">
              <w:rPr>
                <w:rtl w:val="0"/>
              </w:rPr>
              <w:t xml:space="preserve">42</w:t>
            </w:r>
            <w:r w:rsidDel="00000000" w:rsidR="00000000" w:rsidRPr="00000000">
              <w:rPr>
                <w:b w:val="0"/>
                <w:i w:val="0"/>
                <w:color w:val="000000"/>
                <w:sz w:val="22"/>
                <w:szCs w:val="22"/>
                <w:rtl w:val="0"/>
              </w:rPr>
              <w:t xml:space="preserve">.</w:t>
            </w:r>
            <w:r w:rsidDel="00000000" w:rsidR="00000000" w:rsidRPr="00000000">
              <w:rPr>
                <w:rtl w:val="0"/>
              </w:rPr>
              <w:t xml:space="preserve">25</w:t>
            </w:r>
            <w:r w:rsidDel="00000000" w:rsidR="00000000" w:rsidRPr="00000000">
              <w:rPr>
                <w:b w:val="0"/>
                <w:i w:val="0"/>
                <w:color w:val="000000"/>
                <w:sz w:val="22"/>
                <w:szCs w:val="22"/>
                <w:rtl w:val="0"/>
              </w:rPr>
              <w:t xml:space="preserv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13.78%</w:t>
            </w:r>
          </w:p>
        </w:tc>
      </w:tr>
    </w:tbl>
    <w:p w:rsidR="00000000" w:rsidDel="00000000" w:rsidP="00000000" w:rsidRDefault="00000000" w:rsidRPr="00000000" w14:paraId="000001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0C">
      <w:pPr>
        <w:spacing w:after="180" w:before="180" w:lineRule="auto"/>
        <w:ind w:left="0" w:firstLine="0"/>
        <w:jc w:val="left"/>
        <w:rPr/>
      </w:pPr>
      <w:r w:rsidDel="00000000" w:rsidR="00000000" w:rsidRPr="00000000">
        <w:rPr>
          <w:b w:val="1"/>
          <w:i w:val="0"/>
          <w:color w:val="000000"/>
          <w:sz w:val="33"/>
          <w:szCs w:val="33"/>
          <w:rtl w:val="0"/>
        </w:rPr>
        <w:t xml:space="preserve">S2.5: Operating Performance</w:t>
      </w:r>
      <w:r w:rsidDel="00000000" w:rsidR="00000000" w:rsidRPr="00000000">
        <w:rPr>
          <w:rtl w:val="0"/>
        </w:rPr>
      </w:r>
    </w:p>
    <w:tbl>
      <w:tblPr>
        <w:tblStyle w:val="Table8"/>
        <w:tblW w:w="9829.149090005432"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06.5292311185906"/>
        <w:gridCol w:w="2640.8732862956144"/>
        <w:gridCol w:w="2640.8732862956144"/>
        <w:gridCol w:w="2640.8732862956144"/>
        <w:tblGridChange w:id="0">
          <w:tblGrid>
            <w:gridCol w:w="1906.5292311185906"/>
            <w:gridCol w:w="2640.8732862956144"/>
            <w:gridCol w:w="2640.8732862956144"/>
            <w:gridCol w:w="2640.87328629561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spacing w:after="0" w:lineRule="auto"/>
              <w:rPr/>
            </w:pPr>
            <w:r w:rsidDel="00000000" w:rsidR="00000000" w:rsidRPr="00000000">
              <w:rPr>
                <w:b w:val="1"/>
                <w:rtl w:val="0"/>
              </w:rPr>
              <w:t xml:space="preserve">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after="0" w:lineRule="auto"/>
              <w:rPr/>
            </w:pPr>
            <w:r w:rsidDel="00000000" w:rsidR="00000000" w:rsidRPr="00000000">
              <w:rPr>
                <w:b w:val="1"/>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after="0" w:lineRule="auto"/>
              <w:rPr>
                <w:b w:val="1"/>
              </w:rPr>
            </w:pPr>
            <w:r w:rsidDel="00000000" w:rsidR="00000000" w:rsidRPr="00000000">
              <w:rPr>
                <w:b w:val="1"/>
                <w:rtl w:val="0"/>
              </w:rPr>
              <w:t xml:space="preserve">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0" w:before="0" w:lineRule="auto"/>
              <w:ind w:left="0" w:firstLine="0"/>
              <w:jc w:val="left"/>
              <w:rPr/>
            </w:pPr>
            <w:r w:rsidDel="00000000" w:rsidR="00000000" w:rsidRPr="00000000">
              <w:rPr>
                <w:b w:val="0"/>
                <w:i w:val="0"/>
                <w:color w:val="000000"/>
                <w:sz w:val="22"/>
                <w:szCs w:val="22"/>
                <w:rtl w:val="0"/>
              </w:rPr>
              <w:t xml:space="preserve">Revenue by Product/Service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spacing w:after="0" w:lineRule="auto"/>
              <w:rPr/>
            </w:pPr>
            <w:r w:rsidDel="00000000" w:rsidR="00000000" w:rsidRPr="00000000">
              <w:rPr>
                <w:rtl w:val="0"/>
              </w:rPr>
              <w:t xml:space="preserve">Full-Service Carrier (FSC): $16,738.0M</w:t>
              <w:br w:type="textWrapping"/>
              <w:t xml:space="preserve">Low-Cost Carrier (LCC): $2,349.2M</w:t>
              <w:br w:type="textWrapping"/>
              <w:t xml:space="preserve">Engineering Services: $1,245.1M</w:t>
              <w:br w:type="textWrapping"/>
              <w:t xml:space="preserve">Others: $154.2M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spacing w:after="0" w:lineRule="auto"/>
              <w:rPr/>
            </w:pPr>
            <w:r w:rsidDel="00000000" w:rsidR="00000000" w:rsidRPr="00000000">
              <w:rPr>
                <w:rtl w:val="0"/>
              </w:rPr>
              <w:t xml:space="preserve">Full-Service Carrier (FSC): $16,177.1M</w:t>
              <w:br w:type="textWrapping"/>
              <w:t xml:space="preserve">Low-Cost Carrier (LCC): $2,445.5M</w:t>
              <w:br w:type="textWrapping"/>
              <w:t xml:space="preserve">Engineering Services: $1,094.2M</w:t>
              <w:br w:type="textWrapping"/>
              <w:t xml:space="preserve">Others: $140.5M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spacing w:after="0" w:lineRule="auto"/>
              <w:rPr/>
            </w:pPr>
            <w:r w:rsidDel="00000000" w:rsidR="00000000" w:rsidRPr="00000000">
              <w:rPr>
                <w:rtl w:val="0"/>
              </w:rPr>
              <w:t xml:space="preserve">Full-Service Carrier (FSC): $15,590.1M</w:t>
              <w:br w:type="textWrapping"/>
              <w:t xml:space="preserve">Low-Cost Carrier (LCC): $1,965.0M</w:t>
              <w:br w:type="textWrapping"/>
              <w:t xml:space="preserve">Engineering Services: $796.0M</w:t>
              <w:br w:type="textWrapping"/>
              <w:t xml:space="preserve">Others: $131.6M</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spacing w:after="0" w:before="0" w:lineRule="auto"/>
              <w:ind w:left="0" w:firstLine="0"/>
              <w:jc w:val="left"/>
              <w:rPr/>
            </w:pPr>
            <w:r w:rsidDel="00000000" w:rsidR="00000000" w:rsidRPr="00000000">
              <w:rPr>
                <w:b w:val="0"/>
                <w:i w:val="0"/>
                <w:color w:val="000000"/>
                <w:sz w:val="22"/>
                <w:szCs w:val="22"/>
                <w:rtl w:val="0"/>
              </w:rPr>
              <w:t xml:space="preserve">Revenue by Geographic Region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after="0" w:lineRule="auto"/>
              <w:rPr/>
            </w:pPr>
            <w:r w:rsidDel="00000000" w:rsidR="00000000" w:rsidRPr="00000000">
              <w:rPr>
                <w:rtl w:val="0"/>
              </w:rPr>
              <w:t xml:space="preserve">East Asia: $9,917.8M Europe: $2,512.6M South West Pacific: $2,957.7M Americas: $1,333.7M West Asia and Africa: $1,328.2M Systemwide: $18,050.0M Non-scheduled/incidental: $1,037.2M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after="0" w:lineRule="auto"/>
              <w:rPr/>
            </w:pPr>
            <w:r w:rsidDel="00000000" w:rsidR="00000000" w:rsidRPr="00000000">
              <w:rPr>
                <w:rtl w:val="0"/>
              </w:rPr>
              <w:t xml:space="preserve">East Asia: $9,522.8M</w:t>
              <w:br w:type="textWrapping"/>
              <w:t xml:space="preserve">Europe: $2,518.9M</w:t>
              <w:br w:type="textWrapping"/>
              <w:t xml:space="preserve">South West Pacific: $3,038.7M</w:t>
              <w:br w:type="textWrapping"/>
              <w:t xml:space="preserve">Americas: $1,314.4M</w:t>
              <w:br w:type="textWrapping"/>
              <w:t xml:space="preserve">West Asia and Africa: $1,408.2M</w:t>
              <w:br w:type="textWrapping"/>
              <w:t xml:space="preserve">Systemwide: $17,803.0M</w:t>
              <w:br w:type="textWrapping"/>
              <w:t xml:space="preserve">Non-scheduled/incidental: $819.6M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after="0" w:lineRule="auto"/>
              <w:rPr/>
            </w:pPr>
            <w:r w:rsidDel="00000000" w:rsidR="00000000" w:rsidRPr="00000000">
              <w:rPr>
                <w:rtl w:val="0"/>
              </w:rPr>
              <w:t xml:space="preserve">East Asia: $8,764.6M</w:t>
              <w:br w:type="textWrapping"/>
              <w:t xml:space="preserve">Europe: $2,684.2M</w:t>
              <w:br w:type="textWrapping"/>
              <w:t xml:space="preserve">South West Pacific: $2,715.3M</w:t>
              <w:br w:type="textWrapping"/>
              <w:t xml:space="preserve">Americas: $1,419.8M</w:t>
              <w:br w:type="textWrapping"/>
              <w:t xml:space="preserve">West Asia and Africa: $1,379.7M</w:t>
              <w:br w:type="textWrapping"/>
              <w:t xml:space="preserve">Systemwide: $16,963.6M</w:t>
              <w:br w:type="textWrapping"/>
              <w:t xml:space="preserve">Non-scheduled/incidental: $591.5M</w:t>
            </w:r>
          </w:p>
        </w:tc>
      </w:tr>
    </w:tbl>
    <w:p w:rsidR="00000000" w:rsidDel="00000000" w:rsidP="00000000" w:rsidRDefault="00000000" w:rsidRPr="00000000" w14:paraId="00000119">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1A">
      <w:pPr>
        <w:spacing w:after="161" w:before="161" w:lineRule="auto"/>
        <w:ind w:left="0" w:firstLine="0"/>
        <w:jc w:val="left"/>
        <w:rPr/>
      </w:pPr>
      <w:r w:rsidDel="00000000" w:rsidR="00000000" w:rsidRPr="00000000">
        <w:rPr>
          <w:b w:val="1"/>
          <w:i w:val="0"/>
          <w:color w:val="000000"/>
          <w:sz w:val="44"/>
          <w:szCs w:val="44"/>
          <w:rtl w:val="0"/>
        </w:rPr>
        <w:t xml:space="preserve">Section 3: Business Analysis</w:t>
      </w:r>
      <w:r w:rsidDel="00000000" w:rsidR="00000000" w:rsidRPr="00000000">
        <w:rPr>
          <w:rtl w:val="0"/>
        </w:rPr>
      </w:r>
    </w:p>
    <w:p w:rsidR="00000000" w:rsidDel="00000000" w:rsidP="00000000" w:rsidRDefault="00000000" w:rsidRPr="00000000" w14:paraId="0000011B">
      <w:pPr>
        <w:spacing w:after="180" w:before="180" w:lineRule="auto"/>
        <w:ind w:left="0" w:firstLine="0"/>
        <w:jc w:val="left"/>
        <w:rPr/>
      </w:pPr>
      <w:r w:rsidDel="00000000" w:rsidR="00000000" w:rsidRPr="00000000">
        <w:rPr>
          <w:b w:val="1"/>
          <w:i w:val="0"/>
          <w:color w:val="000000"/>
          <w:sz w:val="33"/>
          <w:szCs w:val="33"/>
          <w:rtl w:val="0"/>
        </w:rPr>
        <w:t xml:space="preserve">S3.1: Profitability Analysis</w:t>
      </w:r>
      <w:r w:rsidDel="00000000" w:rsidR="00000000" w:rsidRPr="00000000">
        <w:rPr>
          <w:rtl w:val="0"/>
        </w:rPr>
      </w:r>
    </w:p>
    <w:tbl>
      <w:tblPr>
        <w:tblStyle w:val="Table9"/>
        <w:tblW w:w="9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51"/>
        <w:gridCol w:w="6559"/>
        <w:tblGridChange w:id="0">
          <w:tblGrid>
            <w:gridCol w:w="2451"/>
            <w:gridCol w:w="655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after="0" w:before="0" w:lineRule="auto"/>
              <w:ind w:left="0" w:firstLine="0"/>
              <w:jc w:val="left"/>
              <w:rPr/>
            </w:pPr>
            <w:r w:rsidDel="00000000" w:rsidR="00000000" w:rsidRPr="00000000">
              <w:rPr>
                <w:b w:val="1"/>
                <w:i w:val="0"/>
                <w:color w:val="000000"/>
                <w:sz w:val="22"/>
                <w:szCs w:val="22"/>
                <w:rtl w:val="0"/>
              </w:rPr>
              <w:t xml:space="preserve">Answer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after="0" w:before="0" w:lineRule="auto"/>
              <w:ind w:left="0" w:firstLine="0"/>
              <w:jc w:val="left"/>
              <w:rPr/>
            </w:pPr>
            <w:r w:rsidDel="00000000" w:rsidR="00000000" w:rsidRPr="00000000">
              <w:rPr>
                <w:b w:val="0"/>
                <w:i w:val="0"/>
                <w:color w:val="000000"/>
                <w:sz w:val="22"/>
                <w:szCs w:val="22"/>
                <w:rtl w:val="0"/>
              </w:rPr>
              <w:t xml:space="preserve">Revenue &amp; Direct-Cost Dynamics</w:t>
            </w:r>
            <w:r w:rsidDel="00000000" w:rsidR="00000000" w:rsidRPr="00000000">
              <w:rPr>
                <w:rtl w:val="0"/>
              </w:rPr>
            </w:r>
          </w:p>
        </w:tc>
        <w:tc>
          <w:tcPr>
            <w:shd w:fill="ffffff" w:val="clear"/>
            <w:tcMar>
              <w:top w:w="40.0" w:type="dxa"/>
              <w:left w:w="40.0" w:type="dxa"/>
              <w:bottom w:w="40.0" w:type="dxa"/>
              <w:right w:w="40.0" w:type="dxa"/>
            </w:tcMar>
          </w:tcPr>
          <w:p w:rsidR="00000000" w:rsidDel="00000000" w:rsidP="00000000" w:rsidRDefault="00000000" w:rsidRPr="00000000" w14:paraId="0000011F">
            <w:pPr>
              <w:widowControl w:val="0"/>
              <w:spacing w:after="0" w:line="276" w:lineRule="auto"/>
              <w:rPr/>
            </w:pPr>
            <w:r w:rsidDel="00000000" w:rsidR="00000000" w:rsidRPr="00000000">
              <w:rPr>
                <w:rtl w:val="0"/>
              </w:rPr>
              <w:t xml:space="preserve">Revenue showed moderate growth with total revenue increasing from SGD 17,774.8M in 2023 to SGD 19,012.7M in 2024 (7.0% growth) and SGD 19,539.8M in 2025 (2.8% growth). By product segments, Full-Service Carrier (FSC) remained the dominant revenue driver, growing consistently from SGD 15,590.1M in 2023 to SGD 16,738.0M in 2025. However, Low-Cost Carrier (LCC) segment declined in 2025 to SGD 2,349.2M from SGD 2,445.5M in 2024. Engineering Services showed strong growth from SGD 796.0M in 2023 to SGD 1,245.1M in 2025. Geographically, East Asia remained the largest market at SGD 9,917.8M in 2025, while Europe remained stable and South West Pacific declined slightly in 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after="0" w:before="0" w:lineRule="auto"/>
              <w:ind w:left="0" w:firstLine="0"/>
              <w:jc w:val="left"/>
              <w:rPr/>
            </w:pPr>
            <w:r w:rsidDel="00000000" w:rsidR="00000000" w:rsidRPr="00000000">
              <w:rPr>
                <w:b w:val="0"/>
                <w:i w:val="0"/>
                <w:color w:val="000000"/>
                <w:sz w:val="22"/>
                <w:szCs w:val="22"/>
                <w:rtl w:val="0"/>
              </w:rPr>
              <w:t xml:space="preserve">Operating Efficiency</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after="440" w:before="440" w:line="276" w:lineRule="auto"/>
              <w:rPr/>
            </w:pPr>
            <w:r w:rsidDel="00000000" w:rsidR="00000000" w:rsidRPr="00000000">
              <w:rPr>
                <w:rtl w:val="0"/>
              </w:rPr>
              <w:t xml:space="preserve">Operating efficiency deteriorated significantly over the three-year period. Operating margin declined from 15.15% in 2023 to 14.35% in 2024 and dramatically to 8.75% in 2025. Despite revenue growth, operating income fell sharply from SGD 2,727.5M in 2024 to SGD 1,709.1M in 2025, representing a 37.3% decline. This indicates substantial increases in operating expenses that outpaced revenue growth, severely impacting operational profitability in 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after="0" w:before="0" w:lineRule="auto"/>
              <w:ind w:left="0" w:firstLine="0"/>
              <w:jc w:val="left"/>
              <w:rPr/>
            </w:pPr>
            <w:r w:rsidDel="00000000" w:rsidR="00000000" w:rsidRPr="00000000">
              <w:rPr>
                <w:b w:val="0"/>
                <w:i w:val="0"/>
                <w:color w:val="000000"/>
                <w:sz w:val="22"/>
                <w:szCs w:val="22"/>
                <w:rtl w:val="0"/>
              </w:rPr>
              <w:t xml:space="preserve">External Impact</w:t>
            </w:r>
            <w:r w:rsidDel="00000000" w:rsidR="00000000" w:rsidRPr="00000000">
              <w:rPr>
                <w:rtl w:val="0"/>
              </w:rPr>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after="440" w:before="440" w:line="276" w:lineRule="auto"/>
              <w:rPr/>
            </w:pPr>
            <w:r w:rsidDel="00000000" w:rsidR="00000000" w:rsidRPr="00000000">
              <w:rPr>
                <w:rtl w:val="0"/>
              </w:rPr>
              <w:t xml:space="preserve">The effective tax rate showed a favorable declining trend, decreasing from 17.96% in 2023 to 11.26% in 2024 and further to 5.15% in 2025. This significant reduction in tax burden positively contributed to net profitability, with tax expenses declining from SGD 473.5M in 2023 to SGD 152.6M in 2025 despite higher pre-tax income levels. This tax efficiency helped offset some of the negative impact from declining operating performance.</w:t>
            </w:r>
          </w:p>
        </w:tc>
      </w:tr>
    </w:tbl>
    <w:p w:rsidR="00000000" w:rsidDel="00000000" w:rsidP="00000000" w:rsidRDefault="00000000" w:rsidRPr="00000000" w14:paraId="00000124">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25">
      <w:pPr>
        <w:spacing w:after="180" w:before="180" w:lineRule="auto"/>
        <w:ind w:left="0" w:firstLine="0"/>
        <w:jc w:val="left"/>
        <w:rPr/>
      </w:pPr>
      <w:r w:rsidDel="00000000" w:rsidR="00000000" w:rsidRPr="00000000">
        <w:rPr>
          <w:b w:val="1"/>
          <w:i w:val="0"/>
          <w:color w:val="000000"/>
          <w:sz w:val="33"/>
          <w:szCs w:val="33"/>
          <w:rtl w:val="0"/>
        </w:rPr>
        <w:t xml:space="preserve">S3.2: Financial Performance Summary</w:t>
      </w:r>
      <w:r w:rsidDel="00000000" w:rsidR="00000000" w:rsidRPr="00000000">
        <w:rPr>
          <w:rtl w:val="0"/>
        </w:rPr>
      </w:r>
    </w:p>
    <w:tbl>
      <w:tblPr>
        <w:tblStyle w:val="Table10"/>
        <w:tblW w:w="960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340"/>
        <w:gridCol w:w="3585"/>
        <w:gridCol w:w="3675"/>
        <w:tblGridChange w:id="0">
          <w:tblGrid>
            <w:gridCol w:w="2340"/>
            <w:gridCol w:w="3585"/>
            <w:gridCol w:w="3675"/>
          </w:tblGrid>
        </w:tblGridChange>
      </w:tblGrid>
      <w:tr>
        <w:trPr>
          <w:cantSplit w:val="0"/>
          <w:trHeight w:val="320.92529296875006"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center"/>
          </w:tcPr>
          <w:p w:rsidR="00000000" w:rsidDel="00000000" w:rsidP="00000000" w:rsidRDefault="00000000" w:rsidRPr="00000000" w14:paraId="00000126">
            <w:pPr>
              <w:spacing w:after="0" w:lineRule="auto"/>
              <w:rPr>
                <w:highlight w:val="white"/>
              </w:rPr>
            </w:pPr>
            <w:r w:rsidDel="00000000" w:rsidR="00000000" w:rsidRPr="00000000">
              <w:rPr>
                <w:highlight w:val="white"/>
                <w:rtl w:val="0"/>
              </w:rPr>
              <w:t xml:space="preserve">Perspective</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center"/>
          </w:tcPr>
          <w:p w:rsidR="00000000" w:rsidDel="00000000" w:rsidP="00000000" w:rsidRDefault="00000000" w:rsidRPr="00000000" w14:paraId="00000127">
            <w:pPr>
              <w:spacing w:after="0" w:lineRule="auto"/>
              <w:rPr>
                <w:highlight w:val="white"/>
              </w:rPr>
            </w:pPr>
            <w:r w:rsidDel="00000000" w:rsidR="00000000" w:rsidRPr="00000000">
              <w:rPr>
                <w:highlight w:val="white"/>
                <w:rtl w:val="0"/>
              </w:rPr>
              <w:t xml:space="preserve">2024 Report</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center"/>
          </w:tcPr>
          <w:p w:rsidR="00000000" w:rsidDel="00000000" w:rsidP="00000000" w:rsidRDefault="00000000" w:rsidRPr="00000000" w14:paraId="00000128">
            <w:pPr>
              <w:spacing w:after="0" w:lineRule="auto"/>
              <w:rPr>
                <w:highlight w:val="white"/>
              </w:rPr>
            </w:pPr>
            <w:r w:rsidDel="00000000" w:rsidR="00000000" w:rsidRPr="00000000">
              <w:rPr>
                <w:highlight w:val="white"/>
                <w:rtl w:val="0"/>
              </w:rPr>
              <w:t xml:space="preserve">2023 Report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9">
            <w:pPr>
              <w:spacing w:after="0" w:lineRule="auto"/>
              <w:rPr/>
            </w:pPr>
            <w:r w:rsidDel="00000000" w:rsidR="00000000" w:rsidRPr="00000000">
              <w:rPr>
                <w:rtl w:val="0"/>
              </w:rPr>
              <w:t xml:space="preserve">Comprehensive financial health</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company demonstrates mixed financial health with declining total assets from SGD 44,264.7M to SGD 43,086.8M and reduced shareholders' equity from SGD 16,744.6M to SGD 16,070.0M. However, total liabilities decreased from SGD 27,520.1M to SGD 27,016.8M. Cash flows show concerning trends with negative cash flow from operations declining to SGD 4,707.7M and significant negative financing cash flows of SGD -4,326.5M. Current ratio deteriorated to 81.66%, indicating potential liquidity concerns.</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Financial health showed improvement with total assets growing from SGD 49,101.2M to SGD 44,264.7M and shareholders' equity declining from SGD 20,249.8M to SGD 16,744.6M. Operating cash flows remained strong at SGD 5,042.1M despite declining from SGD 9,130.1M. Current ratio was healthy at 123.44%, and the company maintained reasonable liquidity positions with current assets of SGD 15,641.7M.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C">
            <w:pPr>
              <w:spacing w:after="0" w:lineRule="auto"/>
              <w:rPr/>
            </w:pPr>
            <w:r w:rsidDel="00000000" w:rsidR="00000000" w:rsidRPr="00000000">
              <w:rPr>
                <w:rtl w:val="0"/>
              </w:rPr>
              <w:t xml:space="preserve">Profitability and earnings quality</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Profitability showed resilience despite operational challenges. Net profit increased from SGD 2,674.8M to SGD 2,778.0M, with net profit margin improving slightly from 14.07% to 14.17%. However, operating margin collapsed from 14.35% to 8.75%, indicating significant operational inefficiencies. The effective tax rate decreased favorably from 11.26% to 5.15%, contributing positively to bottom-line performance despite weaker operating results.</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Profitability demonstrated strong performance with net profit growing from SGD 2,156.8M to SGD 2,674.8M and net profit margin improving from 12.13% to 14.07%. Operating margin remained strong at 14.35% compared to 15.15% in 2023, showing relatively stable operational performance. Effective tax rate decreased from 17.96% to 11.26%, contributing to improved profitability.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2F">
            <w:pPr>
              <w:spacing w:after="0" w:lineRule="auto"/>
              <w:rPr/>
            </w:pPr>
            <w:r w:rsidDel="00000000" w:rsidR="00000000" w:rsidRPr="00000000">
              <w:rPr>
                <w:rtl w:val="0"/>
              </w:rPr>
              <w:t xml:space="preserve">Operational efficiency</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Operational efficiency deteriorated significantly with operating income declining from SGD 2,727.5M to SGD 1,709.1M despite revenue growth from SGD 19,012.7M to SGD 19,539.8M. Asset turnover remained relatively stable at 44.74% compared to 40.73%. The Full-Service Carrier segment continued to dominate revenue at SGD 16,738.0M, while Engineering Services showed strong growth from SGD 1,094.2M to SGD 1,245.1M. However, the Low-Cost Carrier segment declined from SGD 2,445.5M to SGD 2,349.2M.</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Operational efficiency showed stable performance with operating income growing modestly from SGD 2,692.1M to SGD 2,727.5M alongside revenue growth from SGD 17,774.8M to SGD 19,012.7M. Asset turnover improved to 40.73%. The Full-Service Carrier segment grew from SGD 15,590.1M to SGD 16,177.1M, and Engineering Services expanded significantly from SGD 796.0M to SGD 1,094.2M. The Low-Cost Carrier segment showed strong growth from SGD 1,965.0M to SGD 2,445.5M.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2">
            <w:pPr>
              <w:spacing w:after="0" w:lineRule="auto"/>
              <w:rPr/>
            </w:pPr>
            <w:r w:rsidDel="00000000" w:rsidR="00000000" w:rsidRPr="00000000">
              <w:rPr>
                <w:rtl w:val="0"/>
              </w:rPr>
              <w:t xml:space="preserve">Financial risk identification and early warning</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Financial risks have escalated with deteriorating liquidity position as current ratio dropped to 81.66% and quick ratio to 78.40%. Debt-to-equity ratio increased to 168.12%, indicating higher leverage. Interest coverage weakened to 466.84% from 690.86%, though still adequate. Dividend payout ratio increased to 51.43%, raising concerns about cash retention. Negative financing cash flows of SGD -4,326.5M and declining operating cash flows signal potential cash flow stress.</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Financial risks were moderate with current ratio at a healthy 123.44% and quick ratio at 120.11%. Debt-to-equity ratio was manageable at 164.35%. Interest coverage was strong at 690.86%, providing adequate protection for debt service. Dividend payout ratio increased to 42.25% from 13.78%, indicating higher cash distribution. Operating cash flows were robust at SGD 5,042.1M, though declining from previous year.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5">
            <w:pPr>
              <w:spacing w:after="0" w:lineRule="auto"/>
              <w:rPr/>
            </w:pPr>
            <w:r w:rsidDel="00000000" w:rsidR="00000000" w:rsidRPr="00000000">
              <w:rPr>
                <w:rtl w:val="0"/>
              </w:rPr>
              <w:t xml:space="preserve">Future financial performance projection</w:t>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Future performance faces significant challenges with deteriorating operational efficiency and declining operating margins signaling potential earnings pressure. The sharp drop in operating income despite revenue growth suggests unsustainable cost inflation. Weakening liquidity ratios and increasing leverage pose financial stability risks. However, strong market position in Full-Service Carrier operations and growing Engineering Services provide potential upside. Tax efficiency improvements may continue supporting net profitability short-term, but operational fixes are critical for sustainable performance.</w:t>
            </w:r>
          </w:p>
        </w:tc>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spacing w:after="440" w:before="4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Future performance outlook appeared positive with consistent revenue growth trajectory and stable operating margins. Strong cash generation capabilities and improving profitability metrics suggested sustainable growth potential. Expanding Engineering Services and growing Low-Cost Carrier segments indicated successful diversification. Healthy liquidity positions and manageable debt levels provided financial flexibility for strategic investments and growth initiatives.</w:t>
            </w:r>
          </w:p>
        </w:tc>
      </w:tr>
    </w:tbl>
    <w:p w:rsidR="00000000" w:rsidDel="00000000" w:rsidP="00000000" w:rsidRDefault="00000000" w:rsidRPr="00000000" w14:paraId="00000138">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39">
      <w:pPr>
        <w:spacing w:after="180" w:before="180" w:lineRule="auto"/>
        <w:ind w:left="0" w:firstLine="0"/>
        <w:jc w:val="left"/>
        <w:rPr/>
      </w:pPr>
      <w:r w:rsidDel="00000000" w:rsidR="00000000" w:rsidRPr="00000000">
        <w:rPr>
          <w:b w:val="1"/>
          <w:i w:val="0"/>
          <w:color w:val="000000"/>
          <w:sz w:val="33"/>
          <w:szCs w:val="33"/>
          <w:rtl w:val="0"/>
        </w:rPr>
        <w:t xml:space="preserve">S3.3: Business Competitiveness</w:t>
      </w:r>
      <w:r w:rsidDel="00000000" w:rsidR="00000000" w:rsidRPr="00000000">
        <w:rPr>
          <w:rtl w:val="0"/>
        </w:rPr>
      </w:r>
    </w:p>
    <w:tbl>
      <w:tblPr>
        <w:tblStyle w:val="Table11"/>
        <w:tblW w:w="1074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200"/>
        <w:gridCol w:w="5010"/>
        <w:gridCol w:w="4530"/>
        <w:tblGridChange w:id="0">
          <w:tblGrid>
            <w:gridCol w:w="1200"/>
            <w:gridCol w:w="5010"/>
            <w:gridCol w:w="4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spacing w:after="0" w:before="0" w:lineRule="auto"/>
              <w:ind w:left="0" w:firstLine="0"/>
              <w:jc w:val="left"/>
              <w:rPr/>
            </w:pPr>
            <w:r w:rsidDel="00000000" w:rsidR="00000000" w:rsidRPr="00000000">
              <w:rPr>
                <w:b w:val="0"/>
                <w:i w:val="0"/>
                <w:color w:val="000000"/>
                <w:sz w:val="22"/>
                <w:szCs w:val="22"/>
                <w:rtl w:val="0"/>
              </w:rPr>
              <w:t xml:space="preserve">Business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after="0" w:before="0" w:lineRule="auto"/>
              <w:ind w:left="0" w:firstLine="0"/>
              <w:jc w:val="left"/>
              <w:rPr/>
            </w:pPr>
            <w:r w:rsidDel="00000000" w:rsidR="00000000" w:rsidRPr="00000000">
              <w:rPr>
                <w:b w:val="0"/>
                <w:i w:val="0"/>
                <w:color w:val="000000"/>
                <w:sz w:val="22"/>
                <w:szCs w:val="22"/>
                <w:rtl w:val="0"/>
              </w:rPr>
              <w:t xml:space="preserve">The primary business model of Singapore Airlines includes passenger, cargo, and mail transportation, engineering services, and retail through KrisShop. The company also operates a frequent flyer program, KrisFlyer, and a lifestyle rewards app, Kris+.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spacing w:after="0" w:before="0" w:lineRule="auto"/>
              <w:ind w:left="0" w:firstLine="0"/>
              <w:jc w:val="left"/>
              <w:rPr/>
            </w:pPr>
            <w:r w:rsidDel="00000000" w:rsidR="00000000" w:rsidRPr="00000000">
              <w:rPr>
                <w:b w:val="0"/>
                <w:i w:val="0"/>
                <w:color w:val="000000"/>
                <w:sz w:val="22"/>
                <w:szCs w:val="22"/>
                <w:rtl w:val="0"/>
              </w:rPr>
              <w:t xml:space="preserve">Singapore Airlines operates a diverse business model that includes passenger and cargo transportation, engineering services, and retail through KrisShop. The company also runs a frequent flyer program, KrisFlyer, and a lifestyle rewards app, Kris+.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spacing w:after="0" w:before="0" w:lineRule="auto"/>
              <w:ind w:left="0" w:firstLine="0"/>
              <w:jc w:val="left"/>
              <w:rPr/>
            </w:pPr>
            <w:r w:rsidDel="00000000" w:rsidR="00000000" w:rsidRPr="00000000">
              <w:rPr>
                <w:b w:val="0"/>
                <w:i w:val="0"/>
                <w:color w:val="000000"/>
                <w:sz w:val="22"/>
                <w:szCs w:val="22"/>
                <w:rtl w:val="0"/>
              </w:rPr>
              <w:t xml:space="preserve">Market 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spacing w:after="0" w:before="0" w:lineRule="auto"/>
              <w:ind w:left="0" w:firstLine="0"/>
              <w:jc w:val="left"/>
              <w:rPr/>
            </w:pPr>
            <w:r w:rsidDel="00000000" w:rsidR="00000000" w:rsidRPr="00000000">
              <w:rPr>
                <w:b w:val="0"/>
                <w:i w:val="0"/>
                <w:color w:val="000000"/>
                <w:sz w:val="22"/>
                <w:szCs w:val="22"/>
                <w:rtl w:val="0"/>
              </w:rPr>
              <w:t xml:space="preserve">Singapore Airlines maintains a leading position in the airline industry, leveraging its strong brand pillars of Service Excellence, Product Leadership, and Network Connectivity. The company continues to expand its route network and enhance its product offerings to maintain its market leadership.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spacing w:after="0" w:before="0" w:lineRule="auto"/>
              <w:ind w:left="0" w:firstLine="0"/>
              <w:jc w:val="left"/>
              <w:rPr/>
            </w:pPr>
            <w:r w:rsidDel="00000000" w:rsidR="00000000" w:rsidRPr="00000000">
              <w:rPr>
                <w:b w:val="0"/>
                <w:i w:val="0"/>
                <w:color w:val="000000"/>
                <w:sz w:val="22"/>
                <w:szCs w:val="22"/>
                <w:rtl w:val="0"/>
              </w:rPr>
              <w:t xml:space="preserve">Singapore Airlines aims to maintain its leading position in the airline industry by investing in brand pillars such as Service Excellence, Product Leadership, and Network Connectivity. The company continues to expand its route network and enhance its product offerings to maintain its market leadership.</w:t>
            </w:r>
            <w:r w:rsidDel="00000000" w:rsidR="00000000" w:rsidRPr="00000000">
              <w:rPr>
                <w:rtl w:val="0"/>
              </w:rPr>
            </w:r>
          </w:p>
        </w:tc>
      </w:tr>
    </w:tbl>
    <w:p w:rsidR="00000000" w:rsidDel="00000000" w:rsidP="00000000" w:rsidRDefault="00000000" w:rsidRPr="00000000" w14:paraId="00000143">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44">
      <w:pPr>
        <w:spacing w:after="161" w:before="161" w:lineRule="auto"/>
        <w:ind w:left="0" w:firstLine="0"/>
        <w:jc w:val="left"/>
        <w:rPr/>
      </w:pPr>
      <w:r w:rsidDel="00000000" w:rsidR="00000000" w:rsidRPr="00000000">
        <w:rPr>
          <w:b w:val="1"/>
          <w:i w:val="0"/>
          <w:color w:val="000000"/>
          <w:sz w:val="44"/>
          <w:szCs w:val="44"/>
          <w:rtl w:val="0"/>
        </w:rPr>
        <w:t xml:space="preserve">Section 4: Risk Factors</w:t>
      </w:r>
      <w:r w:rsidDel="00000000" w:rsidR="00000000" w:rsidRPr="00000000">
        <w:rPr>
          <w:rtl w:val="0"/>
        </w:rPr>
      </w:r>
    </w:p>
    <w:p w:rsidR="00000000" w:rsidDel="00000000" w:rsidP="00000000" w:rsidRDefault="00000000" w:rsidRPr="00000000" w14:paraId="00000145">
      <w:pPr>
        <w:spacing w:after="180" w:before="180" w:lineRule="auto"/>
        <w:ind w:left="0" w:firstLine="0"/>
        <w:jc w:val="left"/>
        <w:rPr/>
      </w:pPr>
      <w:r w:rsidDel="00000000" w:rsidR="00000000" w:rsidRPr="00000000">
        <w:rPr>
          <w:b w:val="1"/>
          <w:i w:val="0"/>
          <w:color w:val="000000"/>
          <w:sz w:val="33"/>
          <w:szCs w:val="33"/>
          <w:rtl w:val="0"/>
        </w:rPr>
        <w:t xml:space="preserve">S4.1: Risk Factors</w:t>
      </w:r>
      <w:r w:rsidDel="00000000" w:rsidR="00000000" w:rsidRPr="00000000">
        <w:rPr>
          <w:rtl w:val="0"/>
        </w:rPr>
      </w:r>
    </w:p>
    <w:tbl>
      <w:tblPr>
        <w:tblStyle w:val="Table12"/>
        <w:tblW w:w="1176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20"/>
        <w:gridCol w:w="4980"/>
        <w:gridCol w:w="5160"/>
        <w:tblGridChange w:id="0">
          <w:tblGrid>
            <w:gridCol w:w="1620"/>
            <w:gridCol w:w="4980"/>
            <w:gridCol w:w="5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spacing w:after="0" w:before="0" w:lineRule="auto"/>
              <w:ind w:left="0" w:firstLine="0"/>
              <w:jc w:val="left"/>
              <w:rPr/>
            </w:pPr>
            <w:r w:rsidDel="00000000" w:rsidR="00000000" w:rsidRPr="00000000">
              <w:rPr>
                <w:b w:val="0"/>
                <w:i w:val="0"/>
                <w:color w:val="000000"/>
                <w:sz w:val="22"/>
                <w:szCs w:val="22"/>
                <w:rtl w:val="0"/>
              </w:rPr>
              <w:t xml:space="preserve">Market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after="0" w:before="0" w:lineRule="auto"/>
              <w:ind w:left="0" w:firstLine="0"/>
              <w:jc w:val="left"/>
              <w:rPr/>
            </w:pPr>
            <w:r w:rsidDel="00000000" w:rsidR="00000000" w:rsidRPr="00000000">
              <w:rPr>
                <w:b w:val="0"/>
                <w:i w:val="0"/>
                <w:color w:val="000000"/>
                <w:sz w:val="22"/>
                <w:szCs w:val="22"/>
                <w:rtl w:val="0"/>
              </w:rPr>
              <w:t xml:space="preserve">The Group is exposed to market risks such as changes in jet fuel prices and foreign currency exchange rates. The Group uses derivatives to hedge specific exposures to moderate the effects of such volatility on its financial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spacing w:after="0" w:before="0" w:lineRule="auto"/>
              <w:ind w:left="0" w:firstLine="0"/>
              <w:jc w:val="left"/>
              <w:rPr/>
            </w:pPr>
            <w:r w:rsidDel="00000000" w:rsidR="00000000" w:rsidRPr="00000000">
              <w:rPr>
                <w:b w:val="0"/>
                <w:i w:val="0"/>
                <w:color w:val="000000"/>
                <w:sz w:val="22"/>
                <w:szCs w:val="22"/>
                <w:rtl w:val="0"/>
              </w:rPr>
              <w:t xml:space="preserve">The Group faces market risks including changes in jet fuel prices and foreign currency exchange rates. Derivatives are used to hedge specific exposures to moderate the effects of such volatility on financial performance.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spacing w:after="0" w:before="0" w:lineRule="auto"/>
              <w:ind w:left="0" w:firstLine="0"/>
              <w:jc w:val="left"/>
              <w:rPr/>
            </w:pPr>
            <w:r w:rsidDel="00000000" w:rsidR="00000000" w:rsidRPr="00000000">
              <w:rPr>
                <w:b w:val="0"/>
                <w:i w:val="0"/>
                <w:color w:val="000000"/>
                <w:sz w:val="22"/>
                <w:szCs w:val="22"/>
                <w:rtl w:val="0"/>
              </w:rPr>
              <w:t xml:space="preserve">Operational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spacing w:after="0" w:before="0" w:lineRule="auto"/>
              <w:ind w:left="0" w:firstLine="0"/>
              <w:jc w:val="left"/>
              <w:rPr/>
            </w:pPr>
            <w:r w:rsidDel="00000000" w:rsidR="00000000" w:rsidRPr="00000000">
              <w:rPr>
                <w:b w:val="0"/>
                <w:i w:val="0"/>
                <w:color w:val="000000"/>
                <w:sz w:val="22"/>
                <w:szCs w:val="22"/>
                <w:rtl w:val="0"/>
              </w:rPr>
              <w:t xml:space="preserve">The Group is committed to ensuring resilience on all operational fronts, enhancing operational efficiency through innovation and regular process reviews, with safety and security being the top 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spacing w:after="0" w:before="0" w:lineRule="auto"/>
              <w:ind w:left="0" w:firstLine="0"/>
              <w:jc w:val="left"/>
              <w:rPr/>
            </w:pPr>
            <w:r w:rsidDel="00000000" w:rsidR="00000000" w:rsidRPr="00000000">
              <w:rPr>
                <w:b w:val="0"/>
                <w:i w:val="0"/>
                <w:color w:val="000000"/>
                <w:sz w:val="22"/>
                <w:szCs w:val="22"/>
                <w:rtl w:val="0"/>
              </w:rPr>
              <w:t xml:space="preserve">The Group is committed to ensuring resilience on all operational fronts, enhancing operational efficiency through innovation and regular process reviews, with safety and security being the top priority.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spacing w:after="0" w:before="0" w:lineRule="auto"/>
              <w:ind w:left="0" w:firstLine="0"/>
              <w:jc w:val="left"/>
              <w:rPr/>
            </w:pPr>
            <w:r w:rsidDel="00000000" w:rsidR="00000000" w:rsidRPr="00000000">
              <w:rPr>
                <w:b w:val="0"/>
                <w:i w:val="0"/>
                <w:color w:val="000000"/>
                <w:sz w:val="22"/>
                <w:szCs w:val="22"/>
                <w:rtl w:val="0"/>
              </w:rPr>
              <w:t xml:space="preserve">Financial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spacing w:after="0" w:before="0" w:lineRule="auto"/>
              <w:ind w:left="0" w:firstLine="0"/>
              <w:jc w:val="left"/>
              <w:rPr/>
            </w:pPr>
            <w:r w:rsidDel="00000000" w:rsidR="00000000" w:rsidRPr="00000000">
              <w:rPr>
                <w:b w:val="0"/>
                <w:i w:val="0"/>
                <w:color w:val="000000"/>
                <w:sz w:val="22"/>
                <w:szCs w:val="22"/>
                <w:rtl w:val="0"/>
              </w:rPr>
              <w:t xml:space="preserve">The Group's financial risks include changes in jet fuel prices, foreign currency exchange rates, interest rates, and the market value of financial investments. The Group uses derivatives to hedge specific exposures and ensures access to diverse sources of funding.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spacing w:after="0" w:before="0" w:lineRule="auto"/>
              <w:ind w:left="0" w:firstLine="0"/>
              <w:jc w:val="left"/>
              <w:rPr/>
            </w:pPr>
            <w:r w:rsidDel="00000000" w:rsidR="00000000" w:rsidRPr="00000000">
              <w:rPr>
                <w:b w:val="0"/>
                <w:i w:val="0"/>
                <w:color w:val="000000"/>
                <w:sz w:val="22"/>
                <w:szCs w:val="22"/>
                <w:rtl w:val="0"/>
              </w:rPr>
              <w:t xml:space="preserve">The Group's financial risks include changes in jet fuel prices, foreign currency exchange rates, interest rates, and the market value of financial investments. The Group uses derivatives to hedge specific exposures and ensures access to diverse sources of funding.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spacing w:after="0" w:before="0" w:lineRule="auto"/>
              <w:ind w:left="0" w:firstLine="0"/>
              <w:jc w:val="left"/>
              <w:rPr/>
            </w:pPr>
            <w:r w:rsidDel="00000000" w:rsidR="00000000" w:rsidRPr="00000000">
              <w:rPr>
                <w:b w:val="0"/>
                <w:i w:val="0"/>
                <w:color w:val="000000"/>
                <w:sz w:val="22"/>
                <w:szCs w:val="22"/>
                <w:rtl w:val="0"/>
              </w:rPr>
              <w:t xml:space="preserve">Compliance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spacing w:after="0" w:before="0" w:lineRule="auto"/>
              <w:ind w:left="0" w:firstLine="0"/>
              <w:jc w:val="left"/>
              <w:rPr/>
            </w:pPr>
            <w:r w:rsidDel="00000000" w:rsidR="00000000" w:rsidRPr="00000000">
              <w:rPr>
                <w:b w:val="0"/>
                <w:i w:val="0"/>
                <w:color w:val="000000"/>
                <w:sz w:val="22"/>
                <w:szCs w:val="22"/>
                <w:rtl w:val="0"/>
              </w:rPr>
              <w:t xml:space="preserve">The Group is committed to complying with applicable laws and regulatory requirements and conducting business with integrity, transparency, and honesty.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spacing w:after="0" w:before="0" w:lineRule="auto"/>
              <w:ind w:left="0" w:firstLine="0"/>
              <w:jc w:val="left"/>
              <w:rPr/>
            </w:pPr>
            <w:r w:rsidDel="00000000" w:rsidR="00000000" w:rsidRPr="00000000">
              <w:rPr>
                <w:b w:val="0"/>
                <w:i w:val="0"/>
                <w:color w:val="000000"/>
                <w:sz w:val="22"/>
                <w:szCs w:val="22"/>
                <w:rtl w:val="0"/>
              </w:rPr>
              <w:t xml:space="preserve">The Group is committed to complying with applicable laws and regulatory requirements and conducting business with integrity, transparency, and honesty.</w:t>
            </w:r>
            <w:r w:rsidDel="00000000" w:rsidR="00000000" w:rsidRPr="00000000">
              <w:rPr>
                <w:rtl w:val="0"/>
              </w:rPr>
            </w:r>
          </w:p>
        </w:tc>
      </w:tr>
    </w:tbl>
    <w:p w:rsidR="00000000" w:rsidDel="00000000" w:rsidP="00000000" w:rsidRDefault="00000000" w:rsidRPr="00000000" w14:paraId="0000015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56">
      <w:pPr>
        <w:spacing w:after="161" w:before="161" w:lineRule="auto"/>
        <w:ind w:left="0" w:firstLine="0"/>
        <w:jc w:val="left"/>
        <w:rPr/>
      </w:pPr>
      <w:r w:rsidDel="00000000" w:rsidR="00000000" w:rsidRPr="00000000">
        <w:rPr>
          <w:b w:val="1"/>
          <w:i w:val="0"/>
          <w:color w:val="000000"/>
          <w:sz w:val="44"/>
          <w:szCs w:val="44"/>
          <w:rtl w:val="0"/>
        </w:rPr>
        <w:t xml:space="preserve">Section 5: Corporate Governance</w:t>
      </w:r>
      <w:r w:rsidDel="00000000" w:rsidR="00000000" w:rsidRPr="00000000">
        <w:rPr>
          <w:rtl w:val="0"/>
        </w:rPr>
      </w:r>
    </w:p>
    <w:p w:rsidR="00000000" w:rsidDel="00000000" w:rsidP="00000000" w:rsidRDefault="00000000" w:rsidRPr="00000000" w14:paraId="00000157">
      <w:pPr>
        <w:spacing w:after="180" w:before="180" w:lineRule="auto"/>
        <w:ind w:left="0" w:firstLine="0"/>
        <w:jc w:val="left"/>
        <w:rPr/>
      </w:pPr>
      <w:r w:rsidDel="00000000" w:rsidR="00000000" w:rsidRPr="00000000">
        <w:rPr>
          <w:b w:val="1"/>
          <w:i w:val="0"/>
          <w:color w:val="000000"/>
          <w:sz w:val="33"/>
          <w:szCs w:val="33"/>
          <w:rtl w:val="0"/>
        </w:rPr>
        <w:t xml:space="preserve">S5.1: Board Composition</w:t>
      </w:r>
      <w:r w:rsidDel="00000000" w:rsidR="00000000" w:rsidRPr="00000000">
        <w:rPr>
          <w:rtl w:val="0"/>
        </w:rPr>
      </w:r>
    </w:p>
    <w:tbl>
      <w:tblPr>
        <w:tblStyle w:val="Table13"/>
        <w:tblW w:w="7296.999999999999"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708"/>
        <w:gridCol w:w="3030"/>
        <w:gridCol w:w="1559"/>
        <w:tblGridChange w:id="0">
          <w:tblGrid>
            <w:gridCol w:w="2708"/>
            <w:gridCol w:w="3030"/>
            <w:gridCol w:w="155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before="0" w:lineRule="auto"/>
              <w:ind w:left="0" w:firstLine="0"/>
              <w:jc w:val="left"/>
              <w:rPr/>
            </w:pPr>
            <w:r w:rsidDel="00000000" w:rsidR="00000000" w:rsidRPr="00000000">
              <w:rPr>
                <w:b w:val="1"/>
                <w:i w:val="0"/>
                <w:color w:val="000000"/>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spacing w:after="0" w:before="0" w:lineRule="auto"/>
              <w:ind w:left="0" w:firstLine="0"/>
              <w:jc w:val="left"/>
              <w:rPr/>
            </w:pPr>
            <w:r w:rsidDel="00000000" w:rsidR="00000000" w:rsidRPr="00000000">
              <w:rPr>
                <w:b w:val="1"/>
                <w:i w:val="0"/>
                <w:color w:val="000000"/>
                <w:sz w:val="22"/>
                <w:szCs w:val="22"/>
                <w:rtl w:val="0"/>
              </w:rPr>
              <w:t xml:space="preserve">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spacing w:after="0" w:before="0" w:lineRule="auto"/>
              <w:ind w:left="0" w:firstLine="0"/>
              <w:jc w:val="left"/>
              <w:rPr/>
            </w:pPr>
            <w:r w:rsidDel="00000000" w:rsidR="00000000" w:rsidRPr="00000000">
              <w:rPr>
                <w:b w:val="1"/>
                <w:i w:val="0"/>
                <w:color w:val="000000"/>
                <w:sz w:val="22"/>
                <w:szCs w:val="22"/>
                <w:rtl w:val="0"/>
              </w:rPr>
              <w:t xml:space="preserve">Total Income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spacing w:after="0" w:before="0" w:lineRule="auto"/>
              <w:ind w:left="0" w:firstLine="0"/>
              <w:jc w:val="left"/>
              <w:rPr/>
            </w:pPr>
            <w:r w:rsidDel="00000000" w:rsidR="00000000" w:rsidRPr="00000000">
              <w:rPr>
                <w:b w:val="0"/>
                <w:i w:val="0"/>
                <w:color w:val="000000"/>
                <w:sz w:val="22"/>
                <w:szCs w:val="22"/>
                <w:rtl w:val="0"/>
              </w:rPr>
              <w:t xml:space="preserve">Peter Seah Lim Huat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after="0" w:before="0" w:lineRule="auto"/>
              <w:ind w:left="0" w:firstLine="0"/>
              <w:jc w:val="left"/>
              <w:rPr/>
            </w:pPr>
            <w:r w:rsidDel="00000000" w:rsidR="00000000" w:rsidRPr="00000000">
              <w:rPr>
                <w:b w:val="0"/>
                <w:i w:val="0"/>
                <w:color w:val="000000"/>
                <w:sz w:val="22"/>
                <w:szCs w:val="22"/>
                <w:rtl w:val="0"/>
              </w:rPr>
              <w:t xml:space="preserve">Chairman (Independent)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0" w:before="0" w:lineRule="auto"/>
              <w:ind w:left="0" w:firstLine="0"/>
              <w:jc w:val="left"/>
              <w:rPr/>
            </w:pPr>
            <w:r w:rsidDel="00000000" w:rsidR="00000000" w:rsidRPr="00000000">
              <w:rPr>
                <w:b w:val="0"/>
                <w:i w:val="0"/>
                <w:color w:val="000000"/>
                <w:sz w:val="22"/>
                <w:szCs w:val="22"/>
                <w:rtl w:val="0"/>
              </w:rPr>
              <w:t xml:space="preserve">$824,123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spacing w:after="0" w:before="0" w:lineRule="auto"/>
              <w:ind w:left="0" w:firstLine="0"/>
              <w:jc w:val="left"/>
              <w:rPr/>
            </w:pPr>
            <w:r w:rsidDel="00000000" w:rsidR="00000000" w:rsidRPr="00000000">
              <w:rPr>
                <w:b w:val="0"/>
                <w:i w:val="0"/>
                <w:color w:val="000000"/>
                <w:sz w:val="22"/>
                <w:szCs w:val="22"/>
                <w:rtl w:val="0"/>
              </w:rPr>
              <w:t xml:space="preserve">Goh Choon Phong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spacing w:after="0" w:before="0" w:lineRule="auto"/>
              <w:ind w:left="0" w:firstLine="0"/>
              <w:jc w:val="left"/>
              <w:rPr/>
            </w:pPr>
            <w:r w:rsidDel="00000000" w:rsidR="00000000" w:rsidRPr="00000000">
              <w:rPr>
                <w:b w:val="0"/>
                <w:i w:val="0"/>
                <w:color w:val="000000"/>
                <w:sz w:val="22"/>
                <w:szCs w:val="22"/>
                <w:rtl w:val="0"/>
              </w:rPr>
              <w:t xml:space="preserve">Chief Executive Officer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0" w:before="0" w:lineRule="auto"/>
              <w:ind w:left="0" w:firstLine="0"/>
              <w:jc w:val="left"/>
              <w:rPr/>
            </w:pPr>
            <w:r w:rsidDel="00000000" w:rsidR="00000000" w:rsidRPr="00000000">
              <w:rPr>
                <w:b w:val="0"/>
                <w:i w:val="0"/>
                <w:color w:val="000000"/>
                <w:sz w:val="22"/>
                <w:szCs w:val="22"/>
                <w:rtl w:val="0"/>
              </w:rPr>
              <w:t xml:space="preserve">$7,013,495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before="0" w:lineRule="auto"/>
              <w:ind w:left="0" w:firstLine="0"/>
              <w:jc w:val="left"/>
              <w:rPr/>
            </w:pPr>
            <w:r w:rsidDel="00000000" w:rsidR="00000000" w:rsidRPr="00000000">
              <w:rPr>
                <w:b w:val="0"/>
                <w:i w:val="0"/>
                <w:color w:val="000000"/>
                <w:sz w:val="22"/>
                <w:szCs w:val="22"/>
                <w:rtl w:val="0"/>
              </w:rPr>
              <w:t xml:space="preserve">Gautam Banerjee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spacing w:after="0" w:before="0" w:lineRule="auto"/>
              <w:ind w:left="0" w:firstLine="0"/>
              <w:jc w:val="left"/>
              <w:rPr/>
            </w:pPr>
            <w:r w:rsidDel="00000000" w:rsidR="00000000" w:rsidRPr="00000000">
              <w:rPr>
                <w:b w:val="0"/>
                <w:i w:val="0"/>
                <w:color w:val="000000"/>
                <w:sz w:val="22"/>
                <w:szCs w:val="22"/>
                <w:rtl w:val="0"/>
              </w:rPr>
              <w:t xml:space="preserve">Director (Non-Independent)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spacing w:after="0" w:before="0" w:lineRule="auto"/>
              <w:ind w:left="0" w:firstLine="0"/>
              <w:jc w:val="left"/>
              <w:rPr/>
            </w:pPr>
            <w:r w:rsidDel="00000000" w:rsidR="00000000" w:rsidRPr="00000000">
              <w:rPr>
                <w:b w:val="0"/>
                <w:i w:val="0"/>
                <w:color w:val="000000"/>
                <w:sz w:val="22"/>
                <w:szCs w:val="22"/>
                <w:rtl w:val="0"/>
              </w:rPr>
              <w:t xml:space="preserve">$190,000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spacing w:after="0" w:before="0" w:lineRule="auto"/>
              <w:ind w:left="0" w:firstLine="0"/>
              <w:jc w:val="left"/>
              <w:rPr/>
            </w:pPr>
            <w:r w:rsidDel="00000000" w:rsidR="00000000" w:rsidRPr="00000000">
              <w:rPr>
                <w:b w:val="0"/>
                <w:i w:val="0"/>
                <w:color w:val="000000"/>
                <w:sz w:val="22"/>
                <w:szCs w:val="22"/>
                <w:rtl w:val="0"/>
              </w:rPr>
              <w:t xml:space="preserve">Simon Cheong Sae Peng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spacing w:after="0" w:before="0" w:lineRule="auto"/>
              <w:ind w:left="0" w:firstLine="0"/>
              <w:jc w:val="left"/>
              <w:rPr/>
            </w:pPr>
            <w:r w:rsidDel="00000000" w:rsidR="00000000" w:rsidRPr="00000000">
              <w:rPr>
                <w:b w:val="0"/>
                <w:i w:val="0"/>
                <w:color w:val="000000"/>
                <w:sz w:val="22"/>
                <w:szCs w:val="22"/>
                <w:rtl w:val="0"/>
              </w:rPr>
              <w:t xml:space="preserve">Director (Independent)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spacing w:after="0" w:before="0" w:lineRule="auto"/>
              <w:ind w:left="0" w:firstLine="0"/>
              <w:jc w:val="left"/>
              <w:rPr/>
            </w:pPr>
            <w:r w:rsidDel="00000000" w:rsidR="00000000" w:rsidRPr="00000000">
              <w:rPr>
                <w:b w:val="0"/>
                <w:i w:val="0"/>
                <w:color w:val="000000"/>
                <w:sz w:val="22"/>
                <w:szCs w:val="22"/>
                <w:rtl w:val="0"/>
              </w:rPr>
              <w:t xml:space="preserve">$184,288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spacing w:after="0" w:before="0" w:lineRule="auto"/>
              <w:ind w:left="0" w:firstLine="0"/>
              <w:jc w:val="left"/>
              <w:rPr/>
            </w:pPr>
            <w:r w:rsidDel="00000000" w:rsidR="00000000" w:rsidRPr="00000000">
              <w:rPr>
                <w:b w:val="0"/>
                <w:i w:val="0"/>
                <w:color w:val="000000"/>
                <w:sz w:val="22"/>
                <w:szCs w:val="22"/>
                <w:rtl w:val="0"/>
              </w:rPr>
              <w:t xml:space="preserve">David John Gledhill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spacing w:after="0" w:before="0" w:lineRule="auto"/>
              <w:ind w:left="0" w:firstLine="0"/>
              <w:jc w:val="left"/>
              <w:rPr/>
            </w:pPr>
            <w:r w:rsidDel="00000000" w:rsidR="00000000" w:rsidRPr="00000000">
              <w:rPr>
                <w:b w:val="0"/>
                <w:i w:val="0"/>
                <w:color w:val="000000"/>
                <w:sz w:val="22"/>
                <w:szCs w:val="22"/>
                <w:rtl w:val="0"/>
              </w:rPr>
              <w:t xml:space="preserve">Director (Independent)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spacing w:after="0" w:before="0" w:lineRule="auto"/>
              <w:ind w:left="0" w:firstLine="0"/>
              <w:jc w:val="left"/>
              <w:rPr/>
            </w:pPr>
            <w:r w:rsidDel="00000000" w:rsidR="00000000" w:rsidRPr="00000000">
              <w:rPr>
                <w:b w:val="0"/>
                <w:i w:val="0"/>
                <w:color w:val="000000"/>
                <w:sz w:val="22"/>
                <w:szCs w:val="22"/>
                <w:rtl w:val="0"/>
              </w:rPr>
              <w:t xml:space="preserve">$237,000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0" w:before="0" w:lineRule="auto"/>
              <w:ind w:left="0" w:firstLine="0"/>
              <w:jc w:val="left"/>
              <w:rPr/>
            </w:pPr>
            <w:r w:rsidDel="00000000" w:rsidR="00000000" w:rsidRPr="00000000">
              <w:rPr>
                <w:b w:val="0"/>
                <w:i w:val="0"/>
                <w:color w:val="000000"/>
                <w:sz w:val="22"/>
                <w:szCs w:val="22"/>
                <w:rtl w:val="0"/>
              </w:rPr>
              <w:t xml:space="preserve">Goh Swee Chen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spacing w:after="0" w:before="0" w:lineRule="auto"/>
              <w:ind w:left="0" w:firstLine="0"/>
              <w:jc w:val="left"/>
              <w:rPr/>
            </w:pPr>
            <w:r w:rsidDel="00000000" w:rsidR="00000000" w:rsidRPr="00000000">
              <w:rPr>
                <w:b w:val="0"/>
                <w:i w:val="0"/>
                <w:color w:val="000000"/>
                <w:sz w:val="22"/>
                <w:szCs w:val="22"/>
                <w:rtl w:val="0"/>
              </w:rPr>
              <w:t xml:space="preserve">Director (Independent)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spacing w:after="0" w:before="0" w:lineRule="auto"/>
              <w:ind w:left="0" w:firstLine="0"/>
              <w:jc w:val="left"/>
              <w:rPr/>
            </w:pPr>
            <w:r w:rsidDel="00000000" w:rsidR="00000000" w:rsidRPr="00000000">
              <w:rPr>
                <w:b w:val="0"/>
                <w:i w:val="0"/>
                <w:color w:val="000000"/>
                <w:sz w:val="22"/>
                <w:szCs w:val="22"/>
                <w:rtl w:val="0"/>
              </w:rPr>
              <w:t xml:space="preserve">$188,357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spacing w:after="0" w:before="0" w:lineRule="auto"/>
              <w:ind w:left="0" w:firstLine="0"/>
              <w:jc w:val="left"/>
              <w:rPr/>
            </w:pPr>
            <w:r w:rsidDel="00000000" w:rsidR="00000000" w:rsidRPr="00000000">
              <w:rPr>
                <w:b w:val="0"/>
                <w:i w:val="0"/>
                <w:color w:val="000000"/>
                <w:sz w:val="22"/>
                <w:szCs w:val="22"/>
                <w:rtl w:val="0"/>
              </w:rPr>
              <w:t xml:space="preserve">Dominic Ho Chiu Fai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spacing w:after="0" w:before="0" w:lineRule="auto"/>
              <w:ind w:left="0" w:firstLine="0"/>
              <w:jc w:val="left"/>
              <w:rPr/>
            </w:pPr>
            <w:r w:rsidDel="00000000" w:rsidR="00000000" w:rsidRPr="00000000">
              <w:rPr>
                <w:b w:val="0"/>
                <w:i w:val="0"/>
                <w:color w:val="000000"/>
                <w:sz w:val="22"/>
                <w:szCs w:val="22"/>
                <w:rtl w:val="0"/>
              </w:rPr>
              <w:t xml:space="preserve">Director (Independent)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spacing w:after="0" w:before="0" w:lineRule="auto"/>
              <w:ind w:left="0" w:firstLine="0"/>
              <w:jc w:val="left"/>
              <w:rPr/>
            </w:pPr>
            <w:r w:rsidDel="00000000" w:rsidR="00000000" w:rsidRPr="00000000">
              <w:rPr>
                <w:b w:val="0"/>
                <w:i w:val="0"/>
                <w:color w:val="000000"/>
                <w:sz w:val="22"/>
                <w:szCs w:val="22"/>
                <w:rtl w:val="0"/>
              </w:rPr>
              <w:t xml:space="preserve">$271,678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spacing w:after="0" w:before="0" w:lineRule="auto"/>
              <w:ind w:left="0" w:firstLine="0"/>
              <w:jc w:val="left"/>
              <w:rPr/>
            </w:pPr>
            <w:r w:rsidDel="00000000" w:rsidR="00000000" w:rsidRPr="00000000">
              <w:rPr>
                <w:b w:val="0"/>
                <w:i w:val="0"/>
                <w:color w:val="000000"/>
                <w:sz w:val="22"/>
                <w:szCs w:val="22"/>
                <w:rtl w:val="0"/>
              </w:rPr>
              <w:t xml:space="preserve">Lee Kim Shin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spacing w:after="0" w:before="0" w:lineRule="auto"/>
              <w:ind w:left="0" w:firstLine="0"/>
              <w:jc w:val="left"/>
              <w:rPr/>
            </w:pPr>
            <w:r w:rsidDel="00000000" w:rsidR="00000000" w:rsidRPr="00000000">
              <w:rPr>
                <w:b w:val="0"/>
                <w:i w:val="0"/>
                <w:color w:val="000000"/>
                <w:sz w:val="22"/>
                <w:szCs w:val="22"/>
                <w:rtl w:val="0"/>
              </w:rPr>
              <w:t xml:space="preserve">Director (Independent)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spacing w:after="0" w:before="0" w:lineRule="auto"/>
              <w:ind w:left="0" w:firstLine="0"/>
              <w:jc w:val="left"/>
              <w:rPr/>
            </w:pPr>
            <w:r w:rsidDel="00000000" w:rsidR="00000000" w:rsidRPr="00000000">
              <w:rPr>
                <w:b w:val="0"/>
                <w:i w:val="0"/>
                <w:color w:val="000000"/>
                <w:sz w:val="22"/>
                <w:szCs w:val="22"/>
                <w:rtl w:val="0"/>
              </w:rPr>
              <w:t xml:space="preserve">$171,492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spacing w:after="0" w:before="0" w:lineRule="auto"/>
              <w:ind w:left="0" w:firstLine="0"/>
              <w:jc w:val="left"/>
              <w:rPr/>
            </w:pPr>
            <w:r w:rsidDel="00000000" w:rsidR="00000000" w:rsidRPr="00000000">
              <w:rPr>
                <w:b w:val="0"/>
                <w:i w:val="0"/>
                <w:color w:val="000000"/>
                <w:sz w:val="22"/>
                <w:szCs w:val="22"/>
                <w:rtl w:val="0"/>
              </w:rPr>
              <w:t xml:space="preserve">Jeanette Wong Kai Yuan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after="0" w:before="0" w:lineRule="auto"/>
              <w:ind w:left="0" w:firstLine="0"/>
              <w:jc w:val="left"/>
              <w:rPr/>
            </w:pPr>
            <w:r w:rsidDel="00000000" w:rsidR="00000000" w:rsidRPr="00000000">
              <w:rPr>
                <w:b w:val="0"/>
                <w:i w:val="0"/>
                <w:color w:val="000000"/>
                <w:sz w:val="22"/>
                <w:szCs w:val="22"/>
                <w:rtl w:val="0"/>
              </w:rPr>
              <w:t xml:space="preserve">Director (Independent)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after="0" w:before="0" w:lineRule="auto"/>
              <w:ind w:left="0" w:firstLine="0"/>
              <w:jc w:val="left"/>
              <w:rPr/>
            </w:pPr>
            <w:r w:rsidDel="00000000" w:rsidR="00000000" w:rsidRPr="00000000">
              <w:rPr>
                <w:b w:val="0"/>
                <w:i w:val="0"/>
                <w:color w:val="000000"/>
                <w:sz w:val="22"/>
                <w:szCs w:val="22"/>
                <w:rtl w:val="0"/>
              </w:rPr>
              <w:t xml:space="preserve">$183,998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spacing w:after="0" w:before="0" w:lineRule="auto"/>
              <w:ind w:left="0" w:firstLine="0"/>
              <w:jc w:val="left"/>
              <w:rPr/>
            </w:pPr>
            <w:r w:rsidDel="00000000" w:rsidR="00000000" w:rsidRPr="00000000">
              <w:rPr>
                <w:b w:val="0"/>
                <w:i w:val="0"/>
                <w:color w:val="000000"/>
                <w:sz w:val="22"/>
                <w:szCs w:val="22"/>
                <w:rtl w:val="0"/>
              </w:rPr>
              <w:t xml:space="preserve">Yeoh Oon Jin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after="0" w:before="0" w:lineRule="auto"/>
              <w:ind w:left="0" w:firstLine="0"/>
              <w:jc w:val="left"/>
              <w:rPr/>
            </w:pPr>
            <w:r w:rsidDel="00000000" w:rsidR="00000000" w:rsidRPr="00000000">
              <w:rPr>
                <w:b w:val="0"/>
                <w:i w:val="0"/>
                <w:color w:val="000000"/>
                <w:sz w:val="22"/>
                <w:szCs w:val="22"/>
                <w:rtl w:val="0"/>
              </w:rPr>
              <w:t xml:space="preserve">Director (Independent)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spacing w:after="0" w:before="0" w:lineRule="auto"/>
              <w:ind w:left="0" w:firstLine="0"/>
              <w:jc w:val="left"/>
              <w:rPr/>
            </w:pPr>
            <w:r w:rsidDel="00000000" w:rsidR="00000000" w:rsidRPr="00000000">
              <w:rPr>
                <w:b w:val="0"/>
                <w:i w:val="0"/>
                <w:color w:val="000000"/>
                <w:sz w:val="22"/>
                <w:szCs w:val="22"/>
                <w:rtl w:val="0"/>
              </w:rPr>
              <w:t xml:space="preserve">$218,998</w:t>
            </w:r>
            <w:r w:rsidDel="00000000" w:rsidR="00000000" w:rsidRPr="00000000">
              <w:rPr>
                <w:rtl w:val="0"/>
              </w:rPr>
            </w:r>
          </w:p>
        </w:tc>
      </w:tr>
    </w:tbl>
    <w:p w:rsidR="00000000" w:rsidDel="00000000" w:rsidP="00000000" w:rsidRDefault="00000000" w:rsidRPr="00000000" w14:paraId="00000179">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7A">
      <w:pPr>
        <w:spacing w:after="180" w:before="180" w:lineRule="auto"/>
        <w:ind w:left="0" w:firstLine="0"/>
        <w:jc w:val="left"/>
        <w:rPr/>
      </w:pPr>
      <w:r w:rsidDel="00000000" w:rsidR="00000000" w:rsidRPr="00000000">
        <w:rPr>
          <w:b w:val="1"/>
          <w:i w:val="0"/>
          <w:color w:val="000000"/>
          <w:sz w:val="33"/>
          <w:szCs w:val="33"/>
          <w:rtl w:val="0"/>
        </w:rPr>
        <w:t xml:space="preserve">S5.2: Internal Controls</w:t>
      </w:r>
      <w:r w:rsidDel="00000000" w:rsidR="00000000" w:rsidRPr="00000000">
        <w:rPr>
          <w:rtl w:val="0"/>
        </w:rPr>
      </w:r>
    </w:p>
    <w:tbl>
      <w:tblPr>
        <w:tblStyle w:val="Table14"/>
        <w:tblW w:w="1126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5"/>
        <w:gridCol w:w="4680"/>
        <w:gridCol w:w="4800"/>
        <w:tblGridChange w:id="0">
          <w:tblGrid>
            <w:gridCol w:w="1785"/>
            <w:gridCol w:w="4680"/>
            <w:gridCol w:w="48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after="0" w:before="0" w:lineRule="auto"/>
              <w:ind w:left="0" w:firstLine="0"/>
              <w:jc w:val="left"/>
              <w:rPr/>
            </w:pPr>
            <w:r w:rsidDel="00000000" w:rsidR="00000000" w:rsidRPr="00000000">
              <w:rPr>
                <w:b w:val="0"/>
                <w:i w:val="0"/>
                <w:color w:val="000000"/>
                <w:sz w:val="22"/>
                <w:szCs w:val="22"/>
                <w:rtl w:val="0"/>
              </w:rPr>
              <w:t xml:space="preserve">Risk assessment procedures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after="0" w:before="0" w:lineRule="auto"/>
              <w:ind w:left="0" w:firstLine="0"/>
              <w:jc w:val="left"/>
              <w:rPr/>
            </w:pPr>
            <w:r w:rsidDel="00000000" w:rsidR="00000000" w:rsidRPr="00000000">
              <w:rPr>
                <w:b w:val="0"/>
                <w:i w:val="0"/>
                <w:color w:val="000000"/>
                <w:sz w:val="22"/>
                <w:szCs w:val="22"/>
                <w:rtl w:val="0"/>
              </w:rPr>
              <w:t xml:space="preserve">The SIA Group employs a comprehensive risk management strategy based on the three lines of defense model. This includes ongoing reviews of risks and controls, simulation tests on crisis management, and a dedicated Risk Management Department.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spacing w:after="0" w:before="0" w:lineRule="auto"/>
              <w:ind w:left="0" w:firstLine="0"/>
              <w:jc w:val="left"/>
              <w:rPr/>
            </w:pPr>
            <w:r w:rsidDel="00000000" w:rsidR="00000000" w:rsidRPr="00000000">
              <w:rPr>
                <w:b w:val="0"/>
                <w:i w:val="0"/>
                <w:color w:val="000000"/>
                <w:sz w:val="22"/>
                <w:szCs w:val="22"/>
                <w:rtl w:val="0"/>
              </w:rPr>
              <w:t xml:space="preserve">The SIA Group uses a formalized Enterprise Risk Management Framework, which includes ongoing reviews of risks and controls, simulation tests on crisis management, and a dedicated Risk Management Department.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spacing w:after="0" w:before="0" w:lineRule="auto"/>
              <w:ind w:left="0" w:firstLine="0"/>
              <w:jc w:val="left"/>
              <w:rPr/>
            </w:pPr>
            <w:r w:rsidDel="00000000" w:rsidR="00000000" w:rsidRPr="00000000">
              <w:rPr>
                <w:b w:val="0"/>
                <w:i w:val="0"/>
                <w:color w:val="000000"/>
                <w:sz w:val="22"/>
                <w:szCs w:val="22"/>
                <w:rtl w:val="0"/>
              </w:rPr>
              <w:t xml:space="preserve">Control activities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2">
            <w:pPr>
              <w:spacing w:after="0" w:before="0" w:lineRule="auto"/>
              <w:ind w:left="0" w:firstLine="0"/>
              <w:jc w:val="left"/>
              <w:rPr/>
            </w:pPr>
            <w:r w:rsidDel="00000000" w:rsidR="00000000" w:rsidRPr="00000000">
              <w:rPr>
                <w:b w:val="0"/>
                <w:i w:val="0"/>
                <w:color w:val="000000"/>
                <w:sz w:val="22"/>
                <w:szCs w:val="22"/>
                <w:rtl w:val="0"/>
              </w:rPr>
              <w:t xml:space="preserve">The Group has established financial authorization and approval limits for various transactions, and the Board approves transactions exceeding materiality thresholds.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spacing w:after="0" w:before="0" w:lineRule="auto"/>
              <w:ind w:left="0" w:firstLine="0"/>
              <w:jc w:val="left"/>
              <w:rPr/>
            </w:pPr>
            <w:r w:rsidDel="00000000" w:rsidR="00000000" w:rsidRPr="00000000">
              <w:rPr>
                <w:b w:val="0"/>
                <w:i w:val="0"/>
                <w:color w:val="000000"/>
                <w:sz w:val="22"/>
                <w:szCs w:val="22"/>
                <w:rtl w:val="0"/>
              </w:rPr>
              <w:t xml:space="preserve">The Group has established financial authorization and approval limits for various transactions, and the Board approves transactions exceeding materiality thresholds.</w:t>
            </w:r>
            <w:r w:rsidDel="00000000" w:rsidR="00000000" w:rsidRPr="00000000">
              <w:rPr>
                <w:rtl w:val="0"/>
              </w:rPr>
            </w:r>
          </w:p>
        </w:tc>
      </w:tr>
      <w:tr>
        <w:trPr>
          <w:cantSplit w:val="0"/>
          <w:trHeight w:val="2894.25292968750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4">
            <w:pPr>
              <w:spacing w:after="0" w:before="0" w:lineRule="auto"/>
              <w:ind w:left="0" w:firstLine="0"/>
              <w:jc w:val="left"/>
              <w:rPr/>
            </w:pPr>
            <w:r w:rsidDel="00000000" w:rsidR="00000000" w:rsidRPr="00000000">
              <w:rPr>
                <w:b w:val="0"/>
                <w:i w:val="0"/>
                <w:color w:val="000000"/>
                <w:sz w:val="22"/>
                <w:szCs w:val="22"/>
                <w:rtl w:val="0"/>
              </w:rPr>
              <w:t xml:space="preserve">Monitoring mechanisms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spacing w:after="0" w:before="0" w:lineRule="auto"/>
              <w:ind w:left="0" w:firstLine="0"/>
              <w:jc w:val="left"/>
              <w:rPr/>
            </w:pPr>
            <w:r w:rsidDel="00000000" w:rsidR="00000000" w:rsidRPr="00000000">
              <w:rPr>
                <w:b w:val="0"/>
                <w:i w:val="0"/>
                <w:color w:val="000000"/>
                <w:sz w:val="22"/>
                <w:szCs w:val="22"/>
                <w:rtl w:val="0"/>
              </w:rPr>
              <w:t xml:space="preserve">The Audit Committee (AC) reviews the adequacy and effectiveness of internal controls and risk management systems. The Internal Audit Division conducts independent reviews and reports to the 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6">
            <w:pPr>
              <w:spacing w:after="0" w:before="0" w:lineRule="auto"/>
              <w:ind w:left="0" w:firstLine="0"/>
              <w:jc w:val="left"/>
              <w:rPr/>
            </w:pPr>
            <w:r w:rsidDel="00000000" w:rsidR="00000000" w:rsidRPr="00000000">
              <w:rPr>
                <w:b w:val="0"/>
                <w:i w:val="0"/>
                <w:color w:val="000000"/>
                <w:sz w:val="22"/>
                <w:szCs w:val="22"/>
                <w:rtl w:val="0"/>
              </w:rPr>
              <w:t xml:space="preserve">The Audit Committee (AC) reviews the adequacy and effectiveness of internal controls and risk management systems. The Internal Audit Division conducts independent reviews and reports to the AC.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spacing w:after="0" w:before="0" w:lineRule="auto"/>
              <w:ind w:left="0" w:firstLine="0"/>
              <w:jc w:val="left"/>
              <w:rPr/>
            </w:pPr>
            <w:r w:rsidDel="00000000" w:rsidR="00000000" w:rsidRPr="00000000">
              <w:rPr>
                <w:b w:val="0"/>
                <w:i w:val="0"/>
                <w:color w:val="000000"/>
                <w:sz w:val="22"/>
                <w:szCs w:val="22"/>
                <w:rtl w:val="0"/>
              </w:rPr>
              <w:t xml:space="preserve">Identified material weaknesses or deficiencies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8">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9">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spacing w:after="0" w:before="0" w:lineRule="auto"/>
              <w:ind w:left="0" w:firstLine="0"/>
              <w:jc w:val="left"/>
              <w:rPr/>
            </w:pPr>
            <w:r w:rsidDel="00000000" w:rsidR="00000000" w:rsidRPr="00000000">
              <w:rPr>
                <w:b w:val="0"/>
                <w:i w:val="0"/>
                <w:color w:val="000000"/>
                <w:sz w:val="22"/>
                <w:szCs w:val="22"/>
                <w:rtl w:val="0"/>
              </w:rPr>
              <w:t xml:space="preserve">Effectiveness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after="0" w:before="0" w:lineRule="auto"/>
              <w:ind w:left="0" w:firstLine="0"/>
              <w:jc w:val="left"/>
              <w:rPr/>
            </w:pPr>
            <w:r w:rsidDel="00000000" w:rsidR="00000000" w:rsidRPr="00000000">
              <w:rPr>
                <w:b w:val="0"/>
                <w:i w:val="0"/>
                <w:color w:val="000000"/>
                <w:sz w:val="22"/>
                <w:szCs w:val="22"/>
                <w:rtl w:val="0"/>
              </w:rPr>
              <w:t xml:space="preserve">The Board, with the concurrence of the BSRC and AC, is of the opinion that the Group’s risk management and internal control systems were adequate and effective as of 31 March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spacing w:after="0" w:before="0" w:lineRule="auto"/>
              <w:ind w:left="0" w:firstLine="0"/>
              <w:jc w:val="left"/>
              <w:rPr/>
            </w:pPr>
            <w:r w:rsidDel="00000000" w:rsidR="00000000" w:rsidRPr="00000000">
              <w:rPr>
                <w:b w:val="0"/>
                <w:i w:val="0"/>
                <w:color w:val="000000"/>
                <w:sz w:val="22"/>
                <w:szCs w:val="22"/>
                <w:rtl w:val="0"/>
              </w:rPr>
              <w:t xml:space="preserve">The Board, with the concurrence of the BSRC and AC, is of the opinion that the Group’s risk management and internal control systems were adequate and effective as of 31 March 2024.</w:t>
            </w:r>
            <w:r w:rsidDel="00000000" w:rsidR="00000000" w:rsidRPr="00000000">
              <w:rPr>
                <w:rtl w:val="0"/>
              </w:rPr>
            </w:r>
          </w:p>
        </w:tc>
      </w:tr>
    </w:tbl>
    <w:p w:rsidR="00000000" w:rsidDel="00000000" w:rsidP="00000000" w:rsidRDefault="00000000" w:rsidRPr="00000000" w14:paraId="0000018D">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8E">
      <w:pPr>
        <w:spacing w:after="161" w:before="161" w:lineRule="auto"/>
        <w:ind w:left="0" w:firstLine="0"/>
        <w:jc w:val="left"/>
        <w:rPr/>
      </w:pPr>
      <w:r w:rsidDel="00000000" w:rsidR="00000000" w:rsidRPr="00000000">
        <w:rPr>
          <w:b w:val="1"/>
          <w:i w:val="0"/>
          <w:color w:val="000000"/>
          <w:sz w:val="44"/>
          <w:szCs w:val="44"/>
          <w:rtl w:val="0"/>
        </w:rPr>
        <w:t xml:space="preserve">Section 6: Future Outlook</w:t>
      </w:r>
      <w:r w:rsidDel="00000000" w:rsidR="00000000" w:rsidRPr="00000000">
        <w:rPr>
          <w:rtl w:val="0"/>
        </w:rPr>
      </w:r>
    </w:p>
    <w:p w:rsidR="00000000" w:rsidDel="00000000" w:rsidP="00000000" w:rsidRDefault="00000000" w:rsidRPr="00000000" w14:paraId="0000018F">
      <w:pPr>
        <w:spacing w:after="180" w:before="180" w:lineRule="auto"/>
        <w:ind w:left="0" w:firstLine="0"/>
        <w:jc w:val="left"/>
        <w:rPr/>
      </w:pPr>
      <w:r w:rsidDel="00000000" w:rsidR="00000000" w:rsidRPr="00000000">
        <w:rPr>
          <w:b w:val="1"/>
          <w:i w:val="0"/>
          <w:color w:val="000000"/>
          <w:sz w:val="33"/>
          <w:szCs w:val="33"/>
          <w:rtl w:val="0"/>
        </w:rPr>
        <w:t xml:space="preserve">S6.1: Strategic Direction</w:t>
      </w:r>
      <w:r w:rsidDel="00000000" w:rsidR="00000000" w:rsidRPr="00000000">
        <w:rPr>
          <w:rtl w:val="0"/>
        </w:rPr>
      </w:r>
    </w:p>
    <w:tbl>
      <w:tblPr>
        <w:tblStyle w:val="Table15"/>
        <w:tblW w:w="1143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50"/>
        <w:gridCol w:w="4545"/>
        <w:gridCol w:w="4935"/>
        <w:tblGridChange w:id="0">
          <w:tblGrid>
            <w:gridCol w:w="1950"/>
            <w:gridCol w:w="4545"/>
            <w:gridCol w:w="49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spacing w:after="0" w:before="0" w:lineRule="auto"/>
              <w:ind w:left="0" w:firstLine="0"/>
              <w:jc w:val="left"/>
              <w:rPr/>
            </w:pPr>
            <w:r w:rsidDel="00000000" w:rsidR="00000000" w:rsidRPr="00000000">
              <w:rPr>
                <w:b w:val="0"/>
                <w:i w:val="0"/>
                <w:color w:val="000000"/>
                <w:sz w:val="22"/>
                <w:szCs w:val="22"/>
                <w:rtl w:val="0"/>
              </w:rPr>
              <w:t xml:space="preserve">Mergers and Acquisition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spacing w:after="0" w:before="0" w:lineRule="auto"/>
              <w:ind w:left="0" w:firstLine="0"/>
              <w:jc w:val="left"/>
              <w:rPr/>
            </w:pPr>
            <w:r w:rsidDel="00000000" w:rsidR="00000000" w:rsidRPr="00000000">
              <w:rPr>
                <w:b w:val="0"/>
                <w:i w:val="0"/>
                <w:color w:val="000000"/>
                <w:sz w:val="22"/>
                <w:szCs w:val="22"/>
                <w:rtl w:val="0"/>
              </w:rPr>
              <w:t xml:space="preserve">The report highlights the successful merger of Air India and Vistara, which strengthens SIA's presence in India. This merger is part of SIA's multi-hub strategy to expand its footprint in key growth markets.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spacing w:after="0" w:before="0" w:lineRule="auto"/>
              <w:ind w:left="0" w:firstLine="0"/>
              <w:jc w:val="left"/>
              <w:rPr/>
            </w:pPr>
            <w:r w:rsidDel="00000000" w:rsidR="00000000" w:rsidRPr="00000000">
              <w:rPr>
                <w:b w:val="0"/>
                <w:i w:val="0"/>
                <w:color w:val="000000"/>
                <w:sz w:val="22"/>
                <w:szCs w:val="22"/>
                <w:rtl w:val="0"/>
              </w:rPr>
              <w:t xml:space="preserve">The report discusses the merger of Air India and Vistara, which will give SIA a 25.1% stake in the expanded Air India group, enhancing its strategic position in the Indian aviation market.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0" w:before="0" w:lineRule="auto"/>
              <w:ind w:left="0" w:firstLine="0"/>
              <w:jc w:val="left"/>
              <w:rPr/>
            </w:pPr>
            <w:r w:rsidDel="00000000" w:rsidR="00000000" w:rsidRPr="00000000">
              <w:rPr>
                <w:b w:val="0"/>
                <w:i w:val="0"/>
                <w:color w:val="000000"/>
                <w:sz w:val="22"/>
                <w:szCs w:val="22"/>
                <w:rtl w:val="0"/>
              </w:rPr>
              <w:t xml:space="preserve">New technologies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spacing w:after="0" w:before="0" w:lineRule="auto"/>
              <w:ind w:left="0" w:firstLine="0"/>
              <w:jc w:val="left"/>
              <w:rPr/>
            </w:pPr>
            <w:r w:rsidDel="00000000" w:rsidR="00000000" w:rsidRPr="00000000">
              <w:rPr>
                <w:b w:val="0"/>
                <w:i w:val="0"/>
                <w:color w:val="000000"/>
                <w:sz w:val="22"/>
                <w:szCs w:val="22"/>
                <w:rtl w:val="0"/>
              </w:rPr>
              <w:t xml:space="preserve">SIA continues to embrace digital transformation, with over 300 use cases for Generative Artificial Intelligence (GenAI) identified, and around 80 implemented to enhance operations and customer experience.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spacing w:after="0" w:before="0" w:lineRule="auto"/>
              <w:ind w:left="0" w:firstLine="0"/>
              <w:jc w:val="left"/>
              <w:rPr/>
            </w:pPr>
            <w:r w:rsidDel="00000000" w:rsidR="00000000" w:rsidRPr="00000000">
              <w:rPr>
                <w:b w:val="0"/>
                <w:i w:val="0"/>
                <w:color w:val="000000"/>
                <w:sz w:val="22"/>
                <w:szCs w:val="22"/>
                <w:rtl w:val="0"/>
              </w:rPr>
              <w:t xml:space="preserve">The report emphasizes SIA's investment in digital capabilities, including the use of Generative Artificial Intelligence (GenAI) to enhance revenue generation, customer experience, and operational efficiency.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spacing w:after="0" w:before="0" w:lineRule="auto"/>
              <w:ind w:left="0" w:firstLine="0"/>
              <w:jc w:val="left"/>
              <w:rPr/>
            </w:pPr>
            <w:r w:rsidDel="00000000" w:rsidR="00000000" w:rsidRPr="00000000">
              <w:rPr>
                <w:b w:val="0"/>
                <w:i w:val="0"/>
                <w:color w:val="000000"/>
                <w:sz w:val="22"/>
                <w:szCs w:val="22"/>
                <w:rtl w:val="0"/>
              </w:rPr>
              <w:t xml:space="preserve">Organisational Restructuring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spacing w:after="0" w:lineRule="auto"/>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spacing w:after="0" w:before="0" w:lineRule="auto"/>
              <w:ind w:left="0" w:firstLine="0"/>
              <w:jc w:val="left"/>
              <w:rPr/>
            </w:pPr>
            <w:r w:rsidDel="00000000" w:rsidR="00000000" w:rsidRPr="00000000">
              <w:rPr>
                <w:rtl w:val="0"/>
              </w:rPr>
              <w:t xml:space="preserve">N/A</w:t>
            </w:r>
          </w:p>
        </w:tc>
      </w:tr>
    </w:tbl>
    <w:p w:rsidR="00000000" w:rsidDel="00000000" w:rsidP="00000000" w:rsidRDefault="00000000" w:rsidRPr="00000000" w14:paraId="0000019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9D">
      <w:pPr>
        <w:spacing w:after="180" w:before="180" w:lineRule="auto"/>
        <w:ind w:left="0" w:firstLine="0"/>
        <w:jc w:val="left"/>
        <w:rPr/>
      </w:pPr>
      <w:r w:rsidDel="00000000" w:rsidR="00000000" w:rsidRPr="00000000">
        <w:rPr>
          <w:b w:val="1"/>
          <w:i w:val="0"/>
          <w:color w:val="000000"/>
          <w:sz w:val="33"/>
          <w:szCs w:val="33"/>
          <w:rtl w:val="0"/>
        </w:rPr>
        <w:t xml:space="preserve">S6.2: Challenges and Uncertainties</w:t>
      </w:r>
      <w:r w:rsidDel="00000000" w:rsidR="00000000" w:rsidRPr="00000000">
        <w:rPr>
          <w:rtl w:val="0"/>
        </w:rPr>
      </w:r>
    </w:p>
    <w:tbl>
      <w:tblPr>
        <w:tblStyle w:val="Table16"/>
        <w:tblW w:w="1141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65"/>
        <w:gridCol w:w="4335"/>
        <w:gridCol w:w="5415"/>
        <w:tblGridChange w:id="0">
          <w:tblGrid>
            <w:gridCol w:w="1665"/>
            <w:gridCol w:w="4335"/>
            <w:gridCol w:w="54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F">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0">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spacing w:after="0" w:before="0" w:lineRule="auto"/>
              <w:ind w:left="0" w:firstLine="0"/>
              <w:jc w:val="left"/>
              <w:rPr/>
            </w:pPr>
            <w:r w:rsidDel="00000000" w:rsidR="00000000" w:rsidRPr="00000000">
              <w:rPr>
                <w:b w:val="0"/>
                <w:i w:val="0"/>
                <w:color w:val="000000"/>
                <w:sz w:val="22"/>
                <w:szCs w:val="22"/>
                <w:rtl w:val="0"/>
              </w:rPr>
              <w:t xml:space="preserve">Economic challenges such as inflation, recession risks, and shifting consumer behavior that could impact revenue and profitability.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spacing w:after="0" w:before="0" w:lineRule="auto"/>
              <w:ind w:left="0" w:firstLine="0"/>
              <w:jc w:val="left"/>
              <w:rPr/>
            </w:pPr>
            <w:r w:rsidDel="00000000" w:rsidR="00000000" w:rsidRPr="00000000">
              <w:rPr>
                <w:b w:val="0"/>
                <w:i w:val="0"/>
                <w:color w:val="000000"/>
                <w:sz w:val="22"/>
                <w:szCs w:val="22"/>
                <w:rtl w:val="0"/>
              </w:rPr>
              <w:t xml:space="preserve">The SIA Group is navigating a challenging environment with rising geopolitical tensions, supply chain constraints, and cost inflation. Despite these challenges, the Group has managed to achieve record revenues and net profit, indicating resilience. However, operating profits have fallen due to yield declines in a competitive landscape.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spacing w:after="0" w:before="0" w:lineRule="auto"/>
              <w:ind w:left="0" w:firstLine="0"/>
              <w:jc w:val="left"/>
              <w:rPr/>
            </w:pPr>
            <w:r w:rsidDel="00000000" w:rsidR="00000000" w:rsidRPr="00000000">
              <w:rPr>
                <w:b w:val="0"/>
                <w:i w:val="0"/>
                <w:color w:val="000000"/>
                <w:sz w:val="22"/>
                <w:szCs w:val="22"/>
                <w:rtl w:val="0"/>
              </w:rPr>
              <w:t xml:space="preserve">The SIA Group has faced global economic uncertainties, supply chain disruptions, and high fuel prices. Despite these challenges, the Group achieved record revenues and profits, driven by robust demand for air travel as the impact of the Covid-19 pandemic abated.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spacing w:after="0" w:before="0" w:lineRule="auto"/>
              <w:ind w:left="0" w:firstLine="0"/>
              <w:jc w:val="left"/>
              <w:rPr/>
            </w:pPr>
            <w:r w:rsidDel="00000000" w:rsidR="00000000" w:rsidRPr="00000000">
              <w:rPr>
                <w:b w:val="0"/>
                <w:i w:val="0"/>
                <w:color w:val="000000"/>
                <w:sz w:val="22"/>
                <w:szCs w:val="22"/>
                <w:rtl w:val="0"/>
              </w:rPr>
              <w:t xml:space="preserve">Competitive pressures from both established industry players and new, disruptive market entrants that the company faces.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spacing w:after="0" w:before="0" w:lineRule="auto"/>
              <w:ind w:left="0" w:firstLine="0"/>
              <w:jc w:val="left"/>
              <w:rPr/>
            </w:pPr>
            <w:r w:rsidDel="00000000" w:rsidR="00000000" w:rsidRPr="00000000">
              <w:rPr>
                <w:b w:val="0"/>
                <w:i w:val="0"/>
                <w:color w:val="000000"/>
                <w:sz w:val="22"/>
                <w:szCs w:val="22"/>
                <w:rtl w:val="0"/>
              </w:rPr>
              <w:t xml:space="preserve">The SIA Group is facing intensified competition due to industry-wide capacity increases, which has led to a decline in passenger yields. The Group remains vigilant and ready to respond swiftly to market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spacing w:after="0" w:before="0" w:lineRule="auto"/>
              <w:ind w:left="0" w:firstLine="0"/>
              <w:jc w:val="left"/>
              <w:rPr/>
            </w:pPr>
            <w:r w:rsidDel="00000000" w:rsidR="00000000" w:rsidRPr="00000000">
              <w:rPr>
                <w:b w:val="0"/>
                <w:i w:val="0"/>
                <w:color w:val="000000"/>
                <w:sz w:val="22"/>
                <w:szCs w:val="22"/>
                <w:rtl w:val="0"/>
              </w:rPr>
              <w:t xml:space="preserve">The SIA Group has focused on enhancing synergies between SIA and Scoot to adapt to changing market dynamics and offer a wider variety of options to travelers. This strategy helps the Group maintain its competitive edge in a challenging environment.</w:t>
            </w:r>
            <w:r w:rsidDel="00000000" w:rsidR="00000000" w:rsidRPr="00000000">
              <w:rPr>
                <w:rtl w:val="0"/>
              </w:rPr>
            </w:r>
          </w:p>
        </w:tc>
      </w:tr>
    </w:tbl>
    <w:p w:rsidR="00000000" w:rsidDel="00000000" w:rsidP="00000000" w:rsidRDefault="00000000" w:rsidRPr="00000000" w14:paraId="000001A7">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A8">
      <w:pPr>
        <w:spacing w:after="180" w:before="180" w:lineRule="auto"/>
        <w:ind w:left="0" w:firstLine="0"/>
        <w:jc w:val="left"/>
        <w:rPr/>
      </w:pPr>
      <w:r w:rsidDel="00000000" w:rsidR="00000000" w:rsidRPr="00000000">
        <w:rPr>
          <w:b w:val="1"/>
          <w:i w:val="0"/>
          <w:color w:val="000000"/>
          <w:sz w:val="33"/>
          <w:szCs w:val="33"/>
          <w:rtl w:val="0"/>
        </w:rPr>
        <w:t xml:space="preserve">S6.3: Innovation and Development Plans</w:t>
      </w:r>
      <w:r w:rsidDel="00000000" w:rsidR="00000000" w:rsidRPr="00000000">
        <w:rPr>
          <w:rtl w:val="0"/>
        </w:rPr>
      </w:r>
    </w:p>
    <w:tbl>
      <w:tblPr>
        <w:tblStyle w:val="Table17"/>
        <w:tblW w:w="1044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5"/>
        <w:gridCol w:w="4455"/>
        <w:gridCol w:w="4200"/>
        <w:tblGridChange w:id="0">
          <w:tblGrid>
            <w:gridCol w:w="1785"/>
            <w:gridCol w:w="4455"/>
            <w:gridCol w:w="42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after="0" w:before="0" w:lineRule="auto"/>
              <w:ind w:left="0" w:firstLine="0"/>
              <w:jc w:val="left"/>
              <w:rPr/>
            </w:pPr>
            <w:r w:rsidDel="00000000" w:rsidR="00000000" w:rsidRPr="00000000">
              <w:rPr>
                <w:b w:val="0"/>
                <w:i w:val="0"/>
                <w:color w:val="000000"/>
                <w:sz w:val="22"/>
                <w:szCs w:val="22"/>
                <w:rtl w:val="0"/>
              </w:rPr>
              <w:t xml:space="preserve">R&amp;D investments, with a focus on advancing technology, improving products, and creating new solutions to cater to market trends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after="0" w:before="0" w:lineRule="auto"/>
              <w:ind w:left="0" w:firstLine="0"/>
              <w:jc w:val="left"/>
              <w:rPr/>
            </w:pPr>
            <w:r w:rsidDel="00000000" w:rsidR="00000000" w:rsidRPr="00000000">
              <w:rPr>
                <w:b w:val="0"/>
                <w:i w:val="0"/>
                <w:color w:val="000000"/>
                <w:sz w:val="22"/>
                <w:szCs w:val="22"/>
                <w:rtl w:val="0"/>
              </w:rPr>
              <w:t xml:space="preserve">The SIA Group continues to embrace digital transformation as a key strategic enabler across its operations. Since August 2022, SIA and Scoot have identified over 300 use cases for Generative Artificial Intelligence (GenAI), with around 80 already implemented to support revenue generation, enhance customer experience, improve operational efficiency, and boost employee productivity.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after="0" w:before="0" w:lineRule="auto"/>
              <w:ind w:left="0" w:firstLine="0"/>
              <w:jc w:val="left"/>
              <w:rPr/>
            </w:pPr>
            <w:r w:rsidDel="00000000" w:rsidR="00000000" w:rsidRPr="00000000">
              <w:rPr>
                <w:b w:val="0"/>
                <w:i w:val="0"/>
                <w:color w:val="000000"/>
                <w:sz w:val="22"/>
                <w:szCs w:val="22"/>
                <w:rtl w:val="0"/>
              </w:rPr>
              <w:t xml:space="preserve">The Group’s long-standing investment in digital capabilities, including Generative Artificial Intelligence (GenAI), help to give it an edge in the airline industry. This is reflected in the adoption of numerous GenAI solutions during the year to enhance revenue generation, customer experience, operational efficiency, and employee productivity.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after="0" w:before="0" w:lineRule="auto"/>
              <w:ind w:left="0" w:firstLine="0"/>
              <w:jc w:val="left"/>
              <w:rPr/>
            </w:pPr>
            <w:r w:rsidDel="00000000" w:rsidR="00000000" w:rsidRPr="00000000">
              <w:rPr>
                <w:b w:val="0"/>
                <w:i w:val="0"/>
                <w:color w:val="000000"/>
                <w:sz w:val="22"/>
                <w:szCs w:val="22"/>
                <w:rtl w:val="0"/>
              </w:rPr>
              <w:t xml:space="preserve">New product launches, emphasizing the company’s commitment to continuously introducing differentiated products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after="0" w:before="0" w:lineRule="auto"/>
              <w:ind w:left="0" w:firstLine="0"/>
              <w:jc w:val="left"/>
              <w:rPr/>
            </w:pPr>
            <w:r w:rsidDel="00000000" w:rsidR="00000000" w:rsidRPr="00000000">
              <w:rPr>
                <w:b w:val="0"/>
                <w:i w:val="0"/>
                <w:color w:val="000000"/>
                <w:sz w:val="22"/>
                <w:szCs w:val="22"/>
                <w:rtl w:val="0"/>
              </w:rPr>
              <w:t xml:space="preserve">In November 2024, SIA unveiled plans to roll out its next-generation long-haul cabin products across 41 Airbus A350-900 long-haul and ultra-long-range (ULR) aircraft, a $1.1 billion investment to elevate the premium travel experience across its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after="0" w:before="0" w:lineRule="auto"/>
              <w:ind w:left="0" w:firstLine="0"/>
              <w:jc w:val="left"/>
              <w:rPr/>
            </w:pPr>
            <w:r w:rsidDel="00000000" w:rsidR="00000000" w:rsidRPr="00000000">
              <w:rPr>
                <w:b w:val="0"/>
                <w:i w:val="0"/>
                <w:color w:val="000000"/>
                <w:sz w:val="22"/>
                <w:szCs w:val="22"/>
                <w:rtl w:val="0"/>
              </w:rPr>
              <w:t xml:space="preserve">In March 2024, SIA unveiled a comprehensive revamp of the Premium Economy Class in-flight experience, featuring a wide range of enhanced meal selections and a new amenity kit.</w:t>
            </w:r>
            <w:r w:rsidDel="00000000" w:rsidR="00000000" w:rsidRPr="00000000">
              <w:rPr>
                <w:rtl w:val="0"/>
              </w:rPr>
            </w:r>
          </w:p>
        </w:tc>
      </w:tr>
    </w:tbl>
    <w:p w:rsidR="00000000" w:rsidDel="00000000" w:rsidP="00000000" w:rsidRDefault="00000000" w:rsidRPr="00000000" w14:paraId="000001B2">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sectPr>
      <w:pgSz w:h="20013" w:w="14173"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b w:val="1"/>
      <w:color w:val="365f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before="200" w:lineRule="auto"/>
    </w:pPr>
    <w:rPr>
      <w:b w:val="1"/>
      <w:color w:val="4f81bd"/>
    </w:rPr>
  </w:style>
  <w:style w:type="paragraph" w:styleId="Heading4">
    <w:name w:val="heading 4"/>
    <w:basedOn w:val="Normal"/>
    <w:next w:val="Normal"/>
    <w:pPr>
      <w:keepNext w:val="1"/>
      <w:keepLines w:val="1"/>
      <w:spacing w:before="200" w:lineRule="auto"/>
    </w:pPr>
    <w:rPr>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paragraph" w:styleId="Header">
    <w:name w:val="header"/>
    <w:basedOn w:val="Normal"/>
    <w:link w:val="HeaderChar"/>
    <w:uiPriority w:val="99"/>
    <w:unhideWhenUsed w:val="1"/>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Heading1Char" w:customStyle="1">
    <w:name w:val="Heading 1 Char"/>
    <w:basedOn w:val="DefaultParagraphFont"/>
    <w:link w:val="Heading1"/>
    <w:uiPriority w:val="9"/>
    <w:rsid w:val="00841CD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41CD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841CD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841CD9"/>
    <w:rPr>
      <w:rFonts w:asciiTheme="majorHAnsi" w:cstheme="majorBidi" w:eastAsiaTheme="majorEastAsia" w:hAnsiTheme="majorHAnsi"/>
      <w:b w:val="1"/>
      <w:bCs w:val="1"/>
      <w:i w:val="1"/>
      <w:iCs w:val="1"/>
      <w:color w:val="4f81bd" w:themeColor="accent1"/>
    </w:rPr>
  </w:style>
  <w:style w:type="paragraph" w:styleId="NormalIndent">
    <w:name w:val="Normal Indent"/>
    <w:basedOn w:val="Normal"/>
    <w:uiPriority w:val="99"/>
    <w:unhideWhenUsed w:val="1"/>
    <w:rsid w:val="00841CD9"/>
    <w:pPr>
      <w:ind w:left="720"/>
    </w:pPr>
  </w:style>
  <w:style w:type="character" w:styleId="SubtitleChar" w:customStyle="1">
    <w:name w:val="Subtitle Char"/>
    <w:basedOn w:val="DefaultParagraphFont"/>
    <w:link w:val="Subtitle"/>
    <w:uiPriority w:val="11"/>
    <w:rsid w:val="00841CD9"/>
    <w:rPr>
      <w:rFonts w:asciiTheme="majorHAnsi" w:cstheme="majorBidi" w:eastAsiaTheme="majorEastAsia" w:hAnsiTheme="majorHAnsi"/>
      <w:i w:val="1"/>
      <w:iCs w:val="1"/>
      <w:color w:val="4f81bd" w:themeColor="accent1"/>
      <w:spacing w:val="15"/>
      <w:sz w:val="24"/>
      <w:szCs w:val="24"/>
    </w:rPr>
  </w:style>
  <w:style w:type="character" w:styleId="TitleChar" w:customStyle="1">
    <w:name w:val="Title Char"/>
    <w:basedOn w:val="DefaultParagraphFont"/>
    <w:link w:val="Title"/>
    <w:uiPriority w:val="10"/>
    <w:rsid w:val="00841CD9"/>
    <w:rPr>
      <w:rFonts w:asciiTheme="majorHAnsi" w:cstheme="majorBidi" w:eastAsiaTheme="majorEastAsia" w:hAnsiTheme="majorHAnsi"/>
      <w:color w:val="17365d" w:themeColor="text2" w:themeShade="0000BF"/>
      <w:spacing w:val="5"/>
      <w:kern w:val="28"/>
      <w:sz w:val="52"/>
      <w:szCs w:val="52"/>
    </w:rPr>
  </w:style>
  <w:style w:type="character" w:styleId="Emphasis">
    <w:name w:val="Emphasis"/>
    <w:basedOn w:val="DefaultParagraphFont"/>
    <w:uiPriority w:val="20"/>
    <w:qFormat w:val="1"/>
    <w:rsid w:val="00D1197D"/>
    <w:rPr>
      <w:i w:val="1"/>
      <w:iCs w:val="1"/>
    </w:rPr>
  </w:style>
  <w:style w:type="character" w:styleId="Hyperlink">
    <w:name w:val="Hyperlink"/>
    <w:basedOn w:val="DefaultParagraphFont"/>
    <w:uiPriority w:val="99"/>
    <w:unhideWhenUsed w:val="1"/>
    <w:rPr>
      <w:color w:val="0000ff" w:themeColor="hyperlink"/>
      <w:u w:val="single"/>
    </w:rPr>
  </w:style>
  <w:style w:type="table" w:styleId="TableGrid">
    <w:name w:val="Table Grid"/>
    <w:basedOn w:val="TableNormal"/>
    <w:uiPriority w:val="5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Caption">
    <w:name w:val="caption"/>
    <w:basedOn w:val="Normal"/>
    <w:next w:val="Normal"/>
    <w:uiPriority w:val="35"/>
    <w:semiHidden w:val="1"/>
    <w:unhideWhenUsed w:val="1"/>
    <w:qFormat w:val="1"/>
    <w:rsid w:val="007109C0"/>
    <w:pPr>
      <w:spacing w:line="240" w:lineRule="auto"/>
    </w:pPr>
    <w:rPr>
      <w:b w:val="1"/>
      <w:bCs w:val="1"/>
      <w:color w:val="4f81bd" w:themeColor="accent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left="86"/>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qGPiuWO4uhmY/rJqtkobCjFzdQ==">CgMxLjA4AHIhMUJMaW1qd2pTbzJBNHpKeDM3cWN5dUNNSlYxZVlldkRY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