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31" w:rsidRPr="00592231" w:rsidRDefault="00592231" w:rsidP="00592231">
      <w:pPr>
        <w:rPr>
          <w:b/>
          <w:u w:val="single"/>
        </w:rPr>
      </w:pPr>
      <w:r>
        <w:rPr>
          <w:b/>
          <w:u w:val="single"/>
        </w:rPr>
        <w:t xml:space="preserve">Procedures for </w:t>
      </w:r>
      <w:r w:rsidRPr="00592231">
        <w:rPr>
          <w:b/>
          <w:u w:val="single"/>
        </w:rPr>
        <w:t>Individual Frequency Band Calculation</w:t>
      </w:r>
      <w:r>
        <w:rPr>
          <w:b/>
          <w:u w:val="single"/>
        </w:rPr>
        <w:t xml:space="preserve"> (using the Emotiv Headsets)</w:t>
      </w:r>
    </w:p>
    <w:p w:rsidR="00592231" w:rsidRDefault="00592231" w:rsidP="00592231">
      <w:pPr>
        <w:pStyle w:val="ListParagraph"/>
        <w:numPr>
          <w:ilvl w:val="0"/>
          <w:numId w:val="7"/>
        </w:numPr>
      </w:pPr>
      <w:r>
        <w:t>Determine bad channels for each participant</w:t>
      </w:r>
    </w:p>
    <w:p w:rsidR="00305A68" w:rsidRDefault="00592231" w:rsidP="00592231">
      <w:pPr>
        <w:pStyle w:val="ListParagraph"/>
        <w:numPr>
          <w:ilvl w:val="1"/>
          <w:numId w:val="7"/>
        </w:numPr>
      </w:pPr>
      <w:r>
        <w:t>Calculate overall a</w:t>
      </w:r>
      <w:r w:rsidR="00F57E46">
        <w:t>verage</w:t>
      </w:r>
      <w:r>
        <w:t xml:space="preserve"> and standard deviation of</w:t>
      </w:r>
      <w:r w:rsidR="00F57E46">
        <w:t xml:space="preserve"> </w:t>
      </w:r>
      <w:r w:rsidR="00BA69EA">
        <w:t xml:space="preserve">log </w:t>
      </w:r>
      <w:r w:rsidR="00F57E46">
        <w:t xml:space="preserve">power between </w:t>
      </w:r>
      <w:r w:rsidRPr="00592231">
        <w:t>0.5</w:t>
      </w:r>
      <w:r>
        <w:t>-40 Hz</w:t>
      </w:r>
      <w:r w:rsidR="00F57E46" w:rsidRPr="00592231">
        <w:t xml:space="preserve"> </w:t>
      </w:r>
      <w:r>
        <w:t>across all 14 channels</w:t>
      </w:r>
    </w:p>
    <w:p w:rsidR="00BA69EA" w:rsidRDefault="00592231" w:rsidP="00592231">
      <w:pPr>
        <w:pStyle w:val="ListParagraph"/>
        <w:numPr>
          <w:ilvl w:val="2"/>
          <w:numId w:val="4"/>
        </w:numPr>
      </w:pPr>
      <w:r>
        <w:t>For each channel</w:t>
      </w:r>
      <w:r w:rsidR="00BA69EA">
        <w:t>,</w:t>
      </w:r>
      <w:r>
        <w:t xml:space="preserve"> calculate </w:t>
      </w:r>
      <w:r w:rsidR="00BA69EA">
        <w:t xml:space="preserve">average log power between </w:t>
      </w:r>
      <w:r w:rsidRPr="00592231">
        <w:t>0.5-40 Hz</w:t>
      </w:r>
      <w:r w:rsidR="00BA69EA" w:rsidRPr="00592231">
        <w:t xml:space="preserve"> </w:t>
      </w:r>
      <w:r>
        <w:t xml:space="preserve">and compare this to the overall </w:t>
      </w:r>
      <w:r w:rsidR="00A137BD">
        <w:t>average</w:t>
      </w:r>
    </w:p>
    <w:p w:rsidR="00A137BD" w:rsidRDefault="00A137BD" w:rsidP="00A137BD">
      <w:pPr>
        <w:pStyle w:val="ListParagraph"/>
        <w:numPr>
          <w:ilvl w:val="2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64A36" wp14:editId="6089A8F8">
            <wp:simplePos x="0" y="0"/>
            <wp:positionH relativeFrom="column">
              <wp:posOffset>1323975</wp:posOffset>
            </wp:positionH>
            <wp:positionV relativeFrom="paragraph">
              <wp:posOffset>365760</wp:posOffset>
            </wp:positionV>
            <wp:extent cx="4056529" cy="2743200"/>
            <wp:effectExtent l="0" t="0" r="1270" b="0"/>
            <wp:wrapTopAndBottom/>
            <wp:docPr id="2" name="Picture 2" descr="Bad Spectrum 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d Spectrum Illustration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2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9EA">
        <w:t xml:space="preserve">If the channel </w:t>
      </w:r>
      <w:r w:rsidR="00592231">
        <w:t xml:space="preserve">average </w:t>
      </w:r>
      <w:r w:rsidR="00BA69EA">
        <w:t xml:space="preserve">is greater than +/- 2.5 SD from the overall </w:t>
      </w:r>
      <w:r>
        <w:t>average</w:t>
      </w:r>
      <w:r w:rsidR="00BA69EA">
        <w:t xml:space="preserve">, then the channel is </w:t>
      </w:r>
      <w:r w:rsidR="00592231">
        <w:t>excluded</w:t>
      </w:r>
      <w:r>
        <w:t xml:space="preserve"> (see below for an example in which F8 is excluded)</w:t>
      </w:r>
    </w:p>
    <w:p w:rsidR="00592231" w:rsidRDefault="00592231" w:rsidP="00592231">
      <w:pPr>
        <w:pStyle w:val="ListParagraph"/>
        <w:numPr>
          <w:ilvl w:val="1"/>
          <w:numId w:val="4"/>
        </w:numPr>
      </w:pPr>
      <w:r>
        <w:t>For each channel, determine if there is an alpha peak</w:t>
      </w:r>
    </w:p>
    <w:p w:rsidR="00BA69EA" w:rsidRDefault="00BA69EA" w:rsidP="00592231">
      <w:pPr>
        <w:pStyle w:val="ListParagraph"/>
        <w:numPr>
          <w:ilvl w:val="2"/>
          <w:numId w:val="4"/>
        </w:numPr>
      </w:pPr>
      <w:r>
        <w:t>A</w:t>
      </w:r>
      <w:r w:rsidR="00592231">
        <w:t>n alpha</w:t>
      </w:r>
      <w:r>
        <w:t xml:space="preserve"> peak is defined as an increase of at least 0.2 log power</w:t>
      </w:r>
      <w:r w:rsidR="00805D99">
        <w:t xml:space="preserve"> between 7.5-</w:t>
      </w:r>
      <w:r w:rsidRPr="00BA69EA">
        <w:t>15 Hz</w:t>
      </w:r>
    </w:p>
    <w:p w:rsidR="00A137BD" w:rsidRDefault="00A137BD" w:rsidP="00A137BD">
      <w:pPr>
        <w:pStyle w:val="ListParagraph"/>
        <w:numPr>
          <w:ilvl w:val="2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2AB28" wp14:editId="608CE7DC">
            <wp:simplePos x="0" y="0"/>
            <wp:positionH relativeFrom="column">
              <wp:posOffset>1304925</wp:posOffset>
            </wp:positionH>
            <wp:positionV relativeFrom="paragraph">
              <wp:posOffset>363220</wp:posOffset>
            </wp:positionV>
            <wp:extent cx="4610980" cy="3108960"/>
            <wp:effectExtent l="0" t="0" r="0" b="0"/>
            <wp:wrapTopAndBottom/>
            <wp:docPr id="1" name="Picture 1" descr="No Pea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eaks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231">
        <w:t>If the channel does not have an alpha peak, then the channel is excluded</w:t>
      </w:r>
      <w:r>
        <w:t xml:space="preserve"> (see below for an example)</w:t>
      </w:r>
    </w:p>
    <w:p w:rsidR="00592231" w:rsidRDefault="00592231" w:rsidP="00BA69EA">
      <w:pPr>
        <w:pStyle w:val="ListParagraph"/>
        <w:numPr>
          <w:ilvl w:val="0"/>
          <w:numId w:val="4"/>
        </w:numPr>
      </w:pPr>
      <w:r>
        <w:t>Determine bad participants</w:t>
      </w:r>
    </w:p>
    <w:p w:rsidR="00592231" w:rsidRDefault="00592231" w:rsidP="00592231">
      <w:pPr>
        <w:pStyle w:val="ListParagraph"/>
        <w:numPr>
          <w:ilvl w:val="1"/>
          <w:numId w:val="4"/>
        </w:numPr>
      </w:pPr>
      <w:r>
        <w:t>Determine the number of excluded channels</w:t>
      </w:r>
    </w:p>
    <w:p w:rsidR="00711178" w:rsidRDefault="00592231" w:rsidP="00592231">
      <w:pPr>
        <w:pStyle w:val="ListParagraph"/>
        <w:numPr>
          <w:ilvl w:val="2"/>
          <w:numId w:val="4"/>
        </w:numPr>
      </w:pPr>
      <w:r>
        <w:t>If 8 or more channels were excluded, then the participant is excluded</w:t>
      </w:r>
    </w:p>
    <w:p w:rsidR="00A137BD" w:rsidRDefault="00A137BD" w:rsidP="00A137BD">
      <w:pPr>
        <w:pStyle w:val="ListParagraph"/>
        <w:ind w:left="2520"/>
      </w:pPr>
    </w:p>
    <w:p w:rsidR="00A137BD" w:rsidRDefault="00A137BD" w:rsidP="00A137BD">
      <w:pPr>
        <w:pStyle w:val="ListParagraph"/>
        <w:ind w:left="2520"/>
      </w:pPr>
    </w:p>
    <w:p w:rsidR="00592231" w:rsidRDefault="00592231" w:rsidP="00BA69EA">
      <w:pPr>
        <w:pStyle w:val="ListParagraph"/>
        <w:numPr>
          <w:ilvl w:val="0"/>
          <w:numId w:val="4"/>
        </w:numPr>
      </w:pPr>
      <w:r>
        <w:lastRenderedPageBreak/>
        <w:t>Determine IAF for each good participant</w:t>
      </w:r>
    </w:p>
    <w:p w:rsidR="00A137BD" w:rsidRPr="00A137BD" w:rsidRDefault="00A137BD" w:rsidP="00A137BD">
      <w:pPr>
        <w:pStyle w:val="ListParagraph"/>
        <w:numPr>
          <w:ilvl w:val="1"/>
          <w:numId w:val="4"/>
        </w:numPr>
      </w:pPr>
      <w:r w:rsidRPr="00A137BD">
        <w:t>Calculate overall average log power betw</w:t>
      </w:r>
      <w:r>
        <w:t>een 0.5-40 Hz across all good</w:t>
      </w:r>
      <w:r w:rsidRPr="00A137BD">
        <w:t xml:space="preserve"> channels</w:t>
      </w:r>
    </w:p>
    <w:p w:rsidR="00B01C1A" w:rsidRDefault="00B01C1A" w:rsidP="00592231">
      <w:pPr>
        <w:pStyle w:val="ListParagraph"/>
        <w:numPr>
          <w:ilvl w:val="1"/>
          <w:numId w:val="4"/>
        </w:numPr>
      </w:pPr>
      <w:r>
        <w:t>Dete</w:t>
      </w:r>
      <w:r w:rsidR="00A137BD">
        <w:t>rmine the IAF within the overall average</w:t>
      </w:r>
      <w:r>
        <w:t xml:space="preserve"> log power spectrum</w:t>
      </w:r>
    </w:p>
    <w:p w:rsidR="00A137BD" w:rsidRDefault="00A137BD" w:rsidP="00A546E8">
      <w:pPr>
        <w:pStyle w:val="ListParagraph"/>
        <w:numPr>
          <w:ilvl w:val="2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1F6099" wp14:editId="55C9A699">
            <wp:simplePos x="0" y="0"/>
            <wp:positionH relativeFrom="column">
              <wp:posOffset>1362075</wp:posOffset>
            </wp:positionH>
            <wp:positionV relativeFrom="paragraph">
              <wp:posOffset>553085</wp:posOffset>
            </wp:positionV>
            <wp:extent cx="4305935" cy="2743200"/>
            <wp:effectExtent l="0" t="0" r="0" b="0"/>
            <wp:wrapTopAndBottom/>
            <wp:docPr id="4" name="Picture 4" descr="Averaged Spectrum Peak Iden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eraged Spectrum Peak Identification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C1A">
        <w:t>IAF is defined as the frequency bin between 7.5-15 Hz in which the alpha peak occurs</w:t>
      </w:r>
      <w:r>
        <w:t xml:space="preserve"> (see below for an example in which the black</w:t>
      </w:r>
      <w:r w:rsidR="00A546E8">
        <w:t xml:space="preserve"> horizontal</w:t>
      </w:r>
      <w:r>
        <w:t xml:space="preserve"> line is the average spectrum and the black vertical line is the identified IAF)</w:t>
      </w:r>
    </w:p>
    <w:p w:rsidR="00711178" w:rsidRDefault="00B01C1A" w:rsidP="00B01C1A">
      <w:pPr>
        <w:pStyle w:val="ListParagraph"/>
        <w:numPr>
          <w:ilvl w:val="0"/>
          <w:numId w:val="4"/>
        </w:numPr>
      </w:pPr>
      <w:r>
        <w:t>Define the individualized frequency bands</w:t>
      </w:r>
    </w:p>
    <w:p w:rsidR="00711178" w:rsidRDefault="00B01C1A" w:rsidP="00711178">
      <w:pPr>
        <w:pStyle w:val="ListParagraph"/>
        <w:numPr>
          <w:ilvl w:val="1"/>
          <w:numId w:val="4"/>
        </w:numPr>
      </w:pPr>
      <w:r>
        <w:t>Delta = 0.5 to IAF – 6.5</w:t>
      </w:r>
    </w:p>
    <w:p w:rsidR="00711178" w:rsidRDefault="00B01C1A" w:rsidP="00711178">
      <w:pPr>
        <w:pStyle w:val="ListParagraph"/>
        <w:numPr>
          <w:ilvl w:val="1"/>
          <w:numId w:val="4"/>
        </w:numPr>
      </w:pPr>
      <w:r>
        <w:t>Theta = IAF – 6 to IAF – 2.5</w:t>
      </w:r>
    </w:p>
    <w:p w:rsidR="00B01C1A" w:rsidRDefault="00B01C1A" w:rsidP="00711178">
      <w:pPr>
        <w:pStyle w:val="ListParagraph"/>
        <w:numPr>
          <w:ilvl w:val="1"/>
          <w:numId w:val="4"/>
        </w:numPr>
      </w:pPr>
      <w:r>
        <w:t>Alpha = IAF – 2 to IAF + 1.5</w:t>
      </w:r>
    </w:p>
    <w:p w:rsidR="00711178" w:rsidRDefault="00B01C1A" w:rsidP="00711178">
      <w:pPr>
        <w:pStyle w:val="ListParagraph"/>
        <w:numPr>
          <w:ilvl w:val="1"/>
          <w:numId w:val="4"/>
        </w:numPr>
      </w:pPr>
      <w:r>
        <w:t>Low beta = IAF + 2 to IAF + 9.5</w:t>
      </w:r>
    </w:p>
    <w:p w:rsidR="00711178" w:rsidRDefault="00B01C1A" w:rsidP="00711178">
      <w:pPr>
        <w:pStyle w:val="ListParagraph"/>
        <w:numPr>
          <w:ilvl w:val="1"/>
          <w:numId w:val="4"/>
        </w:numPr>
      </w:pPr>
      <w:r>
        <w:t>High beta = IAF + 10 to IAF + 19.5</w:t>
      </w:r>
    </w:p>
    <w:p w:rsidR="00831953" w:rsidRDefault="00B01C1A" w:rsidP="00831953">
      <w:pPr>
        <w:pStyle w:val="ListParagraph"/>
        <w:numPr>
          <w:ilvl w:val="1"/>
          <w:numId w:val="4"/>
        </w:numPr>
      </w:pPr>
      <w:r>
        <w:t>Gamma = IAF + 20 to 40</w:t>
      </w:r>
    </w:p>
    <w:p w:rsidR="00A137BD" w:rsidRPr="00592231" w:rsidRDefault="00A137BD" w:rsidP="00A137BD">
      <w:pPr>
        <w:rPr>
          <w:b/>
          <w:u w:val="single"/>
        </w:rPr>
      </w:pPr>
      <w:r>
        <w:rPr>
          <w:b/>
          <w:u w:val="single"/>
        </w:rPr>
        <w:t>Descriptives</w:t>
      </w:r>
      <w:r w:rsidR="002A61E4">
        <w:rPr>
          <w:b/>
          <w:u w:val="single"/>
        </w:rPr>
        <w:t xml:space="preserve"> for 91</w:t>
      </w:r>
      <w:r>
        <w:rPr>
          <w:b/>
          <w:u w:val="single"/>
        </w:rPr>
        <w:t xml:space="preserve"> monolingual participants</w:t>
      </w:r>
    </w:p>
    <w:p w:rsidR="00711178" w:rsidRDefault="002A61E4" w:rsidP="002A61E4">
      <w:pPr>
        <w:pStyle w:val="ListParagraph"/>
        <w:numPr>
          <w:ilvl w:val="0"/>
          <w:numId w:val="8"/>
        </w:numPr>
      </w:pPr>
      <w:r>
        <w:t>Determine bad channels for each participant = 197/1190 (16.6%) were excluded</w:t>
      </w:r>
    </w:p>
    <w:p w:rsidR="002A61E4" w:rsidRDefault="002A61E4" w:rsidP="002A61E4">
      <w:pPr>
        <w:pStyle w:val="ListParagraph"/>
        <w:numPr>
          <w:ilvl w:val="1"/>
          <w:numId w:val="8"/>
        </w:numPr>
      </w:pPr>
      <w:r>
        <w:t>Bad spectrum = 34/1190 (2.9%) channels were excluded for this reason</w:t>
      </w:r>
    </w:p>
    <w:p w:rsidR="002A61E4" w:rsidRDefault="002A61E4" w:rsidP="002A61E4">
      <w:pPr>
        <w:pStyle w:val="ListParagraph"/>
        <w:numPr>
          <w:ilvl w:val="1"/>
          <w:numId w:val="8"/>
        </w:numPr>
      </w:pPr>
      <w:r>
        <w:t>No Peak = 163/1190 (13.7%) channels were excluded for this reason</w:t>
      </w:r>
    </w:p>
    <w:p w:rsidR="002A61E4" w:rsidRDefault="002A61E4" w:rsidP="002A61E4">
      <w:pPr>
        <w:pStyle w:val="ListParagraph"/>
        <w:numPr>
          <w:ilvl w:val="0"/>
          <w:numId w:val="8"/>
        </w:numPr>
      </w:pPr>
      <w:r>
        <w:t>Determine bad participants = 6/91 (6.6%) participants were excluded</w:t>
      </w:r>
    </w:p>
    <w:p w:rsidR="002A61E4" w:rsidRDefault="002A61E4" w:rsidP="002A61E4">
      <w:pPr>
        <w:pStyle w:val="ListParagraph"/>
        <w:numPr>
          <w:ilvl w:val="0"/>
          <w:numId w:val="8"/>
        </w:numPr>
      </w:pPr>
      <w:r>
        <w:t>Determine IAF for each participant</w:t>
      </w:r>
    </w:p>
    <w:p w:rsidR="002A61E4" w:rsidRDefault="002A61E4" w:rsidP="002A61E4">
      <w:pPr>
        <w:pStyle w:val="ListParagraph"/>
        <w:numPr>
          <w:ilvl w:val="1"/>
          <w:numId w:val="8"/>
        </w:numPr>
      </w:pPr>
      <w:r>
        <w:t>Here is a histogram representing the identified IAFs across the 85 good participants</w:t>
      </w:r>
    </w:p>
    <w:p w:rsidR="002A61E4" w:rsidRDefault="002A61E4" w:rsidP="002A61E4">
      <w:pPr>
        <w:pStyle w:val="ListParagraph"/>
        <w:ind w:left="1440"/>
      </w:pPr>
      <w:r>
        <w:rPr>
          <w:noProof/>
        </w:rPr>
        <w:drawing>
          <wp:inline distT="0" distB="0" distL="0" distR="0" wp14:anchorId="0E7465EF" wp14:editId="721A9698">
            <wp:extent cx="4572000" cy="2286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A61E4" w:rsidRDefault="002A61E4" w:rsidP="002A61E4">
      <w:pPr>
        <w:pStyle w:val="ListParagraph"/>
        <w:ind w:left="1440"/>
      </w:pPr>
    </w:p>
    <w:p w:rsidR="002A61E4" w:rsidRDefault="002A61E4" w:rsidP="002A61E4">
      <w:pPr>
        <w:pStyle w:val="ListParagraph"/>
        <w:numPr>
          <w:ilvl w:val="0"/>
          <w:numId w:val="8"/>
        </w:numPr>
      </w:pPr>
      <w:r>
        <w:lastRenderedPageBreak/>
        <w:t>Define individualized frequency bands</w:t>
      </w:r>
    </w:p>
    <w:p w:rsidR="00927599" w:rsidRDefault="00927599" w:rsidP="00927599">
      <w:pPr>
        <w:pStyle w:val="ListParagraph"/>
        <w:numPr>
          <w:ilvl w:val="1"/>
          <w:numId w:val="8"/>
        </w:numPr>
      </w:pPr>
      <w:r>
        <w:t xml:space="preserve">Here </w:t>
      </w:r>
      <w:r w:rsidRPr="00927599">
        <w:t>are histograms representing the range of the lower and upper bounds for theta, alpha, low beta, and high beta</w:t>
      </w:r>
      <w:r w:rsidR="00805D99">
        <w:t xml:space="preserve"> (delta and gamma are also calculated but not represented below)</w:t>
      </w:r>
      <w:bookmarkStart w:id="0" w:name="_GoBack"/>
      <w:bookmarkEnd w:id="0"/>
    </w:p>
    <w:p w:rsidR="00F57E46" w:rsidRDefault="00692634" w:rsidP="00927599">
      <w:pPr>
        <w:pStyle w:val="ListParagraph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3063875</wp:posOffset>
            </wp:positionV>
            <wp:extent cx="3657600" cy="2743200"/>
            <wp:effectExtent l="0" t="0" r="0" b="0"/>
            <wp:wrapTopAndBottom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3060700</wp:posOffset>
            </wp:positionV>
            <wp:extent cx="3657600" cy="2743200"/>
            <wp:effectExtent l="0" t="0" r="0" b="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  <w:r w:rsidR="0092759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3657600" cy="2743200"/>
            <wp:effectExtent l="0" t="0" r="0" b="0"/>
            <wp:wrapTopAndBottom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3657600" cy="2743200"/>
            <wp:effectExtent l="0" t="0" r="0" b="0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599">
        <w:t>For reference our old static frequency bands were defined as theta (4-7.5 Hz), alpha (8-12.5 Hz), low beta (13-15 Hz), mid beta (15-18 Hz),</w:t>
      </w:r>
      <w:r w:rsidR="00805D99">
        <w:t xml:space="preserve"> and</w:t>
      </w:r>
      <w:r w:rsidR="00927599">
        <w:t xml:space="preserve"> high beta (18-30 Hz)</w:t>
      </w:r>
    </w:p>
    <w:sectPr w:rsidR="00F57E46" w:rsidSect="00A137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5A0"/>
    <w:multiLevelType w:val="hybridMultilevel"/>
    <w:tmpl w:val="DA709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7661"/>
    <w:multiLevelType w:val="hybridMultilevel"/>
    <w:tmpl w:val="D50CC594"/>
    <w:lvl w:ilvl="0" w:tplc="06121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E03E6"/>
    <w:multiLevelType w:val="hybridMultilevel"/>
    <w:tmpl w:val="72861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96EC6"/>
    <w:multiLevelType w:val="hybridMultilevel"/>
    <w:tmpl w:val="E7F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70007"/>
    <w:multiLevelType w:val="hybridMultilevel"/>
    <w:tmpl w:val="801AF7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7666B6"/>
    <w:multiLevelType w:val="hybridMultilevel"/>
    <w:tmpl w:val="309E66A4"/>
    <w:lvl w:ilvl="0" w:tplc="06121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A0364"/>
    <w:multiLevelType w:val="hybridMultilevel"/>
    <w:tmpl w:val="8C0E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81EE5"/>
    <w:multiLevelType w:val="hybridMultilevel"/>
    <w:tmpl w:val="BA2EF810"/>
    <w:lvl w:ilvl="0" w:tplc="06121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6"/>
    <w:rsid w:val="002A61E4"/>
    <w:rsid w:val="00305A68"/>
    <w:rsid w:val="00592231"/>
    <w:rsid w:val="00692634"/>
    <w:rsid w:val="00711178"/>
    <w:rsid w:val="00805D99"/>
    <w:rsid w:val="00831953"/>
    <w:rsid w:val="00927599"/>
    <w:rsid w:val="00A137BD"/>
    <w:rsid w:val="00A546E8"/>
    <w:rsid w:val="00B01C1A"/>
    <w:rsid w:val="00BA69EA"/>
    <w:rsid w:val="00C00896"/>
    <w:rsid w:val="00F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8F62"/>
  <w15:chartTrackingRefBased/>
  <w15:docId w15:val="{AD338926-2C6C-4D99-8749-B8FBFECD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jtowxzsu1" TargetMode="External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i_jtowxzt83" TargetMode="External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10" Type="http://schemas.openxmlformats.org/officeDocument/2006/relationships/image" Target="cid:ii_jtowxztc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sab\Desktop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sab\Desktop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sab\Desktop\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sab\Desktop\Summ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sab\Desktop\Summ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IAFs (N = 85)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IAF!$F$1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IAF!$E$2:$E$13</c:f>
              <c:strCache>
                <c:ptCount val="12"/>
                <c:pt idx="0">
                  <c:v>8.5</c:v>
                </c:pt>
                <c:pt idx="1">
                  <c:v>9</c:v>
                </c:pt>
                <c:pt idx="2">
                  <c:v>9.5</c:v>
                </c:pt>
                <c:pt idx="3">
                  <c:v>10</c:v>
                </c:pt>
                <c:pt idx="4">
                  <c:v>10.5</c:v>
                </c:pt>
                <c:pt idx="5">
                  <c:v>11</c:v>
                </c:pt>
                <c:pt idx="6">
                  <c:v>11.5</c:v>
                </c:pt>
                <c:pt idx="7">
                  <c:v>12</c:v>
                </c:pt>
                <c:pt idx="8">
                  <c:v>12.5</c:v>
                </c:pt>
                <c:pt idx="9">
                  <c:v>13</c:v>
                </c:pt>
                <c:pt idx="10">
                  <c:v>13.5</c:v>
                </c:pt>
                <c:pt idx="11">
                  <c:v>14</c:v>
                </c:pt>
              </c:strCache>
            </c:strRef>
          </c:cat>
          <c:val>
            <c:numRef>
              <c:f>IAF!$F$2:$F$13</c:f>
              <c:numCache>
                <c:formatCode>General</c:formatCode>
                <c:ptCount val="12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12</c:v>
                </c:pt>
                <c:pt idx="4">
                  <c:v>20</c:v>
                </c:pt>
                <c:pt idx="5">
                  <c:v>16</c:v>
                </c:pt>
                <c:pt idx="6">
                  <c:v>12</c:v>
                </c:pt>
                <c:pt idx="7">
                  <c:v>8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38-4E4C-90CA-12DA44111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9904608"/>
        <c:axId val="369901000"/>
      </c:barChart>
      <c:catAx>
        <c:axId val="369904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IAF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901000"/>
        <c:crosses val="autoZero"/>
        <c:auto val="1"/>
        <c:lblAlgn val="ctr"/>
        <c:lblOffset val="100"/>
        <c:noMultiLvlLbl val="0"/>
      </c:catAx>
      <c:valAx>
        <c:axId val="3699010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90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 Beta Band (N = 85)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934273840769902"/>
          <c:y val="0.16157443861184018"/>
          <c:w val="0.81021916010498685"/>
          <c:h val="0.474214785651793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Bands!$S$6</c:f>
              <c:strCache>
                <c:ptCount val="1"/>
                <c:pt idx="0">
                  <c:v>Lower Bound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Bands!$R$51:$R$77</c:f>
              <c:strCache>
                <c:ptCount val="27"/>
                <c:pt idx="0">
                  <c:v>10.5</c:v>
                </c:pt>
                <c:pt idx="1">
                  <c:v>11</c:v>
                </c:pt>
                <c:pt idx="2">
                  <c:v>11.5</c:v>
                </c:pt>
                <c:pt idx="3">
                  <c:v>12</c:v>
                </c:pt>
                <c:pt idx="4">
                  <c:v>12.5</c:v>
                </c:pt>
                <c:pt idx="5">
                  <c:v>13</c:v>
                </c:pt>
                <c:pt idx="6">
                  <c:v>13.5</c:v>
                </c:pt>
                <c:pt idx="7">
                  <c:v>14</c:v>
                </c:pt>
                <c:pt idx="8">
                  <c:v>14.5</c:v>
                </c:pt>
                <c:pt idx="9">
                  <c:v>15</c:v>
                </c:pt>
                <c:pt idx="10">
                  <c:v>15.5</c:v>
                </c:pt>
                <c:pt idx="11">
                  <c:v>16</c:v>
                </c:pt>
                <c:pt idx="12">
                  <c:v>16.5</c:v>
                </c:pt>
                <c:pt idx="13">
                  <c:v>17</c:v>
                </c:pt>
                <c:pt idx="14">
                  <c:v>17.5</c:v>
                </c:pt>
                <c:pt idx="15">
                  <c:v>18</c:v>
                </c:pt>
                <c:pt idx="16">
                  <c:v>18.5</c:v>
                </c:pt>
                <c:pt idx="17">
                  <c:v>19</c:v>
                </c:pt>
                <c:pt idx="18">
                  <c:v>19.5</c:v>
                </c:pt>
                <c:pt idx="19">
                  <c:v>20</c:v>
                </c:pt>
                <c:pt idx="20">
                  <c:v>20.5</c:v>
                </c:pt>
                <c:pt idx="21">
                  <c:v>21</c:v>
                </c:pt>
                <c:pt idx="22">
                  <c:v>21.5</c:v>
                </c:pt>
                <c:pt idx="23">
                  <c:v>22</c:v>
                </c:pt>
                <c:pt idx="24">
                  <c:v>22.5</c:v>
                </c:pt>
                <c:pt idx="25">
                  <c:v>23</c:v>
                </c:pt>
                <c:pt idx="26">
                  <c:v>23.5</c:v>
                </c:pt>
              </c:strCache>
            </c:strRef>
          </c:cat>
          <c:val>
            <c:numRef>
              <c:f>Bands!$S$51:$S$77</c:f>
              <c:numCache>
                <c:formatCode>General</c:formatCode>
                <c:ptCount val="27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12</c:v>
                </c:pt>
                <c:pt idx="4">
                  <c:v>20</c:v>
                </c:pt>
                <c:pt idx="5">
                  <c:v>16</c:v>
                </c:pt>
                <c:pt idx="6">
                  <c:v>12</c:v>
                </c:pt>
                <c:pt idx="7">
                  <c:v>8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C8-433A-9F31-D576F48AAA5A}"/>
            </c:ext>
          </c:extLst>
        </c:ser>
        <c:ser>
          <c:idx val="1"/>
          <c:order val="1"/>
          <c:tx>
            <c:strRef>
              <c:f>Bands!$T$6</c:f>
              <c:strCache>
                <c:ptCount val="1"/>
                <c:pt idx="0">
                  <c:v>Upper Bound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Bands!$R$51:$R$77</c:f>
              <c:strCache>
                <c:ptCount val="27"/>
                <c:pt idx="0">
                  <c:v>10.5</c:v>
                </c:pt>
                <c:pt idx="1">
                  <c:v>11</c:v>
                </c:pt>
                <c:pt idx="2">
                  <c:v>11.5</c:v>
                </c:pt>
                <c:pt idx="3">
                  <c:v>12</c:v>
                </c:pt>
                <c:pt idx="4">
                  <c:v>12.5</c:v>
                </c:pt>
                <c:pt idx="5">
                  <c:v>13</c:v>
                </c:pt>
                <c:pt idx="6">
                  <c:v>13.5</c:v>
                </c:pt>
                <c:pt idx="7">
                  <c:v>14</c:v>
                </c:pt>
                <c:pt idx="8">
                  <c:v>14.5</c:v>
                </c:pt>
                <c:pt idx="9">
                  <c:v>15</c:v>
                </c:pt>
                <c:pt idx="10">
                  <c:v>15.5</c:v>
                </c:pt>
                <c:pt idx="11">
                  <c:v>16</c:v>
                </c:pt>
                <c:pt idx="12">
                  <c:v>16.5</c:v>
                </c:pt>
                <c:pt idx="13">
                  <c:v>17</c:v>
                </c:pt>
                <c:pt idx="14">
                  <c:v>17.5</c:v>
                </c:pt>
                <c:pt idx="15">
                  <c:v>18</c:v>
                </c:pt>
                <c:pt idx="16">
                  <c:v>18.5</c:v>
                </c:pt>
                <c:pt idx="17">
                  <c:v>19</c:v>
                </c:pt>
                <c:pt idx="18">
                  <c:v>19.5</c:v>
                </c:pt>
                <c:pt idx="19">
                  <c:v>20</c:v>
                </c:pt>
                <c:pt idx="20">
                  <c:v>20.5</c:v>
                </c:pt>
                <c:pt idx="21">
                  <c:v>21</c:v>
                </c:pt>
                <c:pt idx="22">
                  <c:v>21.5</c:v>
                </c:pt>
                <c:pt idx="23">
                  <c:v>22</c:v>
                </c:pt>
                <c:pt idx="24">
                  <c:v>22.5</c:v>
                </c:pt>
                <c:pt idx="25">
                  <c:v>23</c:v>
                </c:pt>
                <c:pt idx="26">
                  <c:v>23.5</c:v>
                </c:pt>
              </c:strCache>
            </c:strRef>
          </c:cat>
          <c:val>
            <c:numRef>
              <c:f>Bands!$T$51:$T$77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3</c:v>
                </c:pt>
                <c:pt idx="17">
                  <c:v>9</c:v>
                </c:pt>
                <c:pt idx="18">
                  <c:v>12</c:v>
                </c:pt>
                <c:pt idx="19">
                  <c:v>20</c:v>
                </c:pt>
                <c:pt idx="20">
                  <c:v>16</c:v>
                </c:pt>
                <c:pt idx="21">
                  <c:v>12</c:v>
                </c:pt>
                <c:pt idx="22">
                  <c:v>8</c:v>
                </c:pt>
                <c:pt idx="23">
                  <c:v>2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C8-433A-9F31-D576F48AA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785384"/>
        <c:axId val="470788336"/>
      </c:barChart>
      <c:catAx>
        <c:axId val="47078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788336"/>
        <c:crosses val="autoZero"/>
        <c:auto val="1"/>
        <c:lblAlgn val="ctr"/>
        <c:lblOffset val="100"/>
        <c:noMultiLvlLbl val="0"/>
      </c:catAx>
      <c:valAx>
        <c:axId val="4707883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78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13959973753281"/>
          <c:y val="0.81624198016914551"/>
          <c:w val="0.56831911636045496"/>
          <c:h val="8.65357976086322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High Beta Band (N = 85)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10870516185478"/>
          <c:y val="0.16106481481481483"/>
          <c:w val="0.79269685039370075"/>
          <c:h val="0.476489136774569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Bands!$S$6</c:f>
              <c:strCache>
                <c:ptCount val="1"/>
                <c:pt idx="0">
                  <c:v>Lower Bound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Bands!$R$81:$R$111</c:f>
              <c:strCache>
                <c:ptCount val="31"/>
                <c:pt idx="0">
                  <c:v>18.5</c:v>
                </c:pt>
                <c:pt idx="1">
                  <c:v>19</c:v>
                </c:pt>
                <c:pt idx="2">
                  <c:v>19.5</c:v>
                </c:pt>
                <c:pt idx="3">
                  <c:v>20</c:v>
                </c:pt>
                <c:pt idx="4">
                  <c:v>20.5</c:v>
                </c:pt>
                <c:pt idx="5">
                  <c:v>21</c:v>
                </c:pt>
                <c:pt idx="6">
                  <c:v>21.5</c:v>
                </c:pt>
                <c:pt idx="7">
                  <c:v>22</c:v>
                </c:pt>
                <c:pt idx="8">
                  <c:v>22.5</c:v>
                </c:pt>
                <c:pt idx="9">
                  <c:v>23</c:v>
                </c:pt>
                <c:pt idx="10">
                  <c:v>23.5</c:v>
                </c:pt>
                <c:pt idx="11">
                  <c:v>24</c:v>
                </c:pt>
                <c:pt idx="12">
                  <c:v>24.5</c:v>
                </c:pt>
                <c:pt idx="13">
                  <c:v>25</c:v>
                </c:pt>
                <c:pt idx="14">
                  <c:v>25.5</c:v>
                </c:pt>
                <c:pt idx="15">
                  <c:v>26</c:v>
                </c:pt>
                <c:pt idx="16">
                  <c:v>26.5</c:v>
                </c:pt>
                <c:pt idx="17">
                  <c:v>27</c:v>
                </c:pt>
                <c:pt idx="18">
                  <c:v>27.5</c:v>
                </c:pt>
                <c:pt idx="19">
                  <c:v>28</c:v>
                </c:pt>
                <c:pt idx="20">
                  <c:v>28.5</c:v>
                </c:pt>
                <c:pt idx="21">
                  <c:v>29</c:v>
                </c:pt>
                <c:pt idx="22">
                  <c:v>29.5</c:v>
                </c:pt>
                <c:pt idx="23">
                  <c:v>30</c:v>
                </c:pt>
                <c:pt idx="24">
                  <c:v>30.5</c:v>
                </c:pt>
                <c:pt idx="25">
                  <c:v>31</c:v>
                </c:pt>
                <c:pt idx="26">
                  <c:v>31.5</c:v>
                </c:pt>
                <c:pt idx="27">
                  <c:v>32</c:v>
                </c:pt>
                <c:pt idx="28">
                  <c:v>32.5</c:v>
                </c:pt>
                <c:pt idx="29">
                  <c:v>33</c:v>
                </c:pt>
                <c:pt idx="30">
                  <c:v>33.5</c:v>
                </c:pt>
              </c:strCache>
            </c:strRef>
          </c:cat>
          <c:val>
            <c:numRef>
              <c:f>Bands!$S$81:$S$111</c:f>
              <c:numCache>
                <c:formatCode>General</c:formatCode>
                <c:ptCount val="31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12</c:v>
                </c:pt>
                <c:pt idx="4">
                  <c:v>20</c:v>
                </c:pt>
                <c:pt idx="5">
                  <c:v>16</c:v>
                </c:pt>
                <c:pt idx="6">
                  <c:v>12</c:v>
                </c:pt>
                <c:pt idx="7">
                  <c:v>8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A0-4DD4-97F1-EC081150E84D}"/>
            </c:ext>
          </c:extLst>
        </c:ser>
        <c:ser>
          <c:idx val="1"/>
          <c:order val="1"/>
          <c:tx>
            <c:strRef>
              <c:f>Bands!$T$6</c:f>
              <c:strCache>
                <c:ptCount val="1"/>
                <c:pt idx="0">
                  <c:v>Upper Bound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Bands!$R$81:$R$111</c:f>
              <c:strCache>
                <c:ptCount val="31"/>
                <c:pt idx="0">
                  <c:v>18.5</c:v>
                </c:pt>
                <c:pt idx="1">
                  <c:v>19</c:v>
                </c:pt>
                <c:pt idx="2">
                  <c:v>19.5</c:v>
                </c:pt>
                <c:pt idx="3">
                  <c:v>20</c:v>
                </c:pt>
                <c:pt idx="4">
                  <c:v>20.5</c:v>
                </c:pt>
                <c:pt idx="5">
                  <c:v>21</c:v>
                </c:pt>
                <c:pt idx="6">
                  <c:v>21.5</c:v>
                </c:pt>
                <c:pt idx="7">
                  <c:v>22</c:v>
                </c:pt>
                <c:pt idx="8">
                  <c:v>22.5</c:v>
                </c:pt>
                <c:pt idx="9">
                  <c:v>23</c:v>
                </c:pt>
                <c:pt idx="10">
                  <c:v>23.5</c:v>
                </c:pt>
                <c:pt idx="11">
                  <c:v>24</c:v>
                </c:pt>
                <c:pt idx="12">
                  <c:v>24.5</c:v>
                </c:pt>
                <c:pt idx="13">
                  <c:v>25</c:v>
                </c:pt>
                <c:pt idx="14">
                  <c:v>25.5</c:v>
                </c:pt>
                <c:pt idx="15">
                  <c:v>26</c:v>
                </c:pt>
                <c:pt idx="16">
                  <c:v>26.5</c:v>
                </c:pt>
                <c:pt idx="17">
                  <c:v>27</c:v>
                </c:pt>
                <c:pt idx="18">
                  <c:v>27.5</c:v>
                </c:pt>
                <c:pt idx="19">
                  <c:v>28</c:v>
                </c:pt>
                <c:pt idx="20">
                  <c:v>28.5</c:v>
                </c:pt>
                <c:pt idx="21">
                  <c:v>29</c:v>
                </c:pt>
                <c:pt idx="22">
                  <c:v>29.5</c:v>
                </c:pt>
                <c:pt idx="23">
                  <c:v>30</c:v>
                </c:pt>
                <c:pt idx="24">
                  <c:v>30.5</c:v>
                </c:pt>
                <c:pt idx="25">
                  <c:v>31</c:v>
                </c:pt>
                <c:pt idx="26">
                  <c:v>31.5</c:v>
                </c:pt>
                <c:pt idx="27">
                  <c:v>32</c:v>
                </c:pt>
                <c:pt idx="28">
                  <c:v>32.5</c:v>
                </c:pt>
                <c:pt idx="29">
                  <c:v>33</c:v>
                </c:pt>
                <c:pt idx="30">
                  <c:v>33.5</c:v>
                </c:pt>
              </c:strCache>
            </c:strRef>
          </c:cat>
          <c:val>
            <c:numRef>
              <c:f>Bands!$T$81:$T$111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3</c:v>
                </c:pt>
                <c:pt idx="21">
                  <c:v>9</c:v>
                </c:pt>
                <c:pt idx="22">
                  <c:v>12</c:v>
                </c:pt>
                <c:pt idx="23">
                  <c:v>20</c:v>
                </c:pt>
                <c:pt idx="24">
                  <c:v>16</c:v>
                </c:pt>
                <c:pt idx="25">
                  <c:v>12</c:v>
                </c:pt>
                <c:pt idx="26">
                  <c:v>8</c:v>
                </c:pt>
                <c:pt idx="27">
                  <c:v>2</c:v>
                </c:pt>
                <c:pt idx="28">
                  <c:v>1</c:v>
                </c:pt>
                <c:pt idx="29">
                  <c:v>0</c:v>
                </c:pt>
                <c:pt idx="3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A0-4DD4-97F1-EC081150E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785384"/>
        <c:axId val="470788336"/>
      </c:barChart>
      <c:catAx>
        <c:axId val="47078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788336"/>
        <c:crosses val="autoZero"/>
        <c:auto val="1"/>
        <c:lblAlgn val="ctr"/>
        <c:lblOffset val="100"/>
        <c:noMultiLvlLbl val="0"/>
      </c:catAx>
      <c:valAx>
        <c:axId val="4707883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bg1"/>
                    </a:solidFill>
                  </a:rPr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78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13959973753281"/>
          <c:y val="0.81624198016914551"/>
          <c:w val="0.56831911636045496"/>
          <c:h val="8.65357976086322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5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Alpha Band (N = 85)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Bands!$S$6</c:f>
              <c:strCache>
                <c:ptCount val="1"/>
                <c:pt idx="0">
                  <c:v>Lower Bound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Bands!$R$29:$R$47</c:f>
              <c:strCache>
                <c:ptCount val="19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8.5</c:v>
                </c:pt>
                <c:pt idx="5">
                  <c:v>9</c:v>
                </c:pt>
                <c:pt idx="6">
                  <c:v>9.5</c:v>
                </c:pt>
                <c:pt idx="7">
                  <c:v>10</c:v>
                </c:pt>
                <c:pt idx="8">
                  <c:v>10.5</c:v>
                </c:pt>
                <c:pt idx="9">
                  <c:v>11</c:v>
                </c:pt>
                <c:pt idx="10">
                  <c:v>11.5</c:v>
                </c:pt>
                <c:pt idx="11">
                  <c:v>12</c:v>
                </c:pt>
                <c:pt idx="12">
                  <c:v>12.5</c:v>
                </c:pt>
                <c:pt idx="13">
                  <c:v>13</c:v>
                </c:pt>
                <c:pt idx="14">
                  <c:v>13.5</c:v>
                </c:pt>
                <c:pt idx="15">
                  <c:v>14</c:v>
                </c:pt>
                <c:pt idx="16">
                  <c:v>14.5</c:v>
                </c:pt>
                <c:pt idx="17">
                  <c:v>15</c:v>
                </c:pt>
                <c:pt idx="18">
                  <c:v>15.5</c:v>
                </c:pt>
              </c:strCache>
            </c:strRef>
          </c:cat>
          <c:val>
            <c:numRef>
              <c:f>Bands!$S$29:$S$47</c:f>
              <c:numCache>
                <c:formatCode>General</c:formatCode>
                <c:ptCount val="19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12</c:v>
                </c:pt>
                <c:pt idx="4">
                  <c:v>20</c:v>
                </c:pt>
                <c:pt idx="5">
                  <c:v>16</c:v>
                </c:pt>
                <c:pt idx="6">
                  <c:v>12</c:v>
                </c:pt>
                <c:pt idx="7">
                  <c:v>8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9C-43E7-8947-3F29FADB45E1}"/>
            </c:ext>
          </c:extLst>
        </c:ser>
        <c:ser>
          <c:idx val="1"/>
          <c:order val="1"/>
          <c:tx>
            <c:strRef>
              <c:f>Bands!$T$6</c:f>
              <c:strCache>
                <c:ptCount val="1"/>
                <c:pt idx="0">
                  <c:v>Upper Bound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Bands!$R$29:$R$47</c:f>
              <c:strCache>
                <c:ptCount val="19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8.5</c:v>
                </c:pt>
                <c:pt idx="5">
                  <c:v>9</c:v>
                </c:pt>
                <c:pt idx="6">
                  <c:v>9.5</c:v>
                </c:pt>
                <c:pt idx="7">
                  <c:v>10</c:v>
                </c:pt>
                <c:pt idx="8">
                  <c:v>10.5</c:v>
                </c:pt>
                <c:pt idx="9">
                  <c:v>11</c:v>
                </c:pt>
                <c:pt idx="10">
                  <c:v>11.5</c:v>
                </c:pt>
                <c:pt idx="11">
                  <c:v>12</c:v>
                </c:pt>
                <c:pt idx="12">
                  <c:v>12.5</c:v>
                </c:pt>
                <c:pt idx="13">
                  <c:v>13</c:v>
                </c:pt>
                <c:pt idx="14">
                  <c:v>13.5</c:v>
                </c:pt>
                <c:pt idx="15">
                  <c:v>14</c:v>
                </c:pt>
                <c:pt idx="16">
                  <c:v>14.5</c:v>
                </c:pt>
                <c:pt idx="17">
                  <c:v>15</c:v>
                </c:pt>
                <c:pt idx="18">
                  <c:v>15.5</c:v>
                </c:pt>
              </c:strCache>
            </c:strRef>
          </c:cat>
          <c:val>
            <c:numRef>
              <c:f>Bands!$T$29:$T$47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9</c:v>
                </c:pt>
                <c:pt idx="10">
                  <c:v>12</c:v>
                </c:pt>
                <c:pt idx="11">
                  <c:v>20</c:v>
                </c:pt>
                <c:pt idx="12">
                  <c:v>16</c:v>
                </c:pt>
                <c:pt idx="13">
                  <c:v>12</c:v>
                </c:pt>
                <c:pt idx="14">
                  <c:v>8</c:v>
                </c:pt>
                <c:pt idx="15">
                  <c:v>2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9C-43E7-8947-3F29FADB4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785384"/>
        <c:axId val="470788336"/>
      </c:barChart>
      <c:catAx>
        <c:axId val="47078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788336"/>
        <c:crosses val="autoZero"/>
        <c:auto val="1"/>
        <c:lblAlgn val="ctr"/>
        <c:lblOffset val="100"/>
        <c:noMultiLvlLbl val="0"/>
      </c:catAx>
      <c:valAx>
        <c:axId val="4707883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bg1"/>
                    </a:solidFill>
                  </a:rPr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78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13959973753281"/>
          <c:y val="0.81624198016914551"/>
          <c:w val="0.56831911636045496"/>
          <c:h val="8.65357976086322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5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Theta Band (N = 85)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Bands!$S$6</c:f>
              <c:strCache>
                <c:ptCount val="1"/>
                <c:pt idx="0">
                  <c:v>Lower Bound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Bands!$R$7:$R$25</c:f>
              <c:strCache>
                <c:ptCount val="19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  <c:pt idx="3">
                  <c:v>4</c:v>
                </c:pt>
                <c:pt idx="4">
                  <c:v>4.5</c:v>
                </c:pt>
                <c:pt idx="5">
                  <c:v>5</c:v>
                </c:pt>
                <c:pt idx="6">
                  <c:v>5.5</c:v>
                </c:pt>
                <c:pt idx="7">
                  <c:v>6</c:v>
                </c:pt>
                <c:pt idx="8">
                  <c:v>6.5</c:v>
                </c:pt>
                <c:pt idx="9">
                  <c:v>7</c:v>
                </c:pt>
                <c:pt idx="10">
                  <c:v>7.5</c:v>
                </c:pt>
                <c:pt idx="11">
                  <c:v>8</c:v>
                </c:pt>
                <c:pt idx="12">
                  <c:v>8.5</c:v>
                </c:pt>
                <c:pt idx="13">
                  <c:v>9</c:v>
                </c:pt>
                <c:pt idx="14">
                  <c:v>9.5</c:v>
                </c:pt>
                <c:pt idx="15">
                  <c:v>10</c:v>
                </c:pt>
                <c:pt idx="16">
                  <c:v>10.5</c:v>
                </c:pt>
                <c:pt idx="17">
                  <c:v>11</c:v>
                </c:pt>
                <c:pt idx="18">
                  <c:v>11.5</c:v>
                </c:pt>
              </c:strCache>
            </c:strRef>
          </c:cat>
          <c:val>
            <c:numRef>
              <c:f>Bands!$S$7:$S$25</c:f>
              <c:numCache>
                <c:formatCode>General</c:formatCode>
                <c:ptCount val="19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12</c:v>
                </c:pt>
                <c:pt idx="4">
                  <c:v>20</c:v>
                </c:pt>
                <c:pt idx="5">
                  <c:v>16</c:v>
                </c:pt>
                <c:pt idx="6">
                  <c:v>12</c:v>
                </c:pt>
                <c:pt idx="7">
                  <c:v>8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DD-4A40-A947-DE5E40C53A60}"/>
            </c:ext>
          </c:extLst>
        </c:ser>
        <c:ser>
          <c:idx val="1"/>
          <c:order val="1"/>
          <c:tx>
            <c:strRef>
              <c:f>Bands!$T$6</c:f>
              <c:strCache>
                <c:ptCount val="1"/>
                <c:pt idx="0">
                  <c:v>Upper Bound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Bands!$R$7:$R$25</c:f>
              <c:strCache>
                <c:ptCount val="19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  <c:pt idx="3">
                  <c:v>4</c:v>
                </c:pt>
                <c:pt idx="4">
                  <c:v>4.5</c:v>
                </c:pt>
                <c:pt idx="5">
                  <c:v>5</c:v>
                </c:pt>
                <c:pt idx="6">
                  <c:v>5.5</c:v>
                </c:pt>
                <c:pt idx="7">
                  <c:v>6</c:v>
                </c:pt>
                <c:pt idx="8">
                  <c:v>6.5</c:v>
                </c:pt>
                <c:pt idx="9">
                  <c:v>7</c:v>
                </c:pt>
                <c:pt idx="10">
                  <c:v>7.5</c:v>
                </c:pt>
                <c:pt idx="11">
                  <c:v>8</c:v>
                </c:pt>
                <c:pt idx="12">
                  <c:v>8.5</c:v>
                </c:pt>
                <c:pt idx="13">
                  <c:v>9</c:v>
                </c:pt>
                <c:pt idx="14">
                  <c:v>9.5</c:v>
                </c:pt>
                <c:pt idx="15">
                  <c:v>10</c:v>
                </c:pt>
                <c:pt idx="16">
                  <c:v>10.5</c:v>
                </c:pt>
                <c:pt idx="17">
                  <c:v>11</c:v>
                </c:pt>
                <c:pt idx="18">
                  <c:v>11.5</c:v>
                </c:pt>
              </c:strCache>
            </c:strRef>
          </c:cat>
          <c:val>
            <c:numRef>
              <c:f>Bands!$T$7:$T$25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9</c:v>
                </c:pt>
                <c:pt idx="10">
                  <c:v>12</c:v>
                </c:pt>
                <c:pt idx="11">
                  <c:v>20</c:v>
                </c:pt>
                <c:pt idx="12">
                  <c:v>16</c:v>
                </c:pt>
                <c:pt idx="13">
                  <c:v>12</c:v>
                </c:pt>
                <c:pt idx="14">
                  <c:v>8</c:v>
                </c:pt>
                <c:pt idx="15">
                  <c:v>2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DD-4A40-A947-DE5E40C53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785384"/>
        <c:axId val="470788336"/>
      </c:barChart>
      <c:catAx>
        <c:axId val="47078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788336"/>
        <c:crosses val="autoZero"/>
        <c:auto val="1"/>
        <c:lblAlgn val="ctr"/>
        <c:lblOffset val="100"/>
        <c:noMultiLvlLbl val="0"/>
      </c:catAx>
      <c:valAx>
        <c:axId val="4707883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78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13959973753281"/>
          <c:y val="0.81624198016914551"/>
          <c:w val="0.56831911636045496"/>
          <c:h val="8.65357976086322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Kerrick</dc:creator>
  <cp:keywords/>
  <dc:description/>
  <cp:lastModifiedBy>Yamasaki, Brianna</cp:lastModifiedBy>
  <cp:revision>5</cp:revision>
  <dcterms:created xsi:type="dcterms:W3CDTF">2019-03-25T20:03:00Z</dcterms:created>
  <dcterms:modified xsi:type="dcterms:W3CDTF">2019-03-27T23:18:00Z</dcterms:modified>
</cp:coreProperties>
</file>