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B1A12" w14:textId="5DB999C6" w:rsidR="00F61E95" w:rsidRDefault="00E644F9">
      <w:pPr>
        <w:rPr>
          <w:rFonts w:ascii="Times New Roman" w:hAnsi="Times New Roman" w:cs="Times New Roman"/>
        </w:rPr>
      </w:pPr>
      <w:r>
        <w:rPr>
          <w:rFonts w:ascii="Times New Roman" w:hAnsi="Times New Roman" w:cs="Times New Roman"/>
        </w:rPr>
        <w:t>To: Mr. Apple, Applichem Operations Manager</w:t>
      </w:r>
    </w:p>
    <w:p w14:paraId="344D28EE" w14:textId="51A5D215" w:rsidR="00E644F9" w:rsidRDefault="00E644F9">
      <w:pPr>
        <w:rPr>
          <w:rFonts w:ascii="Times New Roman" w:hAnsi="Times New Roman" w:cs="Times New Roman"/>
        </w:rPr>
      </w:pPr>
      <w:r>
        <w:rPr>
          <w:rFonts w:ascii="Times New Roman" w:hAnsi="Times New Roman" w:cs="Times New Roman"/>
        </w:rPr>
        <w:t>From: Theo Hargis</w:t>
      </w:r>
    </w:p>
    <w:p w14:paraId="61794D4A" w14:textId="783A78F6" w:rsidR="00E644F9" w:rsidRDefault="00E644F9">
      <w:pPr>
        <w:rPr>
          <w:rFonts w:ascii="Times New Roman" w:hAnsi="Times New Roman" w:cs="Times New Roman"/>
        </w:rPr>
      </w:pPr>
      <w:r>
        <w:rPr>
          <w:rFonts w:ascii="Times New Roman" w:hAnsi="Times New Roman" w:cs="Times New Roman"/>
        </w:rPr>
        <w:t>Date: April 13, 2020</w:t>
      </w:r>
    </w:p>
    <w:p w14:paraId="763F7F62" w14:textId="4E41D5D5" w:rsidR="00E644F9" w:rsidRDefault="00E644F9">
      <w:pPr>
        <w:rPr>
          <w:rFonts w:ascii="Times New Roman" w:hAnsi="Times New Roman" w:cs="Times New Roman"/>
        </w:rPr>
      </w:pPr>
      <w:r>
        <w:rPr>
          <w:rFonts w:ascii="Times New Roman" w:hAnsi="Times New Roman" w:cs="Times New Roman"/>
        </w:rPr>
        <w:t>Subject:</w:t>
      </w:r>
      <w:r w:rsidR="00183756">
        <w:rPr>
          <w:rFonts w:ascii="Times New Roman" w:hAnsi="Times New Roman" w:cs="Times New Roman"/>
        </w:rPr>
        <w:t xml:space="preserve"> Manufacturing Location Analysis Strategy Recommendation</w:t>
      </w:r>
    </w:p>
    <w:p w14:paraId="4EB52FE2" w14:textId="17FAD356" w:rsidR="00183756" w:rsidRDefault="00183756">
      <w:pPr>
        <w:rPr>
          <w:rFonts w:ascii="Times New Roman" w:hAnsi="Times New Roman" w:cs="Times New Roman"/>
        </w:rPr>
      </w:pPr>
    </w:p>
    <w:p w14:paraId="0C8A42BE" w14:textId="4AB2E5E8" w:rsidR="00183756" w:rsidRDefault="00183756">
      <w:pPr>
        <w:rPr>
          <w:rFonts w:ascii="Times New Roman" w:hAnsi="Times New Roman" w:cs="Times New Roman"/>
        </w:rPr>
      </w:pPr>
      <w:r>
        <w:rPr>
          <w:rFonts w:ascii="Times New Roman" w:hAnsi="Times New Roman" w:cs="Times New Roman"/>
          <w:b/>
          <w:bCs/>
          <w:i/>
          <w:iCs/>
          <w:u w:val="single"/>
        </w:rPr>
        <w:t>Executive Summary</w:t>
      </w:r>
    </w:p>
    <w:p w14:paraId="4C2AD843" w14:textId="750B1107" w:rsidR="00183756" w:rsidRDefault="00183756">
      <w:pPr>
        <w:rPr>
          <w:rFonts w:ascii="Times New Roman" w:hAnsi="Times New Roman" w:cs="Times New Roman"/>
        </w:rPr>
      </w:pPr>
      <w:r>
        <w:rPr>
          <w:rFonts w:ascii="Times New Roman" w:hAnsi="Times New Roman" w:cs="Times New Roman"/>
        </w:rPr>
        <w:t xml:space="preserve">Over the next year of Release-Ease forecasted sales, Applichem’s current product distribution plan will result in the underutilization and inefficiency of three factories unless an adjustment is made to the distribution strategy. </w:t>
      </w:r>
      <w:r w:rsidR="00521093">
        <w:rPr>
          <w:rFonts w:ascii="Times New Roman" w:hAnsi="Times New Roman" w:cs="Times New Roman"/>
        </w:rPr>
        <w:t>In addition, due to the projected rise of demand in the Chinese market two years down the line, without change, Applichem will face drastic supply shortages across the board. I recommend that Applichem</w:t>
      </w:r>
      <w:r w:rsidR="00A21E89">
        <w:rPr>
          <w:rFonts w:ascii="Times New Roman" w:hAnsi="Times New Roman" w:cs="Times New Roman"/>
        </w:rPr>
        <w:t xml:space="preserve"> readjust their analysis of production and distribution costs of each factory and market location, and modify their distribution plan accordingly, shut down the Osaka factory</w:t>
      </w:r>
      <w:r w:rsidR="00A751B8">
        <w:rPr>
          <w:rFonts w:ascii="Times New Roman" w:hAnsi="Times New Roman" w:cs="Times New Roman"/>
        </w:rPr>
        <w:t xml:space="preserve"> immediately</w:t>
      </w:r>
      <w:r w:rsidR="00A21E89">
        <w:rPr>
          <w:rFonts w:ascii="Times New Roman" w:hAnsi="Times New Roman" w:cs="Times New Roman"/>
        </w:rPr>
        <w:t xml:space="preserve">, as well as invest in a new factory in Beijing to account for the increased demand in the Chinese market. </w:t>
      </w:r>
      <w:r w:rsidR="0041541A">
        <w:rPr>
          <w:rFonts w:ascii="Times New Roman" w:hAnsi="Times New Roman" w:cs="Times New Roman"/>
        </w:rPr>
        <w:t>This</w:t>
      </w:r>
      <w:r w:rsidR="00A21E89">
        <w:rPr>
          <w:rFonts w:ascii="Times New Roman" w:hAnsi="Times New Roman" w:cs="Times New Roman"/>
        </w:rPr>
        <w:t xml:space="preserve"> will reduce underutilization of certain factory spaces, thereby reducing costs, and increase Applichem’s overall production capacity to meet new demand targets.</w:t>
      </w:r>
    </w:p>
    <w:p w14:paraId="760159F0" w14:textId="2CE4511D" w:rsidR="00A751B8" w:rsidRDefault="00A751B8">
      <w:pPr>
        <w:rPr>
          <w:rFonts w:ascii="Times New Roman" w:hAnsi="Times New Roman" w:cs="Times New Roman"/>
        </w:rPr>
      </w:pPr>
    </w:p>
    <w:p w14:paraId="4E088200" w14:textId="26E94BBE" w:rsidR="00A751B8" w:rsidRDefault="00A751B8">
      <w:pPr>
        <w:rPr>
          <w:rFonts w:ascii="Times New Roman" w:hAnsi="Times New Roman" w:cs="Times New Roman"/>
          <w:b/>
          <w:bCs/>
          <w:i/>
          <w:iCs/>
          <w:u w:val="single"/>
        </w:rPr>
      </w:pPr>
      <w:r>
        <w:rPr>
          <w:rFonts w:ascii="Times New Roman" w:hAnsi="Times New Roman" w:cs="Times New Roman"/>
          <w:b/>
          <w:bCs/>
          <w:i/>
          <w:iCs/>
          <w:u w:val="single"/>
        </w:rPr>
        <w:t>Benefits of Recommended Short-Term Distribution Strategy</w:t>
      </w:r>
    </w:p>
    <w:p w14:paraId="5F0B8892" w14:textId="2064ACDE" w:rsidR="00A751B8" w:rsidRPr="00A751B8" w:rsidRDefault="00A751B8">
      <w:pPr>
        <w:rPr>
          <w:rFonts w:ascii="Times New Roman" w:hAnsi="Times New Roman" w:cs="Times New Roman"/>
        </w:rPr>
      </w:pPr>
      <w:r>
        <w:rPr>
          <w:rFonts w:ascii="Times New Roman" w:hAnsi="Times New Roman" w:cs="Times New Roman"/>
        </w:rPr>
        <w:t xml:space="preserve">This </w:t>
      </w:r>
      <w:r w:rsidR="000C2CE3">
        <w:rPr>
          <w:rFonts w:ascii="Times New Roman" w:hAnsi="Times New Roman" w:cs="Times New Roman"/>
        </w:rPr>
        <w:t>strategy</w:t>
      </w:r>
      <w:r>
        <w:rPr>
          <w:rFonts w:ascii="Times New Roman" w:hAnsi="Times New Roman" w:cs="Times New Roman"/>
        </w:rPr>
        <w:t xml:space="preserve"> recommendation ensures that</w:t>
      </w:r>
    </w:p>
    <w:p w14:paraId="2D2EFE3C" w14:textId="4668D1D1" w:rsidR="00A751B8" w:rsidRDefault="00D1366A" w:rsidP="00066E87">
      <w:pPr>
        <w:pStyle w:val="ListParagraph"/>
        <w:numPr>
          <w:ilvl w:val="0"/>
          <w:numId w:val="1"/>
        </w:numPr>
        <w:ind w:left="360"/>
        <w:rPr>
          <w:rFonts w:ascii="Times New Roman" w:hAnsi="Times New Roman" w:cs="Times New Roman"/>
        </w:rPr>
      </w:pPr>
      <w:r>
        <w:rPr>
          <w:rFonts w:ascii="Times New Roman" w:hAnsi="Times New Roman" w:cs="Times New Roman"/>
        </w:rPr>
        <w:t>All d</w:t>
      </w:r>
      <w:r w:rsidR="0059021B">
        <w:rPr>
          <w:rFonts w:ascii="Times New Roman" w:hAnsi="Times New Roman" w:cs="Times New Roman"/>
        </w:rPr>
        <w:t>emand</w:t>
      </w:r>
      <w:r w:rsidR="00A751B8">
        <w:rPr>
          <w:rFonts w:ascii="Times New Roman" w:hAnsi="Times New Roman" w:cs="Times New Roman"/>
        </w:rPr>
        <w:t xml:space="preserve"> targets will be met. with certain risk factors such as changing currency valuations </w:t>
      </w:r>
      <w:r>
        <w:rPr>
          <w:rFonts w:ascii="Times New Roman" w:hAnsi="Times New Roman" w:cs="Times New Roman"/>
        </w:rPr>
        <w:t>and frequent labor law changes</w:t>
      </w:r>
      <w:r w:rsidR="00A751B8">
        <w:rPr>
          <w:rFonts w:ascii="Times New Roman" w:hAnsi="Times New Roman" w:cs="Times New Roman"/>
        </w:rPr>
        <w:t xml:space="preserve"> taken into account. </w:t>
      </w:r>
      <w:r>
        <w:rPr>
          <w:rFonts w:ascii="Times New Roman" w:hAnsi="Times New Roman" w:cs="Times New Roman"/>
        </w:rPr>
        <w:t>This especially affects Venezuela, where there is no sign of improving economic conditions or international relations for the foreseeable future.</w:t>
      </w:r>
    </w:p>
    <w:p w14:paraId="635767EC" w14:textId="54A625E3" w:rsidR="00A751B8" w:rsidRDefault="00A751B8" w:rsidP="00066E87">
      <w:pPr>
        <w:pStyle w:val="ListParagraph"/>
        <w:numPr>
          <w:ilvl w:val="0"/>
          <w:numId w:val="1"/>
        </w:numPr>
        <w:ind w:left="360"/>
        <w:rPr>
          <w:rFonts w:ascii="Times New Roman" w:hAnsi="Times New Roman" w:cs="Times New Roman"/>
        </w:rPr>
      </w:pPr>
      <w:r>
        <w:rPr>
          <w:rFonts w:ascii="Times New Roman" w:hAnsi="Times New Roman" w:cs="Times New Roman"/>
        </w:rPr>
        <w:t xml:space="preserve">Overall production and distribution costs are reduced by over $30,000, as seen in </w:t>
      </w:r>
      <w:r>
        <w:rPr>
          <w:rFonts w:ascii="Times New Roman" w:hAnsi="Times New Roman" w:cs="Times New Roman"/>
          <w:b/>
          <w:bCs/>
        </w:rPr>
        <w:t xml:space="preserve">Table </w:t>
      </w:r>
      <w:r w:rsidR="004B7983">
        <w:rPr>
          <w:rFonts w:ascii="Times New Roman" w:hAnsi="Times New Roman" w:cs="Times New Roman"/>
          <w:b/>
          <w:bCs/>
        </w:rPr>
        <w:t xml:space="preserve">1 </w:t>
      </w:r>
      <w:r w:rsidR="004B7983">
        <w:rPr>
          <w:rFonts w:ascii="Times New Roman" w:hAnsi="Times New Roman" w:cs="Times New Roman"/>
        </w:rPr>
        <w:t xml:space="preserve">and </w:t>
      </w:r>
      <w:r w:rsidR="0059021B">
        <w:rPr>
          <w:rFonts w:ascii="Times New Roman" w:hAnsi="Times New Roman" w:cs="Times New Roman"/>
          <w:b/>
          <w:bCs/>
        </w:rPr>
        <w:t>2</w:t>
      </w:r>
      <w:r>
        <w:rPr>
          <w:rFonts w:ascii="Times New Roman" w:hAnsi="Times New Roman" w:cs="Times New Roman"/>
        </w:rPr>
        <w:t>, as well as the reduction in Applichem’s fixed costs due to the Osaka factory closure.</w:t>
      </w:r>
    </w:p>
    <w:p w14:paraId="5518A3FD" w14:textId="6CBB0904" w:rsidR="00A751B8" w:rsidRDefault="00A751B8" w:rsidP="0059021B">
      <w:pPr>
        <w:rPr>
          <w:rFonts w:ascii="Times New Roman" w:hAnsi="Times New Roman" w:cs="Times New Roman"/>
        </w:rPr>
      </w:pPr>
    </w:p>
    <w:p w14:paraId="5E55C2EE" w14:textId="43751298" w:rsidR="0059021B" w:rsidRDefault="0059021B" w:rsidP="0059021B">
      <w:pPr>
        <w:rPr>
          <w:rFonts w:ascii="Times New Roman" w:hAnsi="Times New Roman" w:cs="Times New Roman"/>
          <w:b/>
          <w:bCs/>
          <w:i/>
          <w:iCs/>
          <w:u w:val="single"/>
        </w:rPr>
      </w:pPr>
      <w:r>
        <w:rPr>
          <w:rFonts w:ascii="Times New Roman" w:hAnsi="Times New Roman" w:cs="Times New Roman"/>
          <w:b/>
          <w:bCs/>
          <w:i/>
          <w:iCs/>
          <w:u w:val="single"/>
        </w:rPr>
        <w:t>Benefits of Recommended Supply Chain Strategy</w:t>
      </w:r>
    </w:p>
    <w:p w14:paraId="7D572F7A" w14:textId="51488774" w:rsidR="000C2CE3" w:rsidRDefault="000C2CE3" w:rsidP="000C2CE3">
      <w:pPr>
        <w:rPr>
          <w:rFonts w:ascii="Times New Roman" w:hAnsi="Times New Roman" w:cs="Times New Roman"/>
        </w:rPr>
      </w:pPr>
      <w:r>
        <w:rPr>
          <w:rFonts w:ascii="Times New Roman" w:hAnsi="Times New Roman" w:cs="Times New Roman"/>
        </w:rPr>
        <w:t>This strategy recommendation ensures that</w:t>
      </w:r>
    </w:p>
    <w:p w14:paraId="66815FEE" w14:textId="2434BA40" w:rsidR="000C2CE3" w:rsidRDefault="00D1366A" w:rsidP="00066E87">
      <w:pPr>
        <w:pStyle w:val="ListParagraph"/>
        <w:numPr>
          <w:ilvl w:val="0"/>
          <w:numId w:val="4"/>
        </w:numPr>
        <w:ind w:left="360"/>
        <w:rPr>
          <w:rFonts w:ascii="Times New Roman" w:hAnsi="Times New Roman" w:cs="Times New Roman"/>
        </w:rPr>
      </w:pPr>
      <w:r>
        <w:rPr>
          <w:rFonts w:ascii="Times New Roman" w:hAnsi="Times New Roman" w:cs="Times New Roman"/>
        </w:rPr>
        <w:t>All demand targets</w:t>
      </w:r>
      <w:r w:rsidR="000C2CE3">
        <w:rPr>
          <w:rFonts w:ascii="Times New Roman" w:hAnsi="Times New Roman" w:cs="Times New Roman"/>
        </w:rPr>
        <w:t xml:space="preserve"> will be met with the same risk factors taken into account.</w:t>
      </w:r>
      <w:r w:rsidR="00D464C9">
        <w:rPr>
          <w:rFonts w:ascii="Times New Roman" w:hAnsi="Times New Roman" w:cs="Times New Roman"/>
        </w:rPr>
        <w:t xml:space="preserve"> Both alternative strategies resulted in supply shortages,</w:t>
      </w:r>
      <w:r w:rsidR="004B7983">
        <w:rPr>
          <w:rFonts w:ascii="Times New Roman" w:hAnsi="Times New Roman" w:cs="Times New Roman"/>
        </w:rPr>
        <w:t xml:space="preserve"> as seen in </w:t>
      </w:r>
      <w:r w:rsidR="00730D91">
        <w:rPr>
          <w:rFonts w:ascii="Times New Roman" w:hAnsi="Times New Roman" w:cs="Times New Roman"/>
          <w:b/>
          <w:bCs/>
        </w:rPr>
        <w:t>Figure</w:t>
      </w:r>
      <w:r w:rsidR="004B7983">
        <w:rPr>
          <w:rFonts w:ascii="Times New Roman" w:hAnsi="Times New Roman" w:cs="Times New Roman"/>
          <w:b/>
          <w:bCs/>
        </w:rPr>
        <w:t xml:space="preserve"> </w:t>
      </w:r>
      <w:r w:rsidR="00730D91">
        <w:rPr>
          <w:rFonts w:ascii="Times New Roman" w:hAnsi="Times New Roman" w:cs="Times New Roman"/>
          <w:b/>
          <w:bCs/>
        </w:rPr>
        <w:t>3</w:t>
      </w:r>
      <w:r w:rsidR="004B7983">
        <w:rPr>
          <w:rFonts w:ascii="Times New Roman" w:hAnsi="Times New Roman" w:cs="Times New Roman"/>
        </w:rPr>
        <w:t>,</w:t>
      </w:r>
      <w:r w:rsidR="00D464C9">
        <w:rPr>
          <w:rFonts w:ascii="Times New Roman" w:hAnsi="Times New Roman" w:cs="Times New Roman"/>
        </w:rPr>
        <w:t xml:space="preserve"> while the added Beijing factory adds significant production capacity. This eliminates any stockouts, as well as the potential need for costly and strenuous overtime work in certain factories to meet demand targets. </w:t>
      </w:r>
    </w:p>
    <w:p w14:paraId="648FDED7" w14:textId="37B60367" w:rsidR="00D464C9" w:rsidRDefault="00D464C9" w:rsidP="00066E87">
      <w:pPr>
        <w:pStyle w:val="ListParagraph"/>
        <w:numPr>
          <w:ilvl w:val="0"/>
          <w:numId w:val="4"/>
        </w:numPr>
        <w:ind w:left="360"/>
        <w:rPr>
          <w:rFonts w:ascii="Times New Roman" w:hAnsi="Times New Roman" w:cs="Times New Roman"/>
        </w:rPr>
      </w:pPr>
      <w:r>
        <w:rPr>
          <w:rFonts w:ascii="Times New Roman" w:hAnsi="Times New Roman" w:cs="Times New Roman"/>
        </w:rPr>
        <w:t>Overall production and distribution costs total approximately $1.15 million, almost $50,000 lower than the comparable alternative solution in expanding the Frankfurt factory capacity</w:t>
      </w:r>
      <w:r w:rsidR="004B7983">
        <w:rPr>
          <w:rFonts w:ascii="Times New Roman" w:hAnsi="Times New Roman" w:cs="Times New Roman"/>
        </w:rPr>
        <w:t xml:space="preserve">, as seen in </w:t>
      </w:r>
      <w:r w:rsidR="004B7983">
        <w:rPr>
          <w:rFonts w:ascii="Times New Roman" w:hAnsi="Times New Roman" w:cs="Times New Roman"/>
          <w:b/>
          <w:bCs/>
        </w:rPr>
        <w:t xml:space="preserve">Table 4 </w:t>
      </w:r>
      <w:r w:rsidR="004B7983">
        <w:rPr>
          <w:rFonts w:ascii="Times New Roman" w:hAnsi="Times New Roman" w:cs="Times New Roman"/>
        </w:rPr>
        <w:t>and</w:t>
      </w:r>
      <w:r w:rsidR="004B7983">
        <w:rPr>
          <w:rFonts w:ascii="Times New Roman" w:hAnsi="Times New Roman" w:cs="Times New Roman"/>
          <w:b/>
          <w:bCs/>
        </w:rPr>
        <w:t xml:space="preserve"> 5</w:t>
      </w:r>
      <w:r>
        <w:rPr>
          <w:rFonts w:ascii="Times New Roman" w:hAnsi="Times New Roman" w:cs="Times New Roman"/>
        </w:rPr>
        <w:t>. This is achieved through lower operating costs associated with production and distribution from the Beijing factory, as well as the closure of the Osaka factory</w:t>
      </w:r>
      <w:r w:rsidR="0041541A">
        <w:rPr>
          <w:rFonts w:ascii="Times New Roman" w:hAnsi="Times New Roman" w:cs="Times New Roman"/>
        </w:rPr>
        <w:t>.</w:t>
      </w:r>
    </w:p>
    <w:p w14:paraId="561C42B1" w14:textId="508F5CD7" w:rsidR="00066E87" w:rsidRDefault="004B7983" w:rsidP="00066E87">
      <w:pPr>
        <w:pStyle w:val="ListParagraph"/>
        <w:numPr>
          <w:ilvl w:val="0"/>
          <w:numId w:val="4"/>
        </w:numPr>
        <w:ind w:left="360"/>
        <w:rPr>
          <w:rFonts w:ascii="Times New Roman" w:hAnsi="Times New Roman" w:cs="Times New Roman"/>
        </w:rPr>
      </w:pPr>
      <w:r>
        <w:rPr>
          <w:rFonts w:ascii="Times New Roman" w:hAnsi="Times New Roman" w:cs="Times New Roman"/>
        </w:rPr>
        <w:t>Applichem will gain a significant competitive advantage in the emerging Chinese market by expanding their operations to Beijing</w:t>
      </w:r>
      <w:r w:rsidR="00066E87">
        <w:rPr>
          <w:rFonts w:ascii="Times New Roman" w:hAnsi="Times New Roman" w:cs="Times New Roman"/>
        </w:rPr>
        <w:t>, as well as have access to a plentiful, low-cost labor market.</w:t>
      </w:r>
    </w:p>
    <w:p w14:paraId="257BE1C4" w14:textId="77777777" w:rsidR="00066E87" w:rsidRPr="00066E87" w:rsidRDefault="00066E87" w:rsidP="00066E87">
      <w:pPr>
        <w:rPr>
          <w:rFonts w:ascii="Times New Roman" w:hAnsi="Times New Roman" w:cs="Times New Roman"/>
        </w:rPr>
      </w:pPr>
    </w:p>
    <w:p w14:paraId="25AC04C4" w14:textId="0A00A430" w:rsidR="00066E87" w:rsidRDefault="0041541A" w:rsidP="004B7983">
      <w:pPr>
        <w:rPr>
          <w:rFonts w:ascii="Times New Roman" w:hAnsi="Times New Roman" w:cs="Times New Roman"/>
        </w:rPr>
      </w:pPr>
      <w:r>
        <w:rPr>
          <w:rFonts w:ascii="Times New Roman" w:hAnsi="Times New Roman" w:cs="Times New Roman"/>
        </w:rPr>
        <w:t xml:space="preserve">This recommended supply chain strategy will reduce Applichem’s operational costs by almost $50,000 once the Beijing factory is running, compared to the Frankfurt factory expansion alternative, while also meeting increased demand targets. </w:t>
      </w:r>
      <w:r>
        <w:rPr>
          <w:rFonts w:ascii="Times New Roman" w:hAnsi="Times New Roman" w:cs="Times New Roman"/>
          <w:b/>
          <w:bCs/>
        </w:rPr>
        <w:t>Table 5</w:t>
      </w:r>
      <w:r>
        <w:rPr>
          <w:rFonts w:ascii="Times New Roman" w:hAnsi="Times New Roman" w:cs="Times New Roman"/>
        </w:rPr>
        <w:t xml:space="preserve"> shows that this is possible even with the closure of the Osaka factory, a very costly production option to utilize. </w:t>
      </w:r>
      <w:r w:rsidR="00730D91">
        <w:rPr>
          <w:rFonts w:ascii="Times New Roman" w:hAnsi="Times New Roman" w:cs="Times New Roman"/>
        </w:rPr>
        <w:t xml:space="preserve">In order to gain a better perspective on the tradeoff, I advise Applichem to do more research into the startup costs and taxes associated with starting a business in China, as well as how those compare to the monetary benefits of shutting down the Osaka factory in the long run. </w:t>
      </w:r>
      <w:r>
        <w:rPr>
          <w:rFonts w:ascii="Times New Roman" w:hAnsi="Times New Roman" w:cs="Times New Roman"/>
        </w:rPr>
        <w:t xml:space="preserve">I highly recommend this new strategy as it will reduce Applichem’s </w:t>
      </w:r>
      <w:r w:rsidR="00D1366A">
        <w:rPr>
          <w:rFonts w:ascii="Times New Roman" w:hAnsi="Times New Roman" w:cs="Times New Roman"/>
        </w:rPr>
        <w:t>short- and long-term</w:t>
      </w:r>
      <w:r>
        <w:rPr>
          <w:rFonts w:ascii="Times New Roman" w:hAnsi="Times New Roman" w:cs="Times New Roman"/>
        </w:rPr>
        <w:t xml:space="preserve"> operational costs, while also giving them substantial competitive footing in the Chinese market for years to come. </w:t>
      </w:r>
    </w:p>
    <w:p w14:paraId="2DA42AD8" w14:textId="1DDCC8EB" w:rsidR="0059021B" w:rsidRDefault="0059021B" w:rsidP="0059021B">
      <w:pPr>
        <w:rPr>
          <w:rFonts w:ascii="Times New Roman" w:hAnsi="Times New Roman" w:cs="Times New Roman"/>
          <w:b/>
          <w:bCs/>
        </w:rPr>
      </w:pPr>
      <w:r>
        <w:rPr>
          <w:rFonts w:ascii="Times New Roman" w:hAnsi="Times New Roman" w:cs="Times New Roman"/>
        </w:rPr>
        <w:br w:type="page"/>
      </w:r>
      <w:r>
        <w:rPr>
          <w:rFonts w:ascii="Times New Roman" w:hAnsi="Times New Roman" w:cs="Times New Roman"/>
          <w:b/>
          <w:bCs/>
        </w:rPr>
        <w:lastRenderedPageBreak/>
        <w:t>Table 1:</w:t>
      </w:r>
    </w:p>
    <w:p w14:paraId="4D2C07DA" w14:textId="4644DDA8" w:rsidR="00D638E3" w:rsidRDefault="00D638E3" w:rsidP="00730D91">
      <w:pPr>
        <w:jc w:val="center"/>
        <w:rPr>
          <w:rFonts w:ascii="Times New Roman" w:hAnsi="Times New Roman" w:cs="Times New Roman"/>
        </w:rPr>
      </w:pPr>
      <w:r>
        <w:rPr>
          <w:rFonts w:ascii="Times New Roman" w:hAnsi="Times New Roman" w:cs="Times New Roman"/>
          <w:noProof/>
        </w:rPr>
        <w:drawing>
          <wp:inline distT="0" distB="0" distL="0" distR="0" wp14:anchorId="535D63F2" wp14:editId="118D7DB1">
            <wp:extent cx="5766993" cy="19488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0 at 3.14.27 PM.png"/>
                    <pic:cNvPicPr/>
                  </pic:nvPicPr>
                  <pic:blipFill rotWithShape="1">
                    <a:blip r:embed="rId5">
                      <a:extLst>
                        <a:ext uri="{28A0092B-C50C-407E-A947-70E740481C1C}">
                          <a14:useLocalDpi xmlns:a14="http://schemas.microsoft.com/office/drawing/2010/main" val="0"/>
                        </a:ext>
                      </a:extLst>
                    </a:blip>
                    <a:srcRect l="1523" t="3825" r="1422" b="3430"/>
                    <a:stretch/>
                  </pic:blipFill>
                  <pic:spPr bwMode="auto">
                    <a:xfrm>
                      <a:off x="0" y="0"/>
                      <a:ext cx="5768615" cy="1949363"/>
                    </a:xfrm>
                    <a:prstGeom prst="rect">
                      <a:avLst/>
                    </a:prstGeom>
                    <a:ln>
                      <a:noFill/>
                    </a:ln>
                    <a:extLst>
                      <a:ext uri="{53640926-AAD7-44D8-BBD7-CCE9431645EC}">
                        <a14:shadowObscured xmlns:a14="http://schemas.microsoft.com/office/drawing/2010/main"/>
                      </a:ext>
                    </a:extLst>
                  </pic:spPr>
                </pic:pic>
              </a:graphicData>
            </a:graphic>
          </wp:inline>
        </w:drawing>
      </w:r>
    </w:p>
    <w:p w14:paraId="433A984F" w14:textId="77777777" w:rsidR="00066E87" w:rsidRDefault="00066E87" w:rsidP="0059021B">
      <w:pPr>
        <w:rPr>
          <w:rFonts w:ascii="Times New Roman" w:hAnsi="Times New Roman" w:cs="Times New Roman"/>
          <w:b/>
          <w:bCs/>
        </w:rPr>
      </w:pPr>
    </w:p>
    <w:p w14:paraId="1858CC71" w14:textId="28E70F16" w:rsidR="00D638E3" w:rsidRDefault="00D638E3" w:rsidP="0059021B">
      <w:pPr>
        <w:rPr>
          <w:rFonts w:ascii="Times New Roman" w:hAnsi="Times New Roman" w:cs="Times New Roman"/>
          <w:b/>
          <w:bCs/>
        </w:rPr>
      </w:pPr>
      <w:r>
        <w:rPr>
          <w:rFonts w:ascii="Times New Roman" w:hAnsi="Times New Roman" w:cs="Times New Roman"/>
          <w:b/>
          <w:bCs/>
        </w:rPr>
        <w:t>Table 2:</w:t>
      </w:r>
    </w:p>
    <w:p w14:paraId="18A3D989" w14:textId="5AF84155" w:rsidR="00066E87" w:rsidRDefault="00066E87" w:rsidP="00730D91">
      <w:pPr>
        <w:jc w:val="center"/>
        <w:rPr>
          <w:rFonts w:ascii="Times New Roman" w:hAnsi="Times New Roman" w:cs="Times New Roman"/>
        </w:rPr>
      </w:pPr>
      <w:r>
        <w:rPr>
          <w:rFonts w:ascii="Times New Roman" w:hAnsi="Times New Roman" w:cs="Times New Roman"/>
          <w:noProof/>
        </w:rPr>
        <w:drawing>
          <wp:inline distT="0" distB="0" distL="0" distR="0" wp14:anchorId="2D558068" wp14:editId="5B8A6EFA">
            <wp:extent cx="5892800" cy="1920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0 at 4.10.46 PM.png"/>
                    <pic:cNvPicPr/>
                  </pic:nvPicPr>
                  <pic:blipFill rotWithShape="1">
                    <a:blip r:embed="rId6">
                      <a:extLst>
                        <a:ext uri="{28A0092B-C50C-407E-A947-70E740481C1C}">
                          <a14:useLocalDpi xmlns:a14="http://schemas.microsoft.com/office/drawing/2010/main" val="0"/>
                        </a:ext>
                      </a:extLst>
                    </a:blip>
                    <a:srcRect l="845" t="3534"/>
                    <a:stretch/>
                  </pic:blipFill>
                  <pic:spPr bwMode="auto">
                    <a:xfrm>
                      <a:off x="0" y="0"/>
                      <a:ext cx="5893358" cy="1920381"/>
                    </a:xfrm>
                    <a:prstGeom prst="rect">
                      <a:avLst/>
                    </a:prstGeom>
                    <a:ln>
                      <a:noFill/>
                    </a:ln>
                    <a:extLst>
                      <a:ext uri="{53640926-AAD7-44D8-BBD7-CCE9431645EC}">
                        <a14:shadowObscured xmlns:a14="http://schemas.microsoft.com/office/drawing/2010/main"/>
                      </a:ext>
                    </a:extLst>
                  </pic:spPr>
                </pic:pic>
              </a:graphicData>
            </a:graphic>
          </wp:inline>
        </w:drawing>
      </w:r>
    </w:p>
    <w:p w14:paraId="0DA9E7E2" w14:textId="77777777" w:rsidR="00066E87" w:rsidRDefault="00066E87" w:rsidP="0059021B">
      <w:pPr>
        <w:rPr>
          <w:rFonts w:ascii="Times New Roman" w:hAnsi="Times New Roman" w:cs="Times New Roman"/>
          <w:b/>
          <w:bCs/>
        </w:rPr>
      </w:pPr>
    </w:p>
    <w:p w14:paraId="25F66A24" w14:textId="034A945C" w:rsidR="00066E87" w:rsidRDefault="00730D91" w:rsidP="0059021B">
      <w:pPr>
        <w:rPr>
          <w:rFonts w:ascii="Times New Roman" w:hAnsi="Times New Roman" w:cs="Times New Roman"/>
        </w:rPr>
      </w:pPr>
      <w:r>
        <w:rPr>
          <w:rFonts w:ascii="Times New Roman" w:hAnsi="Times New Roman" w:cs="Times New Roman"/>
          <w:b/>
          <w:bCs/>
        </w:rPr>
        <w:t xml:space="preserve">Figure </w:t>
      </w:r>
      <w:r w:rsidR="00066E87">
        <w:rPr>
          <w:rFonts w:ascii="Times New Roman" w:hAnsi="Times New Roman" w:cs="Times New Roman"/>
          <w:b/>
          <w:bCs/>
        </w:rPr>
        <w:t>3:</w:t>
      </w:r>
    </w:p>
    <w:p w14:paraId="5F0E49F3" w14:textId="77777777" w:rsidR="008565FC" w:rsidRDefault="00730D91" w:rsidP="008565FC">
      <w:pPr>
        <w:jc w:val="center"/>
        <w:rPr>
          <w:rFonts w:ascii="Times New Roman" w:hAnsi="Times New Roman" w:cs="Times New Roman"/>
        </w:rPr>
      </w:pPr>
      <w:r>
        <w:rPr>
          <w:noProof/>
        </w:rPr>
        <w:drawing>
          <wp:inline distT="0" distB="0" distL="0" distR="0" wp14:anchorId="665A2BB9" wp14:editId="584B6381">
            <wp:extent cx="5184775" cy="4160018"/>
            <wp:effectExtent l="0" t="0" r="9525" b="18415"/>
            <wp:docPr id="2" name="Chart 2">
              <a:extLst xmlns:a="http://schemas.openxmlformats.org/drawingml/2006/main">
                <a:ext uri="{FF2B5EF4-FFF2-40B4-BE49-F238E27FC236}">
                  <a16:creationId xmlns:a16="http://schemas.microsoft.com/office/drawing/2014/main" id="{2333E773-687F-784A-A99A-27BA3F843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70D37B" w14:textId="0CDEEBF2" w:rsidR="00066E87" w:rsidRPr="008565FC" w:rsidRDefault="00066E87" w:rsidP="008565FC">
      <w:pPr>
        <w:rPr>
          <w:rFonts w:ascii="Times New Roman" w:hAnsi="Times New Roman" w:cs="Times New Roman"/>
        </w:rPr>
      </w:pPr>
      <w:r>
        <w:rPr>
          <w:rFonts w:ascii="Times New Roman" w:hAnsi="Times New Roman" w:cs="Times New Roman"/>
          <w:b/>
          <w:bCs/>
        </w:rPr>
        <w:lastRenderedPageBreak/>
        <w:t>Table 4:</w:t>
      </w:r>
    </w:p>
    <w:p w14:paraId="28AB14AC" w14:textId="7DA0BCF4" w:rsidR="00066E87" w:rsidRDefault="00E278E9" w:rsidP="00730D91">
      <w:pPr>
        <w:jc w:val="center"/>
        <w:rPr>
          <w:rFonts w:ascii="Times New Roman" w:hAnsi="Times New Roman" w:cs="Times New Roman"/>
        </w:rPr>
      </w:pPr>
      <w:r>
        <w:rPr>
          <w:rFonts w:ascii="Times New Roman" w:hAnsi="Times New Roman" w:cs="Times New Roman"/>
          <w:noProof/>
        </w:rPr>
        <w:drawing>
          <wp:inline distT="0" distB="0" distL="0" distR="0" wp14:anchorId="1A7DD0B5" wp14:editId="7D748977">
            <wp:extent cx="5943600" cy="2039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0 at 4.14.5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39620"/>
                    </a:xfrm>
                    <a:prstGeom prst="rect">
                      <a:avLst/>
                    </a:prstGeom>
                  </pic:spPr>
                </pic:pic>
              </a:graphicData>
            </a:graphic>
          </wp:inline>
        </w:drawing>
      </w:r>
    </w:p>
    <w:p w14:paraId="67D7B163" w14:textId="338DF199" w:rsidR="00066E87" w:rsidRDefault="00066E87" w:rsidP="0059021B">
      <w:pPr>
        <w:rPr>
          <w:rFonts w:ascii="Times New Roman" w:hAnsi="Times New Roman" w:cs="Times New Roman"/>
        </w:rPr>
      </w:pPr>
    </w:p>
    <w:p w14:paraId="677A4954" w14:textId="07D4C0D1" w:rsidR="00066E87" w:rsidRDefault="00066E87" w:rsidP="0059021B">
      <w:pPr>
        <w:rPr>
          <w:rFonts w:ascii="Times New Roman" w:hAnsi="Times New Roman" w:cs="Times New Roman"/>
        </w:rPr>
      </w:pPr>
      <w:r>
        <w:rPr>
          <w:rFonts w:ascii="Times New Roman" w:hAnsi="Times New Roman" w:cs="Times New Roman"/>
          <w:b/>
          <w:bCs/>
        </w:rPr>
        <w:t>Table 5:</w:t>
      </w:r>
    </w:p>
    <w:p w14:paraId="07F5B452" w14:textId="2389F888" w:rsidR="00066E87" w:rsidRPr="00066E87" w:rsidRDefault="00066E87" w:rsidP="00730D91">
      <w:pPr>
        <w:jc w:val="center"/>
        <w:rPr>
          <w:rFonts w:ascii="Times New Roman" w:hAnsi="Times New Roman" w:cs="Times New Roman"/>
        </w:rPr>
      </w:pPr>
      <w:r>
        <w:rPr>
          <w:rFonts w:ascii="Times New Roman" w:hAnsi="Times New Roman" w:cs="Times New Roman"/>
          <w:noProof/>
        </w:rPr>
        <w:drawing>
          <wp:inline distT="0" distB="0" distL="0" distR="0" wp14:anchorId="7F102C94" wp14:editId="5DE15782">
            <wp:extent cx="5943600" cy="2014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0 at 4.13.2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4855"/>
                    </a:xfrm>
                    <a:prstGeom prst="rect">
                      <a:avLst/>
                    </a:prstGeom>
                  </pic:spPr>
                </pic:pic>
              </a:graphicData>
            </a:graphic>
          </wp:inline>
        </w:drawing>
      </w:r>
    </w:p>
    <w:sectPr w:rsidR="00066E87" w:rsidRPr="00066E87" w:rsidSect="00D1366A">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A8D"/>
    <w:multiLevelType w:val="hybridMultilevel"/>
    <w:tmpl w:val="4782CA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491099"/>
    <w:multiLevelType w:val="hybridMultilevel"/>
    <w:tmpl w:val="CA98AF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C56F79"/>
    <w:multiLevelType w:val="hybridMultilevel"/>
    <w:tmpl w:val="ACF49B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3CE1CE1"/>
    <w:multiLevelType w:val="hybridMultilevel"/>
    <w:tmpl w:val="4852EC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89"/>
    <w:rsid w:val="00066E87"/>
    <w:rsid w:val="000C2CE3"/>
    <w:rsid w:val="00120340"/>
    <w:rsid w:val="00183756"/>
    <w:rsid w:val="003F1089"/>
    <w:rsid w:val="0041541A"/>
    <w:rsid w:val="004B7983"/>
    <w:rsid w:val="00521093"/>
    <w:rsid w:val="0059021B"/>
    <w:rsid w:val="005A2B4D"/>
    <w:rsid w:val="00730D91"/>
    <w:rsid w:val="008565FC"/>
    <w:rsid w:val="00950730"/>
    <w:rsid w:val="00A21E89"/>
    <w:rsid w:val="00A751B8"/>
    <w:rsid w:val="00D1366A"/>
    <w:rsid w:val="00D464C9"/>
    <w:rsid w:val="00D638E3"/>
    <w:rsid w:val="00E278E9"/>
    <w:rsid w:val="00E6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215E0"/>
  <w15:chartTrackingRefBased/>
  <w15:docId w15:val="{A4366CB6-F2FF-9D4F-9494-1BEC1C64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22312">
      <w:bodyDiv w:val="1"/>
      <w:marLeft w:val="0"/>
      <w:marRight w:val="0"/>
      <w:marTop w:val="0"/>
      <w:marBottom w:val="0"/>
      <w:divBdr>
        <w:top w:val="none" w:sz="0" w:space="0" w:color="auto"/>
        <w:left w:val="none" w:sz="0" w:space="0" w:color="auto"/>
        <w:bottom w:val="none" w:sz="0" w:space="0" w:color="auto"/>
        <w:right w:val="none" w:sz="0" w:space="0" w:color="auto"/>
      </w:divBdr>
    </w:div>
    <w:div w:id="1231691584">
      <w:bodyDiv w:val="1"/>
      <w:marLeft w:val="0"/>
      <w:marRight w:val="0"/>
      <w:marTop w:val="0"/>
      <w:marBottom w:val="0"/>
      <w:divBdr>
        <w:top w:val="none" w:sz="0" w:space="0" w:color="auto"/>
        <w:left w:val="none" w:sz="0" w:space="0" w:color="auto"/>
        <w:bottom w:val="none" w:sz="0" w:space="0" w:color="auto"/>
        <w:right w:val="none" w:sz="0" w:space="0" w:color="auto"/>
      </w:divBdr>
    </w:div>
    <w:div w:id="17506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theohargis/Downloads/AIMS3770Projec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Comparison</a:t>
            </a:r>
            <a:r>
              <a:rPr lang="en-US" baseline="0"/>
              <a:t> of Three Location Strategy Alternatives Based on Total Units Distributed per Market vs. Total Market Demand</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Option 1 (No Change)</c:v>
                </c:pt>
              </c:strCache>
            </c:strRef>
          </c:tx>
          <c:spPr>
            <a:solidFill>
              <a:srgbClr val="92D050"/>
            </a:solidFill>
            <a:ln>
              <a:noFill/>
            </a:ln>
            <a:effectLst>
              <a:outerShdw blurRad="57150" dist="19050" dir="5400000" algn="ctr" rotWithShape="0">
                <a:srgbClr val="000000">
                  <a:alpha val="63000"/>
                </a:srgbClr>
              </a:outerShdw>
            </a:effectLst>
          </c:spPr>
          <c:invertIfNegative val="0"/>
          <c:dLbls>
            <c:delete val="1"/>
          </c:dLbls>
          <c:cat>
            <c:strRef>
              <c:f>Sheet1!$B$4:$I$4</c:f>
              <c:strCache>
                <c:ptCount val="8"/>
                <c:pt idx="0">
                  <c:v>Mexico</c:v>
                </c:pt>
                <c:pt idx="1">
                  <c:v>Canada</c:v>
                </c:pt>
                <c:pt idx="2">
                  <c:v>Venezuela</c:v>
                </c:pt>
                <c:pt idx="3">
                  <c:v>Europe</c:v>
                </c:pt>
                <c:pt idx="4">
                  <c:v>United States</c:v>
                </c:pt>
                <c:pt idx="5">
                  <c:v>Japan</c:v>
                </c:pt>
                <c:pt idx="6">
                  <c:v>China</c:v>
                </c:pt>
                <c:pt idx="7">
                  <c:v>Total Units Distributed</c:v>
                </c:pt>
              </c:strCache>
            </c:strRef>
          </c:cat>
          <c:val>
            <c:numRef>
              <c:f>Sheet1!$B$5:$I$5</c:f>
              <c:numCache>
                <c:formatCode>General</c:formatCode>
                <c:ptCount val="8"/>
                <c:pt idx="0">
                  <c:v>300</c:v>
                </c:pt>
                <c:pt idx="1">
                  <c:v>260</c:v>
                </c:pt>
                <c:pt idx="2">
                  <c:v>200</c:v>
                </c:pt>
                <c:pt idx="3">
                  <c:v>2000</c:v>
                </c:pt>
                <c:pt idx="4">
                  <c:v>2540</c:v>
                </c:pt>
                <c:pt idx="5">
                  <c:v>1190</c:v>
                </c:pt>
                <c:pt idx="6">
                  <c:v>3000</c:v>
                </c:pt>
                <c:pt idx="7">
                  <c:v>9490</c:v>
                </c:pt>
              </c:numCache>
            </c:numRef>
          </c:val>
          <c:extLst>
            <c:ext xmlns:c16="http://schemas.microsoft.com/office/drawing/2014/chart" uri="{C3380CC4-5D6E-409C-BE32-E72D297353CC}">
              <c16:uniqueId val="{00000000-EAF6-5D48-8C79-CA5C9877EF86}"/>
            </c:ext>
          </c:extLst>
        </c:ser>
        <c:ser>
          <c:idx val="1"/>
          <c:order val="1"/>
          <c:tx>
            <c:strRef>
              <c:f>Sheet1!$A$6</c:f>
              <c:strCache>
                <c:ptCount val="1"/>
                <c:pt idx="0">
                  <c:v>Option 2 (Added Capacity)</c:v>
                </c:pt>
              </c:strCache>
            </c:strRef>
          </c:tx>
          <c:spPr>
            <a:solidFill>
              <a:schemeClr val="accent1">
                <a:alpha val="99000"/>
              </a:schemeClr>
            </a:solidFill>
            <a:ln>
              <a:noFill/>
            </a:ln>
            <a:effectLst>
              <a:outerShdw blurRad="57150" dist="19050" dir="5400000" algn="ctr" rotWithShape="0">
                <a:srgbClr val="000000">
                  <a:alpha val="63000"/>
                </a:srgbClr>
              </a:outerShdw>
            </a:effectLst>
          </c:spPr>
          <c:invertIfNegative val="0"/>
          <c:dLbls>
            <c:delete val="1"/>
          </c:dLbls>
          <c:cat>
            <c:strRef>
              <c:f>Sheet1!$B$4:$I$4</c:f>
              <c:strCache>
                <c:ptCount val="8"/>
                <c:pt idx="0">
                  <c:v>Mexico</c:v>
                </c:pt>
                <c:pt idx="1">
                  <c:v>Canada</c:v>
                </c:pt>
                <c:pt idx="2">
                  <c:v>Venezuela</c:v>
                </c:pt>
                <c:pt idx="3">
                  <c:v>Europe</c:v>
                </c:pt>
                <c:pt idx="4">
                  <c:v>United States</c:v>
                </c:pt>
                <c:pt idx="5">
                  <c:v>Japan</c:v>
                </c:pt>
                <c:pt idx="6">
                  <c:v>China</c:v>
                </c:pt>
                <c:pt idx="7">
                  <c:v>Total Units Distributed</c:v>
                </c:pt>
              </c:strCache>
            </c:strRef>
          </c:cat>
          <c:val>
            <c:numRef>
              <c:f>Sheet1!$B$6:$I$6</c:f>
              <c:numCache>
                <c:formatCode>General</c:formatCode>
                <c:ptCount val="8"/>
                <c:pt idx="0">
                  <c:v>300</c:v>
                </c:pt>
                <c:pt idx="1">
                  <c:v>260</c:v>
                </c:pt>
                <c:pt idx="2">
                  <c:v>1300</c:v>
                </c:pt>
                <c:pt idx="3">
                  <c:v>2000</c:v>
                </c:pt>
                <c:pt idx="4">
                  <c:v>2640</c:v>
                </c:pt>
                <c:pt idx="5">
                  <c:v>1190</c:v>
                </c:pt>
                <c:pt idx="6">
                  <c:v>3000</c:v>
                </c:pt>
                <c:pt idx="7">
                  <c:v>10690</c:v>
                </c:pt>
              </c:numCache>
            </c:numRef>
          </c:val>
          <c:extLst>
            <c:ext xmlns:c16="http://schemas.microsoft.com/office/drawing/2014/chart" uri="{C3380CC4-5D6E-409C-BE32-E72D297353CC}">
              <c16:uniqueId val="{00000001-EAF6-5D48-8C79-CA5C9877EF86}"/>
            </c:ext>
          </c:extLst>
        </c:ser>
        <c:ser>
          <c:idx val="2"/>
          <c:order val="2"/>
          <c:tx>
            <c:strRef>
              <c:f>Sheet1!$A$7</c:f>
              <c:strCache>
                <c:ptCount val="1"/>
                <c:pt idx="0">
                  <c:v>Option 3 (Beijing Factory)</c:v>
                </c:pt>
              </c:strCache>
            </c:strRef>
          </c:tx>
          <c:spPr>
            <a:solidFill>
              <a:schemeClr val="accent2">
                <a:lumMod val="75000"/>
              </a:schemeClr>
            </a:solidFill>
            <a:ln>
              <a:noFill/>
            </a:ln>
            <a:effectLst>
              <a:outerShdw blurRad="57150" dist="19050" dir="5400000" algn="ctr" rotWithShape="0">
                <a:srgbClr val="000000">
                  <a:alpha val="63000"/>
                </a:srgbClr>
              </a:outerShdw>
            </a:effectLst>
          </c:spPr>
          <c:invertIfNegative val="0"/>
          <c:dLbls>
            <c:delete val="1"/>
          </c:dLbls>
          <c:cat>
            <c:strRef>
              <c:f>Sheet1!$B$4:$I$4</c:f>
              <c:strCache>
                <c:ptCount val="8"/>
                <c:pt idx="0">
                  <c:v>Mexico</c:v>
                </c:pt>
                <c:pt idx="1">
                  <c:v>Canada</c:v>
                </c:pt>
                <c:pt idx="2">
                  <c:v>Venezuela</c:v>
                </c:pt>
                <c:pt idx="3">
                  <c:v>Europe</c:v>
                </c:pt>
                <c:pt idx="4">
                  <c:v>United States</c:v>
                </c:pt>
                <c:pt idx="5">
                  <c:v>Japan</c:v>
                </c:pt>
                <c:pt idx="6">
                  <c:v>China</c:v>
                </c:pt>
                <c:pt idx="7">
                  <c:v>Total Units Distributed</c:v>
                </c:pt>
              </c:strCache>
            </c:strRef>
          </c:cat>
          <c:val>
            <c:numRef>
              <c:f>Sheet1!$B$7:$I$7</c:f>
              <c:numCache>
                <c:formatCode>General</c:formatCode>
                <c:ptCount val="8"/>
                <c:pt idx="0">
                  <c:v>300</c:v>
                </c:pt>
                <c:pt idx="1">
                  <c:v>260</c:v>
                </c:pt>
                <c:pt idx="2">
                  <c:v>1600</c:v>
                </c:pt>
                <c:pt idx="3">
                  <c:v>2000</c:v>
                </c:pt>
                <c:pt idx="4">
                  <c:v>2640</c:v>
                </c:pt>
                <c:pt idx="5">
                  <c:v>1190</c:v>
                </c:pt>
                <c:pt idx="6">
                  <c:v>3000</c:v>
                </c:pt>
                <c:pt idx="7">
                  <c:v>10990</c:v>
                </c:pt>
              </c:numCache>
            </c:numRef>
          </c:val>
          <c:extLst>
            <c:ext xmlns:c16="http://schemas.microsoft.com/office/drawing/2014/chart" uri="{C3380CC4-5D6E-409C-BE32-E72D297353CC}">
              <c16:uniqueId val="{00000002-EAF6-5D48-8C79-CA5C9877EF86}"/>
            </c:ext>
          </c:extLst>
        </c:ser>
        <c:ser>
          <c:idx val="3"/>
          <c:order val="3"/>
          <c:tx>
            <c:strRef>
              <c:f>Sheet1!$A$8</c:f>
              <c:strCache>
                <c:ptCount val="1"/>
                <c:pt idx="0">
                  <c:v>Total Demand</c:v>
                </c:pt>
              </c:strCache>
            </c:strRef>
          </c:tx>
          <c:spPr>
            <a:solidFill>
              <a:schemeClr val="accent4"/>
            </a:solidFill>
            <a:ln>
              <a:noFill/>
            </a:ln>
            <a:effectLst>
              <a:outerShdw blurRad="57150" dist="19050" dir="5400000" algn="ctr" rotWithShape="0">
                <a:srgbClr val="000000">
                  <a:alpha val="63000"/>
                </a:srgbClr>
              </a:outerShdw>
            </a:effectLst>
          </c:spPr>
          <c:invertIfNegative val="0"/>
          <c:dLbls>
            <c:delete val="1"/>
          </c:dLbls>
          <c:cat>
            <c:strRef>
              <c:f>Sheet1!$B$4:$I$4</c:f>
              <c:strCache>
                <c:ptCount val="8"/>
                <c:pt idx="0">
                  <c:v>Mexico</c:v>
                </c:pt>
                <c:pt idx="1">
                  <c:v>Canada</c:v>
                </c:pt>
                <c:pt idx="2">
                  <c:v>Venezuela</c:v>
                </c:pt>
                <c:pt idx="3">
                  <c:v>Europe</c:v>
                </c:pt>
                <c:pt idx="4">
                  <c:v>United States</c:v>
                </c:pt>
                <c:pt idx="5">
                  <c:v>Japan</c:v>
                </c:pt>
                <c:pt idx="6">
                  <c:v>China</c:v>
                </c:pt>
                <c:pt idx="7">
                  <c:v>Total Units Distributed</c:v>
                </c:pt>
              </c:strCache>
            </c:strRef>
          </c:cat>
          <c:val>
            <c:numRef>
              <c:f>Sheet1!$B$8:$I$8</c:f>
              <c:numCache>
                <c:formatCode>General</c:formatCode>
                <c:ptCount val="8"/>
                <c:pt idx="0">
                  <c:v>300</c:v>
                </c:pt>
                <c:pt idx="1">
                  <c:v>260</c:v>
                </c:pt>
                <c:pt idx="2">
                  <c:v>1600</c:v>
                </c:pt>
                <c:pt idx="3">
                  <c:v>2000</c:v>
                </c:pt>
                <c:pt idx="4">
                  <c:v>2640</c:v>
                </c:pt>
                <c:pt idx="5">
                  <c:v>1190</c:v>
                </c:pt>
                <c:pt idx="6">
                  <c:v>3000</c:v>
                </c:pt>
                <c:pt idx="7">
                  <c:v>10990</c:v>
                </c:pt>
              </c:numCache>
            </c:numRef>
          </c:val>
          <c:extLst>
            <c:ext xmlns:c16="http://schemas.microsoft.com/office/drawing/2014/chart" uri="{C3380CC4-5D6E-409C-BE32-E72D297353CC}">
              <c16:uniqueId val="{00000003-EAF6-5D48-8C79-CA5C9877EF86}"/>
            </c:ext>
          </c:extLst>
        </c:ser>
        <c:dLbls>
          <c:dLblPos val="outEnd"/>
          <c:showLegendKey val="0"/>
          <c:showVal val="1"/>
          <c:showCatName val="0"/>
          <c:showSerName val="0"/>
          <c:showPercent val="0"/>
          <c:showBubbleSize val="0"/>
        </c:dLbls>
        <c:gapWidth val="100"/>
        <c:overlap val="-24"/>
        <c:axId val="962210752"/>
        <c:axId val="964452192"/>
      </c:barChart>
      <c:catAx>
        <c:axId val="9622107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64452192"/>
        <c:crosses val="autoZero"/>
        <c:auto val="1"/>
        <c:lblAlgn val="ctr"/>
        <c:lblOffset val="100"/>
        <c:noMultiLvlLbl val="0"/>
      </c:catAx>
      <c:valAx>
        <c:axId val="964452192"/>
        <c:scaling>
          <c:orientation val="minMax"/>
        </c:scaling>
        <c:delete val="0"/>
        <c:axPos val="l"/>
        <c:majorGridlines>
          <c:spPr>
            <a:ln w="9525" cap="flat" cmpd="sng" algn="ctr">
              <a:solidFill>
                <a:schemeClr val="accent3"/>
              </a:solidFill>
              <a:round/>
            </a:ln>
            <a:effectLst>
              <a:glow>
                <a:schemeClr val="accent1">
                  <a:alpha val="40000"/>
                </a:schemeClr>
              </a:glow>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Units</a:t>
                </a:r>
                <a:r>
                  <a:rPr lang="en-US" b="1" baseline="0"/>
                  <a:t> of Relase-Ease</a:t>
                </a:r>
                <a:endParaRPr lang="en-US" b="1"/>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21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Hargis, Theodore</dc:creator>
  <cp:keywords/>
  <dc:description/>
  <cp:lastModifiedBy>Hargis, Theodore</cp:lastModifiedBy>
  <cp:revision>4</cp:revision>
  <dcterms:created xsi:type="dcterms:W3CDTF">2020-04-10T21:10:00Z</dcterms:created>
  <dcterms:modified xsi:type="dcterms:W3CDTF">2020-04-14T00:12:00Z</dcterms:modified>
</cp:coreProperties>
</file>