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ADR-0003 — Migration vers une architecture scalable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 xml:space="preserve">✅ </w:t>
            </w:r>
            <w:r>
              <w:rPr>
                <w:b/>
              </w:rPr>
              <w:t>Accepté</w:t>
            </w:r>
            <w:r>
              <w:t xml:space="preserve"> </w:t>
            </w:r>
            <w:r>
              <w:rPr>
                <w:i/>
              </w:rPr>
              <w:t>(décision actée le 02/07/2026 — réponse à la perturbation J4 « passage à l'échelle 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02/07/2026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Décideurs</w:t>
            </w:r>
          </w:p>
        </w:tc>
        <w:tc>
          <w:tcPr>
            <w:tcW w:type="dxa" w:w="4320"/>
          </w:tcPr>
          <w:p>
            <w:r/>
            <w:r>
              <w:t>Équipe 6 (Kahil MOKHTARI, Amine HADDANE, Souleymane FALL, Nikola MILOSAVLJEVIC, Dina CHAOUKI, Rayan ZEBAZE SAO, Hugo RAGUIN)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Story liée</w:t>
            </w:r>
          </w:p>
        </w:tc>
        <w:tc>
          <w:tcPr>
            <w:tcW w:type="dxa" w:w="4320"/>
          </w:tcPr>
          <w:p>
            <w:r/>
            <w:r>
              <w:t>US-SC.1 (file asynchrone) · US-SC.2 (repli LLM managé UE) · US-SC.3 (ADR migration + cache/CDN + autoscaling) · US-SC.4 (FinOps) · épic E14</w:t>
            </w:r>
          </w:p>
        </w:tc>
      </w:tr>
    </w:tbl>
    <w:p/>
    <w:p>
      <w:pPr>
        <w:pStyle w:val="Heading1"/>
      </w:pPr>
      <w:r>
        <w:t>1. Contexte</w:t>
      </w:r>
    </w:p>
    <w:p>
      <w:r>
        <w:t xml:space="preserve">Suite à un </w:t>
      </w:r>
      <w:r>
        <w:rPr>
          <w:b/>
        </w:rPr>
        <w:t>passage TV</w:t>
      </w:r>
      <w:r>
        <w:t xml:space="preserve">, EduTutor IA a failli s'effondrer sous la charge : l'architecture MVP (monolithe Django/DRF + Ollama sur un seul VPS) ne peut pas absorber des </w:t>
      </w:r>
      <w:r>
        <w:rPr>
          <w:b/>
        </w:rPr>
        <w:t>millions d'utilisateurs simultanés</w:t>
      </w:r>
      <w:r>
        <w:t xml:space="preserve">. L'État conditionne l'adoption nationale à une plateforme </w:t>
      </w:r>
      <w:r>
        <w:rPr>
          <w:b/>
        </w:rPr>
        <w:t>fiable et élastique</w:t>
      </w:r>
      <w:r>
        <w:t xml:space="preserve">. La levée de fonds finance la migration, mais le sponsor exige </w:t>
      </w:r>
      <w:r>
        <w:rPr>
          <w:i/>
        </w:rPr>
        <w:t>« un plan clair, pas du code bricolé dans la panique »</w:t>
      </w:r>
      <w:r>
        <w:t xml:space="preserve"> (perturbation J4).</w:t>
      </w:r>
    </w:p>
    <w:p>
      <w:r>
        <w:t>Deux contraintes non négociables héritées des ADR précédents restent en vigueur :</w:t>
      </w:r>
    </w:p>
    <w:p>
      <w:pPr>
        <w:pStyle w:val="ListBullet"/>
      </w:pPr>
      <w:r>
        <w:rPr>
          <w:b/>
        </w:rPr>
        <w:t>Souveraineté des données (RGPD)</w:t>
      </w:r>
      <w:r>
        <w:t xml:space="preserve"> — tout traitement de contenu cours reste en UE (ADR-0001).</w:t>
      </w:r>
    </w:p>
    <w:p>
      <w:pPr>
        <w:pStyle w:val="ListBullet"/>
      </w:pPr>
      <w:r>
        <w:rPr>
          <w:b/>
        </w:rPr>
        <w:t>Sécurité de bout en bout</w:t>
      </w:r>
      <w:r>
        <w:t xml:space="preserve"> — la garde anti-injection reste active dans chaque worker (ADR-0002).</w:t>
      </w:r>
    </w:p>
    <w:p>
      <w:pPr>
        <w:pStyle w:val="Heading1"/>
      </w:pPr>
      <w:r>
        <w:t>2. Options envisagées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Option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Principe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Élasticité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RGPD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Complexité opé.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A. Statu quo</w:t>
            </w:r>
          </w:p>
        </w:tc>
        <w:tc>
          <w:tcPr>
            <w:tcW w:type="dxa" w:w="1440"/>
          </w:tcPr>
          <w:p>
            <w:r/>
            <w:r>
              <w:t>Monolithe Django/DRF + Ollama, 1 VPS</w:t>
            </w:r>
          </w:p>
        </w:tc>
        <w:tc>
          <w:tcPr>
            <w:tcW w:type="dxa" w:w="1440"/>
          </w:tcPr>
          <w:p>
            <w:r/>
            <w:r>
              <w:t>❌ nulle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faible</w:t>
            </w:r>
          </w:p>
        </w:tc>
        <w:tc>
          <w:tcPr>
            <w:tcW w:type="dxa" w:w="1440"/>
          </w:tcPr>
          <w:p>
            <w:r/>
            <w:r>
              <w:t>❌ effondrement prouvé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B. Scale-up vertical</w:t>
            </w:r>
          </w:p>
        </w:tc>
        <w:tc>
          <w:tcPr>
            <w:tcW w:type="dxa" w:w="1440"/>
          </w:tcPr>
          <w:p>
            <w:r/>
            <w:r>
              <w:t>VPS 64 cœurs / 256 Go RAM</w:t>
            </w:r>
          </w:p>
        </w:tc>
        <w:tc>
          <w:tcPr>
            <w:tcW w:type="dxa" w:w="1440"/>
          </w:tcPr>
          <w:p>
            <w:r/>
            <w:r>
              <w:t>🟡 limitée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faible</w:t>
            </w:r>
          </w:p>
        </w:tc>
        <w:tc>
          <w:tcPr>
            <w:tcW w:type="dxa" w:w="1440"/>
          </w:tcPr>
          <w:p>
            <w:r/>
            <w:r>
              <w:t>❌ plafond dur, coût × 8, SPOF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C. Scale-out horizontal — sans file</w:t>
            </w:r>
          </w:p>
        </w:tc>
        <w:tc>
          <w:tcPr>
            <w:tcW w:type="dxa" w:w="1440"/>
          </w:tcPr>
          <w:p>
            <w:r/>
            <w:r>
              <w:t>Plusieurs réplicas Django/DRF stateless, load-balancer</w:t>
            </w:r>
          </w:p>
        </w:tc>
        <w:tc>
          <w:tcPr>
            <w:tcW w:type="dxa" w:w="1440"/>
          </w:tcPr>
          <w:p>
            <w:r/>
            <w:r>
              <w:t>🟡 partielle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moyenne</w:t>
            </w:r>
          </w:p>
        </w:tc>
        <w:tc>
          <w:tcPr>
            <w:tcW w:type="dxa" w:w="1440"/>
          </w:tcPr>
          <w:p>
            <w:r/>
            <w:r>
              <w:t>❌ la génération LLM reste bloquante par requête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D. Architecture asynchrone à files + workers + autoscaling</w:t>
            </w:r>
          </w:p>
        </w:tc>
        <w:tc>
          <w:tcPr>
            <w:tcW w:type="dxa" w:w="1440"/>
          </w:tcPr>
          <w:p>
            <w:r/>
            <w:r>
              <w:t>API stateless · file de tâches (Redis/Celery) · pool de workers GPU · CDN pour assets statiques · autoscaling K8s ou Fly.io</w:t>
            </w:r>
          </w:p>
        </w:tc>
        <w:tc>
          <w:tcPr>
            <w:tcW w:type="dxa" w:w="1440"/>
          </w:tcPr>
          <w:p>
            <w:r/>
            <w:r>
              <w:t>✅ élevée</w:t>
            </w:r>
          </w:p>
        </w:tc>
        <w:tc>
          <w:tcPr>
            <w:tcW w:type="dxa" w:w="1440"/>
          </w:tcPr>
          <w:p>
            <w:r/>
            <w:r>
              <w:t>✅ (UE)</w:t>
            </w:r>
          </w:p>
        </w:tc>
        <w:tc>
          <w:tcPr>
            <w:tcW w:type="dxa" w:w="1440"/>
          </w:tcPr>
          <w:p>
            <w:r/>
            <w:r>
              <w:t>élevée</w:t>
            </w:r>
          </w:p>
        </w:tc>
        <w:tc>
          <w:tcPr>
            <w:tcW w:type="dxa" w:w="1440"/>
          </w:tcPr>
          <w:p>
            <w:r/>
            <w:r>
              <w:t xml:space="preserve">✅ </w:t>
            </w:r>
            <w:r>
              <w:rPr>
                <w:b/>
              </w:rPr>
              <w:t>retenu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E. Serverless pur (AWS Lambda / Vercel)</w:t>
            </w:r>
          </w:p>
        </w:tc>
        <w:tc>
          <w:tcPr>
            <w:tcW w:type="dxa" w:w="1440"/>
          </w:tcPr>
          <w:p>
            <w:r/>
            <w:r>
              <w:t>Chaque requête = une fonction éphémère</w:t>
            </w:r>
          </w:p>
        </w:tc>
        <w:tc>
          <w:tcPr>
            <w:tcW w:type="dxa" w:w="1440"/>
          </w:tcPr>
          <w:p>
            <w:r/>
            <w:r>
              <w:t>✅ infinie</w:t>
            </w:r>
          </w:p>
        </w:tc>
        <w:tc>
          <w:tcPr>
            <w:tcW w:type="dxa" w:w="1440"/>
          </w:tcPr>
          <w:p>
            <w:r/>
            <w:r>
              <w:t>❌ hors UE possible</w:t>
            </w:r>
          </w:p>
        </w:tc>
        <w:tc>
          <w:tcPr>
            <w:tcW w:type="dxa" w:w="1440"/>
          </w:tcPr>
          <w:p>
            <w:r/>
            <w:r>
              <w:t>moyenne</w:t>
            </w:r>
          </w:p>
        </w:tc>
        <w:tc>
          <w:tcPr>
            <w:tcW w:type="dxa" w:w="1440"/>
          </w:tcPr>
          <w:p>
            <w:r/>
            <w:r>
              <w:t>❌ Ollama incompatible (modèle local &gt; 4 Go) ; transferts hors UE risqués</w:t>
            </w:r>
          </w:p>
        </w:tc>
      </w:tr>
    </w:tbl>
    <w:p/>
    <w:p>
      <w:pPr>
        <w:pStyle w:val="Heading1"/>
      </w:pPr>
      <w:r>
        <w:t>3. Décision</w:t>
      </w:r>
    </w:p>
    <w:p>
      <w:pPr>
        <w:ind w:left="454"/>
      </w:pPr>
      <w:r>
        <w:rPr>
          <w:b/>
        </w:rPr>
        <w:t>Décision : adopter l'option D — architecture asynchrone à 4 composants découplés</w:t>
      </w:r>
      <w:r>
        <w:t xml:space="preserve">, déployable de façon </w:t>
      </w:r>
      <w:r>
        <w:rPr>
          <w:b/>
        </w:rPr>
        <w:t>incrémentale</w:t>
      </w:r>
      <w:r>
        <w:t xml:space="preserve"> (sans big bang) à partir du monolithe existant.</w:t>
      </w:r>
    </w:p>
    <w:p>
      <w:pPr>
        <w:ind w:left="454"/>
      </w:pPr>
    </w:p>
    <w:p>
      <w:pPr>
        <w:ind w:left="454"/>
      </w:pPr>
      <w:r>
        <w:t>### Composant 1 — API stateless (Django/DRF)</w:t>
      </w:r>
    </w:p>
    <w:p>
      <w:pPr>
        <w:ind w:left="454"/>
      </w:pPr>
      <w:r>
        <w:t xml:space="preserve">L'API </w:t>
      </w:r>
      <w:r>
        <w:rPr>
          <w:b/>
        </w:rPr>
        <w:t>ne génère plus les quiz directement</w:t>
      </w:r>
      <w:r>
        <w:t xml:space="preserve"> : elle enfile une tâche dans la file et retourne immédiatement un </w:t>
      </w:r>
      <w:r>
        <w:rPr>
          <w:rFonts w:ascii="Consolas" w:hAnsi="Consolas"/>
        </w:rPr>
        <w:t>task_id</w:t>
      </w:r>
      <w:r>
        <w:t xml:space="preserve">. Le client poll </w:t>
      </w:r>
      <w:r>
        <w:rPr>
          <w:rFonts w:ascii="Consolas" w:hAnsi="Consolas"/>
        </w:rPr>
        <w:t>/tasks/{id}</w:t>
      </w:r>
      <w:r>
        <w:t xml:space="preserve"> ou écoute via SSE. Cela supprime le blocage HTTP de 12 s par requête.</w:t>
      </w:r>
    </w:p>
    <w:p>
      <w:pPr>
        <w:ind w:left="454"/>
      </w:pPr>
    </w:p>
    <w:p>
      <w:pPr>
        <w:ind w:left="454"/>
      </w:pPr>
      <w:r>
        <w:t>### Composant 2 — File de tâches (Redis + Celery)</w:t>
      </w:r>
    </w:p>
    <w:p>
      <w:pPr>
        <w:ind w:left="454"/>
      </w:pPr>
      <w:r>
        <w:t xml:space="preserve">Chaque demande de génération est une tâche Celery sérialisée dans Redis. La file agit comme </w:t>
      </w:r>
      <w:r>
        <w:rPr>
          <w:b/>
        </w:rPr>
        <w:t>tampon</w:t>
      </w:r>
      <w:r>
        <w:t xml:space="preserve"> : en pic de charge, les tâches s'accumulent au lieu de faire tomber l'API.</w:t>
      </w:r>
    </w:p>
    <w:p>
      <w:pPr>
        <w:ind w:left="454"/>
      </w:pPr>
      <w:r>
        <w:t>Priorités possibles : quiz urgents &gt; rebonds &gt; exports.</w:t>
      </w:r>
    </w:p>
    <w:p>
      <w:pPr>
        <w:ind w:left="454"/>
      </w:pPr>
    </w:p>
    <w:p>
      <w:pPr>
        <w:ind w:left="454"/>
      </w:pPr>
      <w:r>
        <w:t>### Composant 3 — Pool de workers GPU (autoscalé)</w:t>
      </w:r>
    </w:p>
    <w:p>
      <w:pPr>
        <w:ind w:left="454"/>
      </w:pPr>
      <w:r>
        <w:t>Les workers Celery embarquent Ollama (</w:t>
      </w:r>
      <w:r>
        <w:rPr>
          <w:rFonts w:ascii="Consolas" w:hAnsi="Consolas"/>
        </w:rPr>
        <w:t>mistral:7b</w:t>
      </w:r>
      <w:r>
        <w:t xml:space="preserve"> par défaut, cf. ADR-0001). Chaque worker traite </w:t>
      </w:r>
      <w:r>
        <w:rPr>
          <w:b/>
        </w:rPr>
        <w:t>1 tâche à la fois</w:t>
      </w:r>
      <w:r>
        <w:t xml:space="preserve"> (modèle local séquentiel). L'autoscaler (K8s HPA ou Fly.io Machine) ajoute/retire des workers selon la profondeur de file.</w:t>
      </w:r>
    </w:p>
    <w:p>
      <w:pPr>
        <w:ind w:left="454"/>
      </w:pPr>
      <w:r>
        <w:rPr>
          <w:b/>
        </w:rPr>
        <w:t>Repli LLM managé UE</w:t>
      </w:r>
      <w:r>
        <w:t xml:space="preserve"> (Mistral AI API, hébergement FR) activé par feature-flag </w:t>
      </w:r>
      <w:r>
        <w:rPr>
          <w:rFonts w:ascii="Consolas" w:hAnsi="Consolas"/>
        </w:rPr>
        <w:t>LLM_OVERFLOW_PROVIDER</w:t>
      </w:r>
      <w:r>
        <w:t xml:space="preserve"> quand la file dépasse un seuil configurable (US-SC.2) — conforme RGPD, aucun transfert hors UE.</w:t>
      </w:r>
    </w:p>
    <w:p>
      <w:pPr>
        <w:ind w:left="454"/>
      </w:pPr>
    </w:p>
    <w:p>
      <w:pPr>
        <w:ind w:left="454"/>
      </w:pPr>
      <w:r>
        <w:t>### Composant 4 — Cache &amp; CDN</w:t>
      </w:r>
    </w:p>
    <w:p>
      <w:pPr>
        <w:ind w:left="454"/>
      </w:pPr>
      <w:r>
        <w:t xml:space="preserve">- </w:t>
      </w:r>
      <w:r>
        <w:rPr>
          <w:b/>
        </w:rPr>
        <w:t>Cache Redis</w:t>
      </w:r>
      <w:r>
        <w:t xml:space="preserve"> des quiz déjà générés (clé = hash(cours + langue + nb_questions)) : évite de relancer Ollama pour un cours identique → gain immédiat sur les redoublants.</w:t>
      </w:r>
    </w:p>
    <w:p>
      <w:pPr>
        <w:ind w:left="454"/>
      </w:pPr>
      <w:r>
        <w:t xml:space="preserve">- </w:t>
      </w:r>
      <w:r>
        <w:rPr>
          <w:b/>
        </w:rPr>
        <w:t>CDN Bunny.net (UE)</w:t>
      </w:r>
      <w:r>
        <w:t xml:space="preserve"> pour les assets statiques (JS, CSS, images) : réduit la charge réseau du VPS principal.</w:t>
      </w:r>
    </w:p>
    <w:p>
      <w:pPr>
        <w:pStyle w:val="Heading1"/>
      </w:pPr>
      <w:r>
        <w:t>4. Justification *(au-delà de « ça scale » — CA-J4-6)*</w:t>
      </w:r>
    </w:p>
    <w:p>
      <w:pPr>
        <w:pStyle w:val="ListBullet"/>
      </w:pPr>
      <w:r>
        <w:rPr>
          <w:b/>
        </w:rPr>
        <w:t>Découplage = résilience</w:t>
      </w:r>
      <w:r>
        <w:t xml:space="preserve"> : l'API répond en &lt; 200 ms même si tous les workers sont occupés ; la file absorbe les pics sans SPOF.</w:t>
      </w:r>
    </w:p>
    <w:p>
      <w:pPr>
        <w:pStyle w:val="ListBullet"/>
      </w:pPr>
      <w:r>
        <w:rPr>
          <w:b/>
        </w:rPr>
        <w:t>Incrément ≠ big bang</w:t>
      </w:r>
      <w:r>
        <w:t xml:space="preserve"> : le monolithe peut coexister le temps de migrer — on branche Celery derrière l'endpoint </w:t>
      </w:r>
      <w:r>
        <w:rPr>
          <w:rFonts w:ascii="Consolas" w:hAnsi="Consolas"/>
        </w:rPr>
        <w:t>/api/llm/generate-quiz/</w:t>
      </w:r>
      <w:r>
        <w:t xml:space="preserve"> existant, sans réécrire le frontend ni la garde sécurité.</w:t>
      </w:r>
    </w:p>
    <w:p>
      <w:pPr>
        <w:pStyle w:val="ListBullet"/>
      </w:pPr>
      <w:r>
        <w:rPr>
          <w:b/>
        </w:rPr>
        <w:t>Contraintes respectées</w:t>
      </w:r>
      <w:r>
        <w:t xml:space="preserve"> : Ollama local en UE (RGPD) ; la garde </w:t>
      </w:r>
      <w:r>
        <w:rPr>
          <w:rFonts w:ascii="Consolas" w:hAnsi="Consolas"/>
        </w:rPr>
        <w:t>prompt_guard.py</w:t>
      </w:r>
      <w:r>
        <w:t xml:space="preserve"> est importée dans chaque worker (ADR-0002, DRY).</w:t>
      </w:r>
    </w:p>
    <w:p>
      <w:pPr>
        <w:pStyle w:val="ListBullet"/>
      </w:pPr>
      <w:r>
        <w:rPr>
          <w:b/>
        </w:rPr>
        <w:t>Repli sans régression</w:t>
      </w:r>
      <w:r>
        <w:t xml:space="preserve"> : le feature-flag </w:t>
      </w:r>
      <w:r>
        <w:rPr>
          <w:rFonts w:ascii="Consolas" w:hAnsi="Consolas"/>
        </w:rPr>
        <w:t>LLM_OVERFLOW_PROVIDER</w:t>
      </w:r>
      <w:r>
        <w:t xml:space="preserve"> permet de basculer sur Mistral UE </w:t>
      </w:r>
      <w:r>
        <w:rPr>
          <w:b/>
        </w:rPr>
        <w:t>sans redéploiement</w:t>
      </w:r>
      <w:r>
        <w:t xml:space="preserve"> — décision réversible, conforme à l'esprit de l'ADR-0001.</w:t>
      </w:r>
    </w:p>
    <w:p>
      <w:pPr>
        <w:pStyle w:val="ListBullet"/>
      </w:pPr>
      <w:r>
        <w:rPr>
          <w:b/>
        </w:rPr>
        <w:t>FinOps maîtrisé</w:t>
      </w:r>
      <w:r>
        <w:t xml:space="preserve"> : le cache réduit les appels GPU ; les quotas Celery plafonnent le parc de workers ; Grafana/Prometheus mesurent le coût par quiz (US-SC.4).</w:t>
      </w:r>
    </w:p>
    <w:p>
      <w:pPr>
        <w:pStyle w:val="Heading1"/>
      </w:pPr>
      <w:r>
        <w:t>5. Plan de migration incrémental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Livrable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Périmètre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Sprint cible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t xml:space="preserve">ADR-0003 accepté </w:t>
            </w:r>
            <w:r>
              <w:rPr>
                <w:i/>
              </w:rPr>
              <w:t>(ce document)</w:t>
            </w:r>
          </w:p>
        </w:tc>
        <w:tc>
          <w:tcPr>
            <w:tcW w:type="dxa" w:w="2160"/>
          </w:tcPr>
          <w:p>
            <w:r/>
            <w:r>
              <w:t>Décision tracée</w:t>
            </w:r>
          </w:p>
        </w:tc>
        <w:tc>
          <w:tcPr>
            <w:tcW w:type="dxa" w:w="2160"/>
          </w:tcPr>
          <w:p>
            <w:r/>
            <w:r>
              <w:t>S6 (J4)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/>
            <w:r>
              <w:t xml:space="preserve">Branchement Celery/Redis + endpoint </w:t>
            </w:r>
            <w:r>
              <w:rPr>
                <w:rFonts w:ascii="Consolas" w:hAnsi="Consolas"/>
              </w:rPr>
              <w:t>/tasks/{id}</w:t>
            </w:r>
          </w:p>
        </w:tc>
        <w:tc>
          <w:tcPr>
            <w:tcW w:type="dxa" w:w="2160"/>
          </w:tcPr>
          <w:p>
            <w:r/>
            <w:r>
              <w:t>API asynchrone, 1 worker local</w:t>
            </w:r>
          </w:p>
        </w:tc>
        <w:tc>
          <w:tcPr>
            <w:tcW w:type="dxa" w:w="2160"/>
          </w:tcPr>
          <w:p>
            <w:r/>
            <w:r>
              <w:t>S7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/>
            <w:r>
              <w:t>Autoscaling workers GPU (K8s ou Fly.io)</w:t>
            </w:r>
          </w:p>
        </w:tc>
        <w:tc>
          <w:tcPr>
            <w:tcW w:type="dxa" w:w="2160"/>
          </w:tcPr>
          <w:p>
            <w:r/>
            <w:r>
              <w:t>Élasticité en charge</w:t>
            </w:r>
          </w:p>
        </w:tc>
        <w:tc>
          <w:tcPr>
            <w:tcW w:type="dxa" w:w="2160"/>
          </w:tcPr>
          <w:p>
            <w:r/>
            <w:r>
              <w:t>S7–S8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/>
            <w:r>
              <w:t>Cache Redis quiz + CDN assets</w:t>
            </w:r>
          </w:p>
        </w:tc>
        <w:tc>
          <w:tcPr>
            <w:tcW w:type="dxa" w:w="2160"/>
          </w:tcPr>
          <w:p>
            <w:r/>
            <w:r>
              <w:t>Réduction charge &amp; coût</w:t>
            </w:r>
          </w:p>
        </w:tc>
        <w:tc>
          <w:tcPr>
            <w:tcW w:type="dxa" w:w="2160"/>
          </w:tcPr>
          <w:p>
            <w:r/>
            <w:r>
              <w:t>S8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/>
            <w:r>
              <w:t>Repli LLM managé UE (feature-flag) + observabilité</w:t>
            </w:r>
          </w:p>
        </w:tc>
        <w:tc>
          <w:tcPr>
            <w:tcW w:type="dxa" w:w="2160"/>
          </w:tcPr>
          <w:p>
            <w:r/>
            <w:r>
              <w:t>Filet de sécurité FinOps</w:t>
            </w:r>
          </w:p>
        </w:tc>
        <w:tc>
          <w:tcPr>
            <w:tcW w:type="dxa" w:w="2160"/>
          </w:tcPr>
          <w:p>
            <w:r/>
            <w:r>
              <w:t>S8</w:t>
            </w:r>
          </w:p>
        </w:tc>
      </w:tr>
    </w:tbl>
    <w:p/>
    <w:p>
      <w:pPr>
        <w:pStyle w:val="Heading1"/>
      </w:pPr>
      <w:r>
        <w:t>6. Conséquences</w:t>
      </w:r>
    </w:p>
    <w:p>
      <w:r>
        <w:rPr>
          <w:b/>
        </w:rPr>
        <w:t>Positives (+)</w:t>
      </w:r>
    </w:p>
    <w:p>
      <w:pPr>
        <w:pStyle w:val="ListBullet"/>
      </w:pPr>
      <w:r>
        <w:t>La plateforme peut absorber des pics (millions d'utilisateurs) sans effondrement.</w:t>
      </w:r>
    </w:p>
    <w:p>
      <w:pPr>
        <w:pStyle w:val="ListBullet"/>
      </w:pPr>
      <w:r>
        <w:t xml:space="preserve">La génération de quiz passe de </w:t>
      </w:r>
      <w:r>
        <w:rPr>
          <w:b/>
        </w:rPr>
        <w:t>bloquante</w:t>
      </w:r>
      <w:r>
        <w:t xml:space="preserve"> à </w:t>
      </w:r>
      <w:r>
        <w:rPr>
          <w:b/>
        </w:rPr>
        <w:t>non-bloquante</w:t>
      </w:r>
      <w:r>
        <w:t xml:space="preserve"> : expérience utilisateur améliorée même sous charge.</w:t>
      </w:r>
    </w:p>
    <w:p>
      <w:pPr>
        <w:pStyle w:val="ListBullet"/>
      </w:pPr>
      <w:r>
        <w:t xml:space="preserve">La décision est </w:t>
      </w:r>
      <w:r>
        <w:rPr>
          <w:b/>
        </w:rPr>
        <w:t>réversible et tracée</w:t>
      </w:r>
      <w:r>
        <w:t xml:space="preserve"> — le sponsor dispose d'un plan clair (exigence J4).</w:t>
      </w:r>
    </w:p>
    <w:p>
      <w:pPr>
        <w:pStyle w:val="ListBullet"/>
      </w:pPr>
      <w:r>
        <w:t>RGPD / souveraineté préservés à chaque phase.</w:t>
      </w:r>
    </w:p>
    <w:p>
      <w:r>
        <w:rPr>
          <w:b/>
        </w:rPr>
        <w:t>À surveiller (−)</w:t>
      </w:r>
    </w:p>
    <w:p>
      <w:pPr>
        <w:pStyle w:val="ListBullet"/>
      </w:pPr>
      <w:r>
        <w:rPr>
          <w:b/>
        </w:rPr>
        <w:t>Complexité opérationnelle</w:t>
      </w:r>
      <w:r>
        <w:t xml:space="preserve"> accrue : Redis, Celery, workers GPU, autoscaler → nécessite une runbook et une formation DevOps (US-SC.4).</w:t>
      </w:r>
    </w:p>
    <w:p>
      <w:pPr>
        <w:pStyle w:val="ListBullet"/>
      </w:pPr>
      <w:r>
        <w:rPr>
          <w:b/>
        </w:rPr>
        <w:t>Consistance du cache</w:t>
      </w:r>
      <w:r>
        <w:t xml:space="preserve"> : si le cours évolue, la clé de cache doit changer → invalider par hash ou TTL court.</w:t>
      </w:r>
    </w:p>
    <w:p>
      <w:pPr>
        <w:pStyle w:val="ListBullet"/>
      </w:pPr>
      <w:r>
        <w:rPr>
          <w:b/>
        </w:rPr>
        <w:t>Coût de la file</w:t>
      </w:r>
      <w:r>
        <w:t xml:space="preserve"> en situation idle : Redis et le worker minimal tournent 24/7 → quota à définir (US-SC.4).</w:t>
      </w:r>
    </w:p>
    <w:p>
      <w:pPr>
        <w:pStyle w:val="ListBullet"/>
      </w:pPr>
      <w:r>
        <w:rPr>
          <w:b/>
        </w:rPr>
        <w:t>Tests de charge</w:t>
      </w:r>
      <w:r>
        <w:t xml:space="preserve"> à réaliser avant passage en production nationale (US-SC.1 : SLA ≤ 500 ms de réponse API + ≤ 30 s de génération en queue).</w:t>
      </w:r>
    </w:p>
    <w:p>
      <w:r>
        <w:rPr>
          <w:i/>
        </w:rPr>
        <w:t xml:space="preserve">ADR-0003 — équipe 6 · format Architecture Decision Record (1 page) · statut </w:t>
      </w:r>
      <w:r>
        <w:rPr>
          <w:i/>
        </w:rPr>
        <w:t>Accepté</w:t>
      </w:r>
      <w:r>
        <w:rPr>
          <w:i/>
        </w:rPr>
        <w:t xml:space="preserve"> le 02/07/2026. Voir aussi ADR-0001 (choix LLM) · ADR-0002 (sécurité) · Perturbation J4.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