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ADR-0001 — Choix du modèle LLM pour la génération de quiz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 xml:space="preserve">🟡 Proposé </w:t>
            </w:r>
            <w:r>
              <w:rPr>
                <w:i/>
              </w:rPr>
              <w:t>(à acter après exécution du benchmark J2)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30/06/2026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Décideurs</w:t>
            </w:r>
          </w:p>
        </w:tc>
        <w:tc>
          <w:tcPr>
            <w:tcW w:type="dxa" w:w="4320"/>
          </w:tcPr>
          <w:p>
            <w:r/>
            <w:r>
              <w:t>Équipe 6 (Kahil MOKHTARI, Amine HADDANE, Souleymane FALL, Nikola MILOSAVLJEVIC, Dina CHAOUKI, Rayan ZEBAZE SAO, Hugo RAGUIN)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Story liée</w:t>
            </w:r>
          </w:p>
        </w:tc>
        <w:tc>
          <w:tcPr>
            <w:tcW w:type="dxa" w:w="4320"/>
          </w:tcPr>
          <w:p>
            <w:r/>
            <w:r>
              <w:t>US-X.3 (tracer le choix LLM) · SPK-2 · contrainte US-W.3 (cloud = ADR obligatoire)</w:t>
            </w:r>
          </w:p>
        </w:tc>
      </w:tr>
    </w:tbl>
    <w:p/>
    <w:p>
      <w:pPr>
        <w:pStyle w:val="Heading1"/>
      </w:pPr>
      <w:r>
        <w:t>1. Contexte</w:t>
      </w:r>
    </w:p>
    <w:p>
      <w:r>
        <w:t xml:space="preserve">La génération de 10 QCM prend </w:t>
      </w:r>
      <w:r>
        <w:rPr>
          <w:b/>
        </w:rPr>
        <w:t>~45 s</w:t>
      </w:r>
      <w:r>
        <w:t xml:space="preserve"> avec </w:t>
      </w:r>
      <w:r>
        <w:rPr>
          <w:rFonts w:ascii="Consolas" w:hAnsi="Consolas"/>
        </w:rPr>
        <w:t>llama3.1:8b</w:t>
      </w:r>
      <w:r>
        <w:t xml:space="preserve"> (Ollama, local) — jugé inacceptable par un beta-testeur (perturbation J2). Le sponsor exige </w:t>
      </w:r>
      <w:r>
        <w:rPr>
          <w:b/>
        </w:rPr>
        <w:t>≤ 15 s</w:t>
      </w:r>
      <w:r>
        <w:t xml:space="preserve"> d'ici ce soir. Contrainte produit non négociable : </w:t>
      </w:r>
      <w:r>
        <w:rPr>
          <w:b/>
        </w:rPr>
        <w:t>souveraineté des données (RGPD), 100 % local par défaut</w:t>
      </w:r>
      <w:r>
        <w:t xml:space="preserve">. Il faut donc accélérer </w:t>
      </w:r>
      <w:r>
        <w:rPr>
          <w:b/>
        </w:rPr>
        <w:t>sans</w:t>
      </w:r>
      <w:r>
        <w:t xml:space="preserve"> envoyer les cours des utilisateurs hors UE.</w:t>
      </w:r>
    </w:p>
    <w:p>
      <w:pPr>
        <w:pStyle w:val="Heading1"/>
      </w:pPr>
      <w:r>
        <w:t>2. Options envisagées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Latence visée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Qualité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RGPD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Coût / effort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A. Statu quo</w:t>
            </w:r>
            <w:r>
              <w:t xml:space="preserve"> </w:t>
            </w:r>
            <w:r>
              <w:rPr>
                <w:rFonts w:ascii="Consolas" w:hAnsi="Consolas"/>
              </w:rPr>
              <w:t>llama3.1:8b</w:t>
            </w:r>
            <w:r>
              <w:t xml:space="preserve"> (local)</w:t>
            </w:r>
          </w:p>
        </w:tc>
        <w:tc>
          <w:tcPr>
            <w:tcW w:type="dxa" w:w="1728"/>
          </w:tcPr>
          <w:p>
            <w:r/>
            <w:r>
              <w:t>~45 s ❌</w:t>
            </w:r>
          </w:p>
        </w:tc>
        <w:tc>
          <w:tcPr>
            <w:tcW w:type="dxa" w:w="1728"/>
          </w:tcPr>
          <w:p>
            <w:r/>
            <w:r>
              <w:t>élevée</w:t>
            </w:r>
          </w:p>
        </w:tc>
        <w:tc>
          <w:tcPr>
            <w:tcW w:type="dxa" w:w="1728"/>
          </w:tcPr>
          <w:p>
            <w:r/>
            <w:r>
              <w:t>✅ local</w:t>
            </w:r>
          </w:p>
        </w:tc>
        <w:tc>
          <w:tcPr>
            <w:tcW w:type="dxa" w:w="1728"/>
          </w:tcPr>
          <w:p>
            <w:r/>
            <w:r>
              <w:t>nul — mais ne tient pas le SLA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B. Modèle local plus léger</w:t>
            </w:r>
            <w:r>
              <w:t xml:space="preserve"> </w:t>
            </w:r>
            <w:r>
              <w:rPr>
                <w:rFonts w:ascii="Consolas" w:hAnsi="Consolas"/>
              </w:rPr>
              <w:t>phi3:mini</w:t>
            </w:r>
            <w:r>
              <w:t xml:space="preserve"> / </w:t>
            </w:r>
            <w:r>
              <w:rPr>
                <w:rFonts w:ascii="Consolas" w:hAnsi="Consolas"/>
              </w:rPr>
              <w:t>mistral:7b</w:t>
            </w:r>
            <w:r>
              <w:t xml:space="preserve"> (Ollama)</w:t>
            </w:r>
          </w:p>
        </w:tc>
        <w:tc>
          <w:tcPr>
            <w:tcW w:type="dxa" w:w="1728"/>
          </w:tcPr>
          <w:p>
            <w:r/>
            <w:r>
              <w:t>_à mesurer_</w:t>
            </w:r>
          </w:p>
        </w:tc>
        <w:tc>
          <w:tcPr>
            <w:tcW w:type="dxa" w:w="1728"/>
          </w:tcPr>
          <w:p>
            <w:r/>
            <w:r>
              <w:t>bonne ?</w:t>
            </w:r>
          </w:p>
        </w:tc>
        <w:tc>
          <w:tcPr>
            <w:tcW w:type="dxa" w:w="1728"/>
          </w:tcPr>
          <w:p>
            <w:r/>
            <w:r>
              <w:t>✅ local</w:t>
            </w:r>
          </w:p>
        </w:tc>
        <w:tc>
          <w:tcPr>
            <w:tcW w:type="dxa" w:w="1728"/>
          </w:tcPr>
          <w:p>
            <w:r/>
            <w:r>
              <w:t xml:space="preserve">faible (changer </w:t>
            </w:r>
            <w:r>
              <w:rPr>
                <w:rFonts w:ascii="Consolas" w:hAnsi="Consolas"/>
              </w:rPr>
              <w:t>OLLAMA_MODEL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C. Cloud européen</w:t>
            </w:r>
            <w:r>
              <w:t xml:space="preserve"> Mistral AI </w:t>
            </w:r>
            <w:r>
              <w:rPr>
                <w:rFonts w:ascii="Consolas" w:hAnsi="Consolas"/>
              </w:rPr>
              <w:t>mistral-small</w:t>
            </w:r>
          </w:p>
        </w:tc>
        <w:tc>
          <w:tcPr>
            <w:tcW w:type="dxa" w:w="1728"/>
          </w:tcPr>
          <w:p>
            <w:r/>
            <w:r>
              <w:t>rapide</w:t>
            </w:r>
          </w:p>
        </w:tc>
        <w:tc>
          <w:tcPr>
            <w:tcW w:type="dxa" w:w="1728"/>
          </w:tcPr>
          <w:p>
            <w:r/>
            <w:r>
              <w:t>élevée</w:t>
            </w:r>
          </w:p>
        </w:tc>
        <w:tc>
          <w:tcPr>
            <w:tcW w:type="dxa" w:w="1728"/>
          </w:tcPr>
          <w:p>
            <w:r/>
            <w:r>
              <w:t>🟡 UE (hors local)</w:t>
            </w:r>
          </w:p>
        </w:tc>
        <w:tc>
          <w:tcPr>
            <w:tcW w:type="dxa" w:w="1728"/>
          </w:tcPr>
          <w:p>
            <w:r/>
            <w:r>
              <w:t>faible (clé API)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D. Cloud US</w:t>
            </w:r>
            <w:r>
              <w:t xml:space="preserve"> Groq </w:t>
            </w:r>
            <w:r>
              <w:rPr>
                <w:rFonts w:ascii="Consolas" w:hAnsi="Consolas"/>
              </w:rPr>
              <w:t>llama-3.3-70b</w:t>
            </w:r>
          </w:p>
        </w:tc>
        <w:tc>
          <w:tcPr>
            <w:tcW w:type="dxa" w:w="1728"/>
          </w:tcPr>
          <w:p>
            <w:r/>
            <w:r>
              <w:t>très rapide</w:t>
            </w:r>
          </w:p>
        </w:tc>
        <w:tc>
          <w:tcPr>
            <w:tcW w:type="dxa" w:w="1728"/>
          </w:tcPr>
          <w:p>
            <w:r/>
            <w:r>
              <w:t>élevée</w:t>
            </w:r>
          </w:p>
        </w:tc>
        <w:tc>
          <w:tcPr>
            <w:tcW w:type="dxa" w:w="1728"/>
          </w:tcPr>
          <w:p>
            <w:r/>
            <w:r>
              <w:t>❌ hors UE</w:t>
            </w:r>
          </w:p>
        </w:tc>
        <w:tc>
          <w:tcPr>
            <w:tcW w:type="dxa" w:w="1728"/>
          </w:tcPr>
          <w:p>
            <w:r/>
            <w:r>
              <w:t xml:space="preserve">faible mais </w:t>
            </w:r>
            <w:r>
              <w:rPr>
                <w:b/>
              </w:rPr>
              <w:t>conflit RGPD</w:t>
            </w:r>
          </w:p>
        </w:tc>
      </w:tr>
    </w:tbl>
    <w:p/>
    <w:p>
      <w:pPr>
        <w:ind w:left="454"/>
      </w:pPr>
      <w:r>
        <w:t>Chiffres médiane/p95 et qualité /5 : voir le tableau de benchmark J2.</w:t>
      </w:r>
    </w:p>
    <w:p>
      <w:pPr>
        <w:pStyle w:val="Heading1"/>
      </w:pPr>
      <w:r>
        <w:t>3. Décision</w:t>
      </w:r>
    </w:p>
    <w:p>
      <w:pPr>
        <w:ind w:left="454"/>
      </w:pPr>
      <w:r>
        <w:rPr>
          <w:b/>
        </w:rPr>
        <w:t>Décision proposée (à confirmer par les chiffres du benchmark) :</w:t>
      </w:r>
    </w:p>
    <w:p>
      <w:pPr>
        <w:ind w:left="454"/>
      </w:pPr>
    </w:p>
    <w:p>
      <w:pPr>
        <w:ind w:left="454"/>
      </w:pPr>
      <w:r>
        <w:t xml:space="preserve">1. </w:t>
      </w:r>
      <w:r>
        <w:rPr>
          <w:b/>
        </w:rPr>
        <w:t>Privilégier l'option B</w:t>
      </w:r>
      <w:r>
        <w:t xml:space="preserve"> — basculer sur le </w:t>
      </w:r>
      <w:r>
        <w:rPr>
          <w:b/>
        </w:rPr>
        <w:t>modèle local le plus léger qui tient ≤ 15 s à qualité ≥ 4/5</w:t>
      </w:r>
      <w:r>
        <w:t xml:space="preserve"> (candidat principal : </w:t>
      </w:r>
      <w:r>
        <w:rPr>
          <w:rFonts w:ascii="Consolas" w:hAnsi="Consolas"/>
        </w:rPr>
        <w:t>phi3:mini</w:t>
      </w:r>
      <w:r>
        <w:t>). La souveraineté est préservée.</w:t>
      </w:r>
    </w:p>
    <w:p>
      <w:pPr>
        <w:ind w:left="454"/>
      </w:pPr>
      <w:r>
        <w:t xml:space="preserve">2. </w:t>
      </w:r>
      <w:r>
        <w:rPr>
          <w:b/>
        </w:rPr>
        <w:t>Repli option C (Mistral, cloud UE)</w:t>
      </w:r>
      <w:r>
        <w:t xml:space="preserve"> </w:t>
      </w:r>
      <w:r>
        <w:rPr>
          <w:i/>
        </w:rPr>
        <w:t>uniquement</w:t>
      </w:r>
      <w:r>
        <w:t xml:space="preserve"> si </w:t>
      </w:r>
      <w:r>
        <w:rPr>
          <w:b/>
        </w:rPr>
        <w:t>aucun</w:t>
      </w:r>
      <w:r>
        <w:t xml:space="preserve"> modèle local ne tient le SLA — fournisseur </w:t>
      </w:r>
      <w:r>
        <w:rPr>
          <w:b/>
        </w:rPr>
        <w:t>européen</w:t>
      </w:r>
      <w:r>
        <w:t xml:space="preserve"> donc compatible RGPD, activable par configuration.</w:t>
      </w:r>
    </w:p>
    <w:p>
      <w:pPr>
        <w:ind w:left="454"/>
      </w:pPr>
      <w:r>
        <w:t xml:space="preserve">3. </w:t>
      </w:r>
      <w:r>
        <w:rPr>
          <w:b/>
        </w:rPr>
        <w:t>Option D (Groq/US) exclue par défaut</w:t>
      </w:r>
      <w:r>
        <w:t xml:space="preserve"> (données hors UE) — réservée à une démo non-RGPD explicitement isolée.</w:t>
      </w:r>
    </w:p>
    <w:p>
      <w:pPr>
        <w:pStyle w:val="Heading1"/>
      </w:pPr>
      <w:r>
        <w:t>4. Justification *(au-delà de « le plus rapide » — CA-J2-4)*</w:t>
      </w:r>
    </w:p>
    <w:p>
      <w:pPr>
        <w:pStyle w:val="ListBullet"/>
      </w:pPr>
      <w:r>
        <w:rPr>
          <w:b/>
        </w:rPr>
        <w:t>Souveraineté d'abord</w:t>
      </w:r>
      <w:r>
        <w:t xml:space="preserve"> : notre différenciateur produit et notre engagement RGPD imposent le local tant qu'il est viable ; on ne sacrifie pas la conformité pour quelques secondes.</w:t>
      </w:r>
    </w:p>
    <w:p>
      <w:pPr>
        <w:pStyle w:val="ListBullet"/>
      </w:pPr>
      <w:r>
        <w:rPr>
          <w:b/>
        </w:rPr>
        <w:t>Réversibilité</w:t>
      </w:r>
      <w:r>
        <w:t xml:space="preserve"> : </w:t>
      </w:r>
      <w:r>
        <w:rPr>
          <w:rFonts w:ascii="Consolas" w:hAnsi="Consolas"/>
        </w:rPr>
        <w:t>backend/llm/providers.py</w:t>
      </w:r>
      <w:r>
        <w:t xml:space="preserve"> permet de changer de fournisseur par </w:t>
      </w:r>
      <w:r>
        <w:rPr>
          <w:b/>
        </w:rPr>
        <w:t>configuration</w:t>
      </w:r>
      <w:r>
        <w:t xml:space="preserve"> (feature-flag), sans réécriture — décision peu risquée et réversible.</w:t>
      </w:r>
    </w:p>
    <w:p>
      <w:pPr>
        <w:pStyle w:val="ListBullet"/>
      </w:pPr>
      <w:r>
        <w:rPr>
          <w:b/>
        </w:rPr>
        <w:t>Qualité maîtrisée</w:t>
      </w:r>
      <w:r>
        <w:t xml:space="preserve"> : le seuil ≥ 4/5 (3 testeurs) garantit qu'on n'échange pas la latence contre des QCM médiocres.</w:t>
      </w:r>
    </w:p>
    <w:p>
      <w:pPr>
        <w:pStyle w:val="ListBullet"/>
      </w:pPr>
      <w:r>
        <w:rPr>
          <w:b/>
        </w:rPr>
        <w:t>Coût</w:t>
      </w:r>
      <w:r>
        <w:t xml:space="preserve"> : option B = coût nul (modèle local déjà disponible) ; option C = coût maîtrisé (free tier Mistral).</w:t>
      </w:r>
    </w:p>
    <w:p>
      <w:pPr>
        <w:pStyle w:val="Heading1"/>
      </w:pPr>
      <w:r>
        <w:t>5. Conséquences</w:t>
      </w:r>
    </w:p>
    <w:p>
      <w:r>
        <w:rPr>
          <w:b/>
        </w:rPr>
        <w:t>Positives (+)</w:t>
      </w:r>
    </w:p>
    <w:p>
      <w:pPr>
        <w:pStyle w:val="ListBullet"/>
      </w:pPr>
      <w:r>
        <w:t>Latence ramenée à ≤ 15 s, SLA beta-testeur respecté.</w:t>
      </w:r>
    </w:p>
    <w:p>
      <w:pPr>
        <w:pStyle w:val="ListBullet"/>
      </w:pPr>
      <w:r>
        <w:t>RGPD/souveraineté préservés (option B) ; repli UE documenté (option C).</w:t>
      </w:r>
    </w:p>
    <w:p>
      <w:pPr>
        <w:pStyle w:val="ListBullet"/>
      </w:pPr>
      <w:r>
        <w:t>Choix tracé et réversible (config).</w:t>
      </w:r>
    </w:p>
    <w:p>
      <w:r>
        <w:rPr>
          <w:b/>
        </w:rPr>
        <w:t>À surveiller (−)</w:t>
      </w:r>
    </w:p>
    <w:p>
      <w:pPr>
        <w:pStyle w:val="ListBullet"/>
      </w:pPr>
      <w:r>
        <w:t xml:space="preserve">Un modèle plus léger peut </w:t>
      </w:r>
      <w:r>
        <w:rPr>
          <w:b/>
        </w:rPr>
        <w:t>baisser la qualité</w:t>
      </w:r>
      <w:r>
        <w:t xml:space="preserve"> → surveiller la note /5 et le taux d'hallucination (US-F3.5, RAG).</w:t>
      </w:r>
    </w:p>
    <w:p>
      <w:pPr>
        <w:pStyle w:val="ListBullet"/>
      </w:pPr>
      <w:r>
        <w:t xml:space="preserve">Le </w:t>
      </w:r>
      <w:r>
        <w:rPr>
          <w:b/>
        </w:rPr>
        <w:t>prompt</w:t>
      </w:r>
      <w:r>
        <w:t xml:space="preserve"> peut nécessiter un ajustement par modèle.</w:t>
      </w:r>
    </w:p>
    <w:p>
      <w:pPr>
        <w:pStyle w:val="ListBullet"/>
      </w:pPr>
      <w:r>
        <w:t>Si repli option C : dépendance à un tiers UE → mentionner dans les pages RGPD (US-G.1).</w:t>
      </w:r>
    </w:p>
    <w:p>
      <w:r>
        <w:rPr>
          <w:i/>
        </w:rPr>
        <w:t>ADR-0001 — équipe 6 · format Architecture Decision Record (1 page). À passer en statut « Accepté » une fois le benchmark exécuté et la cible ≤ 15 s vérifiée.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