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68"/>
        </w:rPr>
        <w:t>EduTutor IA</w:t>
      </w:r>
    </w:p>
    <w:p>
      <w:pPr>
        <w:jc w:val="center"/>
      </w:pPr>
      <w:r>
        <w:rPr>
          <w:color w:val="334155"/>
          <w:sz w:val="32"/>
        </w:rPr>
        <w:t>Cadrage produit</w:t>
      </w:r>
    </w:p>
    <w:p/>
    <w:p>
      <w:pPr>
        <w:jc w:val="center"/>
      </w:pPr>
      <w:r>
        <w:rPr>
          <w:b/>
          <w:sz w:val="44"/>
        </w:rPr>
        <w:t>Perturbation J2 — Décision technique sous contrainte (latence LLM)</w:t>
      </w:r>
    </w:p>
    <w:p/>
    <w:p/>
    <w:p>
      <w:pPr>
        <w:jc w:val="center"/>
      </w:pPr>
      <w:r>
        <w:rPr>
          <w:i/>
          <w:color w:val="334155"/>
        </w:rPr>
        <w:t>Livrable Jour 1 — APOCAL'IPSSI 2026</w:t>
      </w:r>
    </w:p>
    <w:p>
      <w:r>
        <w:br w:type="page"/>
      </w:r>
    </w:p>
    <w:p>
      <w:pPr>
        <w:pStyle w:val="Heading1"/>
      </w:pPr>
      <w:r>
        <w:t>🗂️ Identification du document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n° 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Membres</w:t>
            </w:r>
          </w:p>
        </w:tc>
        <w:tc>
          <w:tcPr>
            <w:tcW w:type="dxa" w:w="4320"/>
          </w:tcPr>
          <w:p>
            <w:r/>
            <w:r>
              <w:t>Kahil MOKHTARI · Amine HADDANE · Souleymane FALL · Nikola MILOSAVLJEVIC · Dina CHAOUKI · Rayan ZEBAZE SAO · 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Sprint concerné</w:t>
            </w:r>
          </w:p>
        </w:tc>
        <w:tc>
          <w:tcPr>
            <w:tcW w:type="dxa" w:w="4320"/>
          </w:tcPr>
          <w:p>
            <w:r/>
            <w:r>
              <w:t>Sprint 3 (mardi 14h-18h)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t>Perturbation J2 — Benchmark + décision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t>30/06/2026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t>Draft (benchmark à exécuter)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Rédacteur</w:t>
            </w:r>
          </w:p>
        </w:tc>
        <w:tc>
          <w:tcPr>
            <w:tcW w:type="dxa" w:w="4320"/>
          </w:tcPr>
          <w:p>
            <w:r/>
            <w:r>
              <w:t>Kahil MOKHTARI</w:t>
            </w:r>
          </w:p>
        </w:tc>
      </w:tr>
    </w:tbl>
    <w:p/>
    <w:p>
      <w:pPr>
        <w:ind w:left="454"/>
      </w:pPr>
      <w:r>
        <w:t>Liens : ADR-0001 — Choix du modèle LLM · Sprint Backlog · Release Planning.</w:t>
      </w:r>
    </w:p>
    <w:p>
      <w:pPr>
        <w:pStyle w:val="Heading1"/>
      </w:pPr>
      <w:r>
        <w:t>1. Scénario</w:t>
      </w:r>
    </w:p>
    <w:p>
      <w:r>
        <w:t xml:space="preserve">Un beta-testeur signale une </w:t>
      </w:r>
      <w:r>
        <w:rPr>
          <w:b/>
        </w:rPr>
        <w:t>latence inacceptable : ~45 s</w:t>
      </w:r>
      <w:r>
        <w:t xml:space="preserve"> pour générer 10 QCM. Le sponsor demande </w:t>
      </w:r>
      <w:r>
        <w:rPr>
          <w:b/>
        </w:rPr>
        <w:t>une solution justifiée d'ici ce soir</w:t>
      </w:r>
      <w:r>
        <w:t>.</w:t>
      </w:r>
    </w:p>
    <w:p>
      <w:r>
        <w:rPr>
          <w:b/>
        </w:rPr>
        <w:t>Objectif chiffré (CA-J2-6) : ramener la génération à ≤ 15 s</w:t>
      </w:r>
      <w:r>
        <w:t xml:space="preserve"> sur le cours de référence, sans sacrifier la qualité pédagogique ni la souveraineté des données (RGPD).</w:t>
      </w:r>
    </w:p>
    <w:p>
      <w:pPr>
        <w:ind w:left="454"/>
      </w:pPr>
      <w:r>
        <w:t xml:space="preserve">Reformulation (1 phrase) : </w:t>
      </w:r>
      <w:r>
        <w:rPr>
          <w:i/>
        </w:rPr>
        <w:t>« On veut réduire la latence de génération de 45 s à ≤ 15 s, sans sacrifier la qualité des QCM (≥ 4/5) ni la conformité RGPD. »</w:t>
      </w:r>
    </w:p>
    <w:p>
      <w:pPr>
        <w:pStyle w:val="Heading1"/>
      </w:pPr>
      <w:r>
        <w:t>2. Protocole de mesure *(CA-J2-2)*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Paramètre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Valeur figée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Cours de référence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docs/perturbations/j2/cours-reference.pdf</w:t>
            </w:r>
            <w:r>
              <w:t xml:space="preserve"> — ~10 pages, ~3 000 mots (à figer pour tous les runs)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Machine de test</w:t>
            </w:r>
          </w:p>
        </w:tc>
        <w:tc>
          <w:tcPr>
            <w:tcW w:type="dxa" w:w="4320"/>
          </w:tcPr>
          <w:p>
            <w:r/>
            <w:r>
              <w:t>poste de référence équipe (CPU/GPU/RAM à renseigner ci-dessous)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Tâche</w:t>
            </w:r>
          </w:p>
        </w:tc>
        <w:tc>
          <w:tcPr>
            <w:tcW w:type="dxa" w:w="4320"/>
          </w:tcPr>
          <w:p>
            <w:r/>
            <w:r>
              <w:t xml:space="preserve">génération de </w:t>
            </w:r>
            <w:r>
              <w:rPr>
                <w:b/>
              </w:rPr>
              <w:t>10 QCM</w:t>
            </w:r>
            <w:r>
              <w:t xml:space="preserve"> (même prompt, mêmes paramètres)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Runs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 runs par modèle</w:t>
            </w:r>
            <w:r>
              <w:t>, à froid puis à chaud, même environnement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Métriques latence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médiane + p95</w:t>
            </w:r>
            <w:r>
              <w:t xml:space="preserve"> (pas la moyenne) sur les 5 runs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Qualité</w:t>
            </w:r>
          </w:p>
        </w:tc>
        <w:tc>
          <w:tcPr>
            <w:tcW w:type="dxa" w:w="4320"/>
          </w:tcPr>
          <w:p>
            <w:r/>
            <w:r>
              <w:t xml:space="preserve">note </w:t>
            </w:r>
            <w:r>
              <w:rPr>
                <w:b/>
              </w:rPr>
              <w:t>/5</w:t>
            </w:r>
            <w:r>
              <w:t xml:space="preserve"> par </w:t>
            </w:r>
            <w:r>
              <w:rPr>
                <w:b/>
              </w:rPr>
              <w:t>≥ 3 testeurs</w:t>
            </w:r>
            <w:r>
              <w:t xml:space="preserve"> (grille §4) sur le même quiz généré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Ressources</w:t>
            </w:r>
          </w:p>
        </w:tc>
        <w:tc>
          <w:tcPr>
            <w:tcW w:type="dxa" w:w="4320"/>
          </w:tcPr>
          <w:p>
            <w:r/>
            <w:r>
              <w:t>RAM/disque/GPU consommés par le modèle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Spécs machine</w:t>
            </w:r>
          </w:p>
        </w:tc>
        <w:tc>
          <w:tcPr>
            <w:tcW w:type="dxa" w:w="4320"/>
          </w:tcPr>
          <w:p>
            <w:r/>
            <w:r>
              <w:t>_CPU : … · RAM : … · GPU : … · OS : …_ (à compléter)</w:t>
            </w:r>
          </w:p>
        </w:tc>
      </w:tr>
    </w:tbl>
    <w:p/>
    <w:p>
      <w:pPr>
        <w:ind w:left="454"/>
      </w:pPr>
      <w:r>
        <w:t>Implémentation : harnais de mesure autour de l'appel de génération (</w:t>
      </w:r>
      <w:r>
        <w:rPr>
          <w:rFonts w:ascii="Consolas" w:hAnsi="Consolas"/>
        </w:rPr>
        <w:t>backend/llm/…</w:t>
      </w:r>
      <w:r>
        <w:t>), 5 itérations chronométrées, export du tableau ci-dessous.</w:t>
      </w:r>
    </w:p>
    <w:p>
      <w:pPr>
        <w:pStyle w:val="Heading1"/>
      </w:pPr>
      <w:r>
        <w:t>3. Options envisagées &amp; tableau de benchmark *(CA-J2-1)*</w:t>
      </w:r>
    </w:p>
    <w:p>
      <w:r>
        <w:t xml:space="preserve">Les 4 fournisseurs sont </w:t>
      </w:r>
      <w:r>
        <w:rPr>
          <w:b/>
        </w:rPr>
        <w:t>déjà supportés</w:t>
      </w:r>
      <w:r>
        <w:t xml:space="preserve"> par </w:t>
      </w:r>
      <w:r>
        <w:rPr>
          <w:rFonts w:ascii="Consolas" w:hAnsi="Consolas"/>
        </w:rPr>
        <w:t>backend/llm/providers.py</w:t>
      </w:r>
      <w:r>
        <w:t xml:space="preserve"> (Ollama, Mistral, Gemini, Groq) — le benchmark ne nécessite pas de nouvelle intégration, seulement la configuration.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Modèle / fournisseur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Latence médiane (s)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p95 (s)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Qualité /5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RAM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RGPD / souveraineté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Verdict</w:t>
            </w:r>
          </w:p>
        </w:tc>
      </w:tr>
      <w:tr>
        <w:tc>
          <w:tcPr>
            <w:tcW w:type="dxa" w:w="960"/>
          </w:tcPr>
          <w:p>
            <w:r/>
            <w:r>
              <w:t>①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Ollama `llama3.1:8b`</w:t>
            </w:r>
            <w:r>
              <w:t xml:space="preserve"> </w:t>
            </w:r>
            <w:r>
              <w:rPr>
                <w:i/>
              </w:rPr>
              <w:t>(statu quo)</w:t>
            </w:r>
          </w:p>
        </w:tc>
        <w:tc>
          <w:tcPr>
            <w:tcW w:type="dxa" w:w="960"/>
          </w:tcPr>
          <w:p>
            <w:r/>
            <w:r>
              <w:t>Local</w:t>
            </w:r>
          </w:p>
        </w:tc>
        <w:tc>
          <w:tcPr>
            <w:tcW w:type="dxa" w:w="960"/>
          </w:tcPr>
          <w:p>
            <w:r/>
            <w:r>
              <w:t>_~45_</w:t>
            </w:r>
          </w:p>
        </w:tc>
        <w:tc>
          <w:tcPr>
            <w:tcW w:type="dxa" w:w="960"/>
          </w:tcPr>
          <w:p>
            <w:r/>
            <w:r>
              <w:t>_…_</w:t>
            </w:r>
          </w:p>
        </w:tc>
        <w:tc>
          <w:tcPr>
            <w:tcW w:type="dxa" w:w="960"/>
          </w:tcPr>
          <w:p>
            <w:r/>
            <w:r>
              <w:t>_…_</w:t>
            </w:r>
          </w:p>
        </w:tc>
        <w:tc>
          <w:tcPr>
            <w:tcW w:type="dxa" w:w="960"/>
          </w:tcPr>
          <w:p>
            <w:r/>
            <w:r>
              <w:t>_…_</w:t>
            </w:r>
          </w:p>
        </w:tc>
        <w:tc>
          <w:tcPr>
            <w:tcW w:type="dxa" w:w="960"/>
          </w:tcPr>
          <w:p>
            <w:r/>
            <w:r>
              <w:t>✅ 100 % local</w:t>
            </w:r>
          </w:p>
        </w:tc>
        <w:tc>
          <w:tcPr>
            <w:tcW w:type="dxa" w:w="960"/>
          </w:tcPr>
          <w:p>
            <w:r/>
            <w:r>
              <w:t>référence</w:t>
            </w:r>
          </w:p>
        </w:tc>
      </w:tr>
      <w:tr>
        <w:tc>
          <w:tcPr>
            <w:tcW w:type="dxa" w:w="960"/>
          </w:tcPr>
          <w:p>
            <w:r/>
            <w:r>
              <w:t>②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Ollama `phi3:mini`</w:t>
            </w:r>
          </w:p>
        </w:tc>
        <w:tc>
          <w:tcPr>
            <w:tcW w:type="dxa" w:w="960"/>
          </w:tcPr>
          <w:p>
            <w:r/>
            <w:r>
              <w:t>Local</w:t>
            </w:r>
          </w:p>
        </w:tc>
        <w:tc>
          <w:tcPr>
            <w:tcW w:type="dxa" w:w="960"/>
          </w:tcPr>
          <w:p>
            <w:r/>
            <w:r>
              <w:t>_…_</w:t>
            </w:r>
          </w:p>
        </w:tc>
        <w:tc>
          <w:tcPr>
            <w:tcW w:type="dxa" w:w="960"/>
          </w:tcPr>
          <w:p>
            <w:r/>
            <w:r>
              <w:t>_…_</w:t>
            </w:r>
          </w:p>
        </w:tc>
        <w:tc>
          <w:tcPr>
            <w:tcW w:type="dxa" w:w="960"/>
          </w:tcPr>
          <w:p>
            <w:r/>
            <w:r>
              <w:t>_…_</w:t>
            </w:r>
          </w:p>
        </w:tc>
        <w:tc>
          <w:tcPr>
            <w:tcW w:type="dxa" w:w="960"/>
          </w:tcPr>
          <w:p>
            <w:r/>
            <w:r>
              <w:t>_…_</w:t>
            </w:r>
          </w:p>
        </w:tc>
        <w:tc>
          <w:tcPr>
            <w:tcW w:type="dxa" w:w="960"/>
          </w:tcPr>
          <w:p>
            <w:r/>
            <w:r>
              <w:t>✅ 100 % local</w:t>
            </w:r>
          </w:p>
        </w:tc>
        <w:tc>
          <w:tcPr>
            <w:tcW w:type="dxa" w:w="960"/>
          </w:tcPr>
          <w:p>
            <w:r/>
            <w:r>
              <w:t>_à mesurer_</w:t>
            </w:r>
          </w:p>
        </w:tc>
      </w:tr>
      <w:tr>
        <w:tc>
          <w:tcPr>
            <w:tcW w:type="dxa" w:w="960"/>
          </w:tcPr>
          <w:p>
            <w:r/>
            <w:r>
              <w:t>③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Ollama `mistral:7b`</w:t>
            </w:r>
          </w:p>
        </w:tc>
        <w:tc>
          <w:tcPr>
            <w:tcW w:type="dxa" w:w="960"/>
          </w:tcPr>
          <w:p>
            <w:r/>
            <w:r>
              <w:t>Local</w:t>
            </w:r>
          </w:p>
        </w:tc>
        <w:tc>
          <w:tcPr>
            <w:tcW w:type="dxa" w:w="960"/>
          </w:tcPr>
          <w:p>
            <w:r/>
            <w:r>
              <w:t>_…_</w:t>
            </w:r>
          </w:p>
        </w:tc>
        <w:tc>
          <w:tcPr>
            <w:tcW w:type="dxa" w:w="960"/>
          </w:tcPr>
          <w:p>
            <w:r/>
            <w:r>
              <w:t>_…_</w:t>
            </w:r>
          </w:p>
        </w:tc>
        <w:tc>
          <w:tcPr>
            <w:tcW w:type="dxa" w:w="960"/>
          </w:tcPr>
          <w:p>
            <w:r/>
            <w:r>
              <w:t>_…_</w:t>
            </w:r>
          </w:p>
        </w:tc>
        <w:tc>
          <w:tcPr>
            <w:tcW w:type="dxa" w:w="960"/>
          </w:tcPr>
          <w:p>
            <w:r/>
            <w:r>
              <w:t>_…_</w:t>
            </w:r>
          </w:p>
        </w:tc>
        <w:tc>
          <w:tcPr>
            <w:tcW w:type="dxa" w:w="960"/>
          </w:tcPr>
          <w:p>
            <w:r/>
            <w:r>
              <w:t>✅ 100 % local</w:t>
            </w:r>
          </w:p>
        </w:tc>
        <w:tc>
          <w:tcPr>
            <w:tcW w:type="dxa" w:w="960"/>
          </w:tcPr>
          <w:p>
            <w:r/>
            <w:r>
              <w:t>_à mesurer_</w:t>
            </w:r>
          </w:p>
        </w:tc>
      </w:tr>
      <w:tr>
        <w:tc>
          <w:tcPr>
            <w:tcW w:type="dxa" w:w="960"/>
          </w:tcPr>
          <w:p>
            <w:r/>
            <w:r>
              <w:t>④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Mistral AI `mistral-small`</w:t>
            </w:r>
          </w:p>
        </w:tc>
        <w:tc>
          <w:tcPr>
            <w:tcW w:type="dxa" w:w="960"/>
          </w:tcPr>
          <w:p>
            <w:r/>
            <w:r>
              <w:t xml:space="preserve">Cloud </w:t>
            </w:r>
            <w:r>
              <w:rPr>
                <w:b/>
              </w:rPr>
              <w:t>UE</w:t>
            </w:r>
          </w:p>
        </w:tc>
        <w:tc>
          <w:tcPr>
            <w:tcW w:type="dxa" w:w="960"/>
          </w:tcPr>
          <w:p>
            <w:r/>
            <w:r>
              <w:t>_…_</w:t>
            </w:r>
          </w:p>
        </w:tc>
        <w:tc>
          <w:tcPr>
            <w:tcW w:type="dxa" w:w="960"/>
          </w:tcPr>
          <w:p>
            <w:r/>
            <w:r>
              <w:t>_…_</w:t>
            </w:r>
          </w:p>
        </w:tc>
        <w:tc>
          <w:tcPr>
            <w:tcW w:type="dxa" w:w="960"/>
          </w:tcPr>
          <w:p>
            <w:r/>
            <w:r>
              <w:t>_…_</w:t>
            </w:r>
          </w:p>
        </w:tc>
        <w:tc>
          <w:tcPr>
            <w:tcW w:type="dxa" w:w="960"/>
          </w:tcPr>
          <w:p>
            <w:r/>
            <w:r>
              <w:t>n/a</w:t>
            </w:r>
          </w:p>
        </w:tc>
        <w:tc>
          <w:tcPr>
            <w:tcW w:type="dxa" w:w="960"/>
          </w:tcPr>
          <w:p>
            <w:r/>
            <w:r>
              <w:t>🟡 UE (hors local)</w:t>
            </w:r>
          </w:p>
        </w:tc>
        <w:tc>
          <w:tcPr>
            <w:tcW w:type="dxa" w:w="960"/>
          </w:tcPr>
          <w:p>
            <w:r/>
            <w:r>
              <w:t>_repli_</w:t>
            </w:r>
          </w:p>
        </w:tc>
      </w:tr>
      <w:tr>
        <w:tc>
          <w:tcPr>
            <w:tcW w:type="dxa" w:w="960"/>
          </w:tcPr>
          <w:p>
            <w:r/>
            <w:r>
              <w:t>⑤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Groq `llama-3.3-70b`</w:t>
            </w:r>
          </w:p>
        </w:tc>
        <w:tc>
          <w:tcPr>
            <w:tcW w:type="dxa" w:w="960"/>
          </w:tcPr>
          <w:p>
            <w:r/>
            <w:r>
              <w:t xml:space="preserve">Cloud </w:t>
            </w:r>
            <w:r>
              <w:rPr>
                <w:b/>
              </w:rPr>
              <w:t>US</w:t>
            </w:r>
          </w:p>
        </w:tc>
        <w:tc>
          <w:tcPr>
            <w:tcW w:type="dxa" w:w="960"/>
          </w:tcPr>
          <w:p>
            <w:r/>
            <w:r>
              <w:t>_…_</w:t>
            </w:r>
          </w:p>
        </w:tc>
        <w:tc>
          <w:tcPr>
            <w:tcW w:type="dxa" w:w="960"/>
          </w:tcPr>
          <w:p>
            <w:r/>
            <w:r>
              <w:t>_…_</w:t>
            </w:r>
          </w:p>
        </w:tc>
        <w:tc>
          <w:tcPr>
            <w:tcW w:type="dxa" w:w="960"/>
          </w:tcPr>
          <w:p>
            <w:r/>
            <w:r>
              <w:t>_…_</w:t>
            </w:r>
          </w:p>
        </w:tc>
        <w:tc>
          <w:tcPr>
            <w:tcW w:type="dxa" w:w="960"/>
          </w:tcPr>
          <w:p>
            <w:r/>
            <w:r>
              <w:t>n/a</w:t>
            </w:r>
          </w:p>
        </w:tc>
        <w:tc>
          <w:tcPr>
            <w:tcW w:type="dxa" w:w="960"/>
          </w:tcPr>
          <w:p>
            <w:r/>
            <w:r>
              <w:t>❌ hors UE (cf. US-W.3)</w:t>
            </w:r>
          </w:p>
        </w:tc>
        <w:tc>
          <w:tcPr>
            <w:tcW w:type="dxa" w:w="960"/>
          </w:tcPr>
          <w:p>
            <w:r/>
            <w:r>
              <w:t>_exclu par défaut_</w:t>
            </w:r>
          </w:p>
        </w:tc>
      </w:tr>
      <w:tr>
        <w:tc>
          <w:tcPr>
            <w:tcW w:type="dxa" w:w="960"/>
          </w:tcPr>
          <w:p>
            <w:r/>
            <w:r>
              <w:t>—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Ne rien changer</w:t>
            </w:r>
          </w:p>
        </w:tc>
        <w:tc>
          <w:tcPr>
            <w:tcW w:type="dxa" w:w="960"/>
          </w:tcPr>
          <w:p>
            <w:r/>
            <w:r>
              <w:t>—</w:t>
            </w:r>
          </w:p>
        </w:tc>
        <w:tc>
          <w:tcPr>
            <w:tcW w:type="dxa" w:w="960"/>
          </w:tcPr>
          <w:p>
            <w:r/>
            <w:r>
              <w:t>~45</w:t>
            </w:r>
          </w:p>
        </w:tc>
        <w:tc>
          <w:tcPr>
            <w:tcW w:type="dxa" w:w="960"/>
          </w:tcPr>
          <w:p>
            <w:r/>
            <w:r>
              <w:t>—</w:t>
            </w:r>
          </w:p>
        </w:tc>
        <w:tc>
          <w:tcPr>
            <w:tcW w:type="dxa" w:w="960"/>
          </w:tcPr>
          <w:p>
            <w:r/>
            <w:r>
              <w:t>—</w:t>
            </w:r>
          </w:p>
        </w:tc>
        <w:tc>
          <w:tcPr>
            <w:tcW w:type="dxa" w:w="960"/>
          </w:tcPr>
          <w:p>
            <w:r/>
            <w:r>
              <w:t>—</w:t>
            </w:r>
          </w:p>
        </w:tc>
        <w:tc>
          <w:tcPr>
            <w:tcW w:type="dxa" w:w="960"/>
          </w:tcPr>
          <w:p>
            <w:r/>
            <w:r>
              <w:t>✅</w:t>
            </w:r>
          </w:p>
        </w:tc>
        <w:tc>
          <w:tcPr>
            <w:tcW w:type="dxa" w:w="960"/>
          </w:tcPr>
          <w:p>
            <w:r/>
            <w:r>
              <w:t>❌ ne tient pas le SLA 15 s</w:t>
            </w:r>
          </w:p>
        </w:tc>
      </w:tr>
    </w:tbl>
    <w:p/>
    <w:p>
      <w:pPr>
        <w:ind w:left="454"/>
      </w:pPr>
      <w:r>
        <w:t xml:space="preserve">Règle d'or : </w:t>
      </w:r>
      <w:r>
        <w:rPr>
          <w:b/>
        </w:rPr>
        <w:t>rester local</w:t>
      </w:r>
      <w:r>
        <w:t xml:space="preserve"> (RGPD) si un modèle local tient ≤ 15 s à qualité ≥ 4/5. Tout passage cloud doit être tranché par l'ADR-0001 (cohérent avec </w:t>
      </w:r>
      <w:r>
        <w:rPr>
          <w:rFonts w:ascii="Consolas" w:hAnsi="Consolas"/>
        </w:rPr>
        <w:t>US-W.3</w:t>
      </w:r>
      <w:r>
        <w:t xml:space="preserve"> du backlog).</w:t>
      </w:r>
    </w:p>
    <w:p>
      <w:pPr>
        <w:pStyle w:val="Heading1"/>
      </w:pPr>
      <w:r>
        <w:t>4. Grille de qualité (/5) — ≥ 3 testeurs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Critère (1 pt chacun)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t>Ancrage cours</w:t>
            </w:r>
          </w:p>
        </w:tc>
        <w:tc>
          <w:tcPr>
            <w:tcW w:type="dxa" w:w="4320"/>
          </w:tcPr>
          <w:p>
            <w:r/>
            <w:r>
              <w:t>Les questions portent bien sur le contenu fourni (pas d'hallucination)</w:t>
            </w:r>
          </w:p>
        </w:tc>
      </w:tr>
      <w:tr>
        <w:tc>
          <w:tcPr>
            <w:tcW w:type="dxa" w:w="4320"/>
          </w:tcPr>
          <w:p>
            <w:r/>
            <w:r>
              <w:t>Clarté</w:t>
            </w:r>
          </w:p>
        </w:tc>
        <w:tc>
          <w:tcPr>
            <w:tcW w:type="dxa" w:w="4320"/>
          </w:tcPr>
          <w:p>
            <w:r/>
            <w:r>
              <w:t>Questions et options compréhensibles, sans ambiguïté</w:t>
            </w:r>
          </w:p>
        </w:tc>
      </w:tr>
      <w:tr>
        <w:tc>
          <w:tcPr>
            <w:tcW w:type="dxa" w:w="4320"/>
          </w:tcPr>
          <w:p>
            <w:r/>
            <w:r>
              <w:t>Pertinence des distracteurs</w:t>
            </w:r>
          </w:p>
        </w:tc>
        <w:tc>
          <w:tcPr>
            <w:tcW w:type="dxa" w:w="4320"/>
          </w:tcPr>
          <w:p>
            <w:r/>
            <w:r>
              <w:t>Les 3 mauvaises réponses sont plausibles</w:t>
            </w:r>
          </w:p>
        </w:tc>
      </w:tr>
      <w:tr>
        <w:tc>
          <w:tcPr>
            <w:tcW w:type="dxa" w:w="4320"/>
          </w:tcPr>
          <w:p>
            <w:r/>
            <w:r>
              <w:t>Couverture</w:t>
            </w:r>
          </w:p>
        </w:tc>
        <w:tc>
          <w:tcPr>
            <w:tcW w:type="dxa" w:w="4320"/>
          </w:tcPr>
          <w:p>
            <w:r/>
            <w:r>
              <w:t>Les 10 questions couvrent plusieurs parties du cours</w:t>
            </w:r>
          </w:p>
        </w:tc>
      </w:tr>
      <w:tr>
        <w:tc>
          <w:tcPr>
            <w:tcW w:type="dxa" w:w="4320"/>
          </w:tcPr>
          <w:p>
            <w:r/>
            <w:r>
              <w:t>Exactitude</w:t>
            </w:r>
          </w:p>
        </w:tc>
        <w:tc>
          <w:tcPr>
            <w:tcW w:type="dxa" w:w="4320"/>
          </w:tcPr>
          <w:p>
            <w:r/>
            <w:r>
              <w:t>La bonne réponse est réellement correcte</w:t>
            </w:r>
          </w:p>
        </w:tc>
      </w:tr>
    </w:tbl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Testeur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Modèle ①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Modèle ②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Modèle ③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Modèle ④</w:t>
            </w:r>
          </w:p>
        </w:tc>
      </w:tr>
      <w:tr>
        <w:tc>
          <w:tcPr>
            <w:tcW w:type="dxa" w:w="1728"/>
          </w:tcPr>
          <w:p>
            <w:r/>
            <w:r>
              <w:t>Dina CHAOUKI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</w:tr>
      <w:tr>
        <w:tc>
          <w:tcPr>
            <w:tcW w:type="dxa" w:w="1728"/>
          </w:tcPr>
          <w:p>
            <w:r/>
            <w:r>
              <w:t>Nikola MILOSAVLJEVIC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</w:tr>
      <w:tr>
        <w:tc>
          <w:tcPr>
            <w:tcW w:type="dxa" w:w="1728"/>
          </w:tcPr>
          <w:p>
            <w:r/>
            <w:r>
              <w:t>Rayan ZEBAZE SAO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  <w:tc>
          <w:tcPr>
            <w:tcW w:type="dxa" w:w="1728"/>
          </w:tcPr>
          <w:p>
            <w:r/>
            <w:r>
              <w:t>_/5_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Moyenne</w:t>
            </w:r>
          </w:p>
        </w:tc>
        <w:tc>
          <w:tcPr>
            <w:tcW w:type="dxa" w:w="1728"/>
          </w:tcPr>
          <w:p>
            <w:r/>
            <w:r>
              <w:t>_…_</w:t>
            </w:r>
          </w:p>
        </w:tc>
        <w:tc>
          <w:tcPr>
            <w:tcW w:type="dxa" w:w="1728"/>
          </w:tcPr>
          <w:p>
            <w:r/>
            <w:r>
              <w:t>_…_</w:t>
            </w:r>
          </w:p>
        </w:tc>
        <w:tc>
          <w:tcPr>
            <w:tcW w:type="dxa" w:w="1728"/>
          </w:tcPr>
          <w:p>
            <w:r/>
            <w:r>
              <w:t>_…_</w:t>
            </w:r>
          </w:p>
        </w:tc>
        <w:tc>
          <w:tcPr>
            <w:tcW w:type="dxa" w:w="1728"/>
          </w:tcPr>
          <w:p>
            <w:r/>
            <w:r>
              <w:t>_…_</w:t>
            </w:r>
          </w:p>
        </w:tc>
      </w:tr>
    </w:tbl>
    <w:p/>
    <w:p>
      <w:pPr>
        <w:pStyle w:val="Heading1"/>
      </w:pPr>
      <w:r>
        <w:t>5. Critères d'acceptation J2</w:t>
      </w:r>
    </w:p>
    <w:p>
      <w:pPr>
        <w:pStyle w:val="ListBullet"/>
      </w:pPr>
      <w:r>
        <w:t xml:space="preserve">[ ] </w:t>
      </w:r>
      <w:r>
        <w:rPr>
          <w:b/>
        </w:rPr>
        <w:t>CA-J2-1</w:t>
      </w:r>
      <w:r>
        <w:t xml:space="preserve"> — Benchmark ≥ 3 modèles avec métriques chiffrées</w:t>
      </w:r>
    </w:p>
    <w:p>
      <w:pPr>
        <w:pStyle w:val="ListBullet"/>
      </w:pPr>
      <w:r>
        <w:t xml:space="preserve">[ ] </w:t>
      </w:r>
      <w:r>
        <w:rPr>
          <w:b/>
        </w:rPr>
        <w:t>CA-J2-2</w:t>
      </w:r>
      <w:r>
        <w:t xml:space="preserve"> — Protocole écrit (runs, cours, machine) → §2</w:t>
      </w:r>
    </w:p>
    <w:p>
      <w:pPr>
        <w:pStyle w:val="ListBullet"/>
      </w:pPr>
      <w:r>
        <w:t xml:space="preserve">[ ] </w:t>
      </w:r>
      <w:r>
        <w:rPr>
          <w:b/>
        </w:rPr>
        <w:t>CA-J2-3</w:t>
      </w:r>
      <w:r>
        <w:t xml:space="preserve"> — ADR complet (≥ 4 sections) → ADR-0001</w:t>
      </w:r>
    </w:p>
    <w:p>
      <w:pPr>
        <w:pStyle w:val="ListBullet"/>
      </w:pPr>
      <w:r>
        <w:t xml:space="preserve">[ ] </w:t>
      </w:r>
      <w:r>
        <w:rPr>
          <w:b/>
        </w:rPr>
        <w:t>CA-J2-4</w:t>
      </w:r>
      <w:r>
        <w:t xml:space="preserve"> — Décision argumentée au-delà du « plus rapide »</w:t>
      </w:r>
    </w:p>
    <w:p>
      <w:pPr>
        <w:pStyle w:val="ListBullet"/>
      </w:pPr>
      <w:r>
        <w:t xml:space="preserve">[ ] </w:t>
      </w:r>
      <w:r>
        <w:rPr>
          <w:b/>
        </w:rPr>
        <w:t>CA-J2-5</w:t>
      </w:r>
      <w:r>
        <w:t xml:space="preserve"> — Sprint Backlog visiblement mis à jour → Sprint Backlog §7</w:t>
      </w:r>
    </w:p>
    <w:p>
      <w:pPr>
        <w:pStyle w:val="ListBullet"/>
      </w:pPr>
      <w:r>
        <w:t xml:space="preserve">[ ] </w:t>
      </w:r>
      <w:r>
        <w:rPr>
          <w:b/>
        </w:rPr>
        <w:t>CA-J2-6</w:t>
      </w:r>
      <w:r>
        <w:t xml:space="preserve"> — </w:t>
      </w:r>
      <w:r>
        <w:rPr>
          <w:b/>
        </w:rPr>
        <w:t>Temps final ≤ 15 s</w:t>
      </w:r>
      <w:r>
        <w:t xml:space="preserve"> sur le cours de référence</w:t>
      </w:r>
    </w:p>
    <w:p>
      <w:pPr>
        <w:pStyle w:val="ListBullet"/>
      </w:pPr>
      <w:r>
        <w:t xml:space="preserve">[ ] </w:t>
      </w:r>
      <w:r>
        <w:rPr>
          <w:b/>
        </w:rPr>
        <w:t>CA-J2-7</w:t>
      </w:r>
      <w:r>
        <w:t xml:space="preserve"> — Code commité (config modèle) ou justification claire</w:t>
      </w:r>
    </w:p>
    <w:p>
      <w:pPr>
        <w:pStyle w:val="Heading1"/>
      </w:pPr>
      <w:r>
        <w:t>✅ Grille d'auto-évaluation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 qualité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Auto-éval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Commentaire / preuve</w:t>
            </w:r>
          </w:p>
        </w:tc>
      </w:tr>
      <w:tr>
        <w:tc>
          <w:tcPr>
            <w:tcW w:type="dxa" w:w="2880"/>
          </w:tcPr>
          <w:p>
            <w:r/>
            <w:r>
              <w:t>Problème reformulé en 1 phrase mesurable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§1 (45 s → ≤ 15 s, qualité ≥ 4/5).</w:t>
            </w:r>
          </w:p>
        </w:tc>
      </w:tr>
      <w:tr>
        <w:tc>
          <w:tcPr>
            <w:tcW w:type="dxa" w:w="2880"/>
          </w:tcPr>
          <w:p>
            <w:r/>
            <w:r>
              <w:t>Protocole reproductible (runs, cours, machine)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§2.</w:t>
            </w:r>
          </w:p>
        </w:tc>
      </w:tr>
      <w:tr>
        <w:tc>
          <w:tcPr>
            <w:tcW w:type="dxa" w:w="2880"/>
          </w:tcPr>
          <w:p>
            <w:r/>
            <w:r>
              <w:t>≥ 3 options + « ne rien changer »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§3 (4 modèles + statu quo).</w:t>
            </w:r>
          </w:p>
        </w:tc>
      </w:tr>
      <w:tr>
        <w:tc>
          <w:tcPr>
            <w:tcW w:type="dxa" w:w="2880"/>
          </w:tcPr>
          <w:p>
            <w:r/>
            <w:r>
              <w:t>Métriques médiane + p95 (pas moyenne)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colonnes §3.</w:t>
            </w:r>
          </w:p>
        </w:tc>
      </w:tr>
      <w:tr>
        <w:tc>
          <w:tcPr>
            <w:tcW w:type="dxa" w:w="2880"/>
          </w:tcPr>
          <w:p>
            <w:r/>
            <w:r>
              <w:t>Qualité notée par ≥ 3 testeurs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§4 (grille + 3 testeurs).</w:t>
            </w:r>
          </w:p>
        </w:tc>
      </w:tr>
      <w:tr>
        <w:tc>
          <w:tcPr>
            <w:tcW w:type="dxa" w:w="2880"/>
          </w:tcPr>
          <w:p>
            <w:r/>
            <w:r>
              <w:t>Trade-off RGPD explicitement pesé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colonne souveraineté + renvoi ADR.</w:t>
            </w:r>
          </w:p>
        </w:tc>
      </w:tr>
      <w:tr>
        <w:tc>
          <w:tcPr>
            <w:tcW w:type="dxa" w:w="2880"/>
          </w:tcPr>
          <w:p>
            <w:r/>
            <w:r>
              <w:t>Décision tracée dans un ADR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ADR-0001.</w:t>
            </w:r>
          </w:p>
        </w:tc>
      </w:tr>
    </w:tbl>
    <w:p/>
    <w:p>
      <w:pPr>
        <w:pStyle w:val="Heading1"/>
      </w:pPr>
      <w:r>
        <w:t>📚 Références</w:t>
      </w:r>
    </w:p>
    <w:p>
      <w:pPr>
        <w:pStyle w:val="ListBullet"/>
      </w:pPr>
      <w:r>
        <w:t>Cours Agile/Scrum (Mohamed EL AFRIT) — mohamedelafrit.com/teaching/APOCALIPSSI</w:t>
      </w:r>
    </w:p>
    <w:p>
      <w:pPr>
        <w:pStyle w:val="ListBullet"/>
      </w:pPr>
      <w:r>
        <w:rPr>
          <w:rFonts w:ascii="Consolas" w:hAnsi="Consolas"/>
        </w:rPr>
        <w:t>backend/llm/providers.py</w:t>
      </w:r>
      <w:r>
        <w:t xml:space="preserve"> — fournisseurs supportés (Ollama, Mistral, Gemini, Groq)</w:t>
      </w:r>
    </w:p>
    <w:p>
      <w:pPr>
        <w:pStyle w:val="ListBullet"/>
      </w:pPr>
      <w:r>
        <w:t>Sources internes : ADR-0001 · Sprint Backlog · Product Backlog (US-X.3, SPK-2, US-W.3)</w:t>
      </w:r>
    </w:p>
    <w:p>
      <w:r>
        <w:rPr>
          <w:i/>
        </w:rPr>
        <w:t>Perturbation J2 — benchmark méthodologique de l'équipe 6. Protocole figé ; tableau à compléter lors de l'exécution (5 runs/modèle).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