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ADR-0001 — Choix du modèle LLM pour la génération de quiz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b/>
              </w:rPr>
              <w:t>Accepté</w:t>
            </w:r>
            <w:r>
              <w:t xml:space="preserve"> </w:t>
            </w:r>
            <w:r>
              <w:rPr>
                <w:i/>
              </w:rPr>
              <w:t>(benchmark J2 exécuté le 30/06/2026 — résultats)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Décideurs</w:t>
            </w:r>
          </w:p>
        </w:tc>
        <w:tc>
          <w:tcPr>
            <w:tcW w:type="dxa" w:w="4320"/>
          </w:tcPr>
          <w:p>
            <w:r/>
            <w:r>
              <w:t>Équipe 6 (Kahil MOKHTARI, Amine HADDANE, Souleymane FALL, Nikola MILOSAVLJEVIC, Dina CHAOUKI, Rayan ZEBAZE SAO, Hugo RAGUIN)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Story liée</w:t>
            </w:r>
          </w:p>
        </w:tc>
        <w:tc>
          <w:tcPr>
            <w:tcW w:type="dxa" w:w="4320"/>
          </w:tcPr>
          <w:p>
            <w:r/>
            <w:r>
              <w:t>US-X.3 (tracer le choix LLM) · SPK-2 · contrainte US-W.3 (cloud = ADR obligatoire)</w:t>
            </w:r>
          </w:p>
        </w:tc>
      </w:tr>
    </w:tbl>
    <w:p/>
    <w:p>
      <w:pPr>
        <w:pStyle w:val="Heading1"/>
      </w:pPr>
      <w:r>
        <w:t>1. Contexte</w:t>
      </w:r>
    </w:p>
    <w:p>
      <w:r>
        <w:t xml:space="preserve">La génération de 10 QCM prend </w:t>
      </w:r>
      <w:r>
        <w:rPr>
          <w:b/>
        </w:rPr>
        <w:t>~45 s</w:t>
      </w:r>
      <w:r>
        <w:t xml:space="preserve"> avec </w:t>
      </w:r>
      <w:r>
        <w:rPr>
          <w:rFonts w:ascii="Consolas" w:hAnsi="Consolas"/>
        </w:rPr>
        <w:t>llama3.1:8b</w:t>
      </w:r>
      <w:r>
        <w:t xml:space="preserve"> (Ollama, local) — jugé inacceptable par un beta-testeur (perturbation J2). Le sponsor exige </w:t>
      </w:r>
      <w:r>
        <w:rPr>
          <w:b/>
        </w:rPr>
        <w:t>≤ 15 s</w:t>
      </w:r>
      <w:r>
        <w:t xml:space="preserve"> d'ici ce soir. Contrainte produit non négociable : </w:t>
      </w:r>
      <w:r>
        <w:rPr>
          <w:b/>
        </w:rPr>
        <w:t>souveraineté des données (RGPD), 100 % local par défaut</w:t>
      </w:r>
      <w:r>
        <w:t xml:space="preserve">. Il faut donc accélérer </w:t>
      </w:r>
      <w:r>
        <w:rPr>
          <w:b/>
        </w:rPr>
        <w:t>sans</w:t>
      </w:r>
      <w:r>
        <w:t xml:space="preserve"> envoyer les cours des utilisateurs hors UE.</w:t>
      </w:r>
    </w:p>
    <w:p>
      <w:pPr>
        <w:pStyle w:val="Heading1"/>
      </w:pPr>
      <w:r>
        <w:t>2. Options envisagées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Latence médiane / p95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Validité (10 QCM)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RGPD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A. Statu quo</w:t>
            </w:r>
            <w:r>
              <w:t xml:space="preserve"> </w:t>
            </w:r>
            <w:r>
              <w:rPr>
                <w:rFonts w:ascii="Consolas" w:hAnsi="Consolas"/>
              </w:rPr>
              <w:t>llama3.1:8b</w:t>
            </w:r>
            <w:r>
              <w:t xml:space="preserve"> (local)</w:t>
            </w:r>
          </w:p>
        </w:tc>
        <w:tc>
          <w:tcPr>
            <w:tcW w:type="dxa" w:w="1728"/>
          </w:tcPr>
          <w:p>
            <w:r/>
            <w:r>
              <w:t xml:space="preserve">9,6 s / </w:t>
            </w:r>
            <w:r>
              <w:rPr>
                <w:b/>
              </w:rPr>
              <w:t>56,0 s</w:t>
            </w:r>
          </w:p>
        </w:tc>
        <w:tc>
          <w:tcPr>
            <w:tcW w:type="dxa" w:w="1728"/>
          </w:tcPr>
          <w:p>
            <w:r/>
            <w:r>
              <w:t>10/10 variable</w:t>
            </w:r>
          </w:p>
        </w:tc>
        <w:tc>
          <w:tcPr>
            <w:tcW w:type="dxa" w:w="1728"/>
          </w:tcPr>
          <w:p>
            <w:r/>
            <w:r>
              <w:t>✅ local</w:t>
            </w:r>
          </w:p>
        </w:tc>
        <w:tc>
          <w:tcPr>
            <w:tcW w:type="dxa" w:w="1728"/>
          </w:tcPr>
          <w:p>
            <w:r/>
            <w:r>
              <w:t>❌ p95 hors SLA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B1. Local léger</w:t>
            </w:r>
            <w:r>
              <w:t xml:space="preserve"> </w:t>
            </w:r>
            <w:r>
              <w:rPr>
                <w:rFonts w:ascii="Consolas" w:hAnsi="Consolas"/>
              </w:rPr>
              <w:t>phi3:mini</w:t>
            </w:r>
            <w:r>
              <w:t xml:space="preserve"> (Ollama)</w:t>
            </w:r>
          </w:p>
        </w:tc>
        <w:tc>
          <w:tcPr>
            <w:tcW w:type="dxa" w:w="1728"/>
          </w:tcPr>
          <w:p>
            <w:r/>
            <w:r>
              <w:t>7,8 s / 9,9 s</w:t>
            </w:r>
          </w:p>
        </w:tc>
        <w:tc>
          <w:tcPr>
            <w:tcW w:type="dxa" w:w="1728"/>
          </w:tcPr>
          <w:p>
            <w:r/>
            <w:r>
              <w:t>❌ instable (3-9 QCM)</w:t>
            </w:r>
          </w:p>
        </w:tc>
        <w:tc>
          <w:tcPr>
            <w:tcW w:type="dxa" w:w="1728"/>
          </w:tcPr>
          <w:p>
            <w:r/>
            <w:r>
              <w:t>✅ local</w:t>
            </w:r>
          </w:p>
        </w:tc>
        <w:tc>
          <w:tcPr>
            <w:tcW w:type="dxa" w:w="1728"/>
          </w:tcPr>
          <w:p>
            <w:r/>
            <w:r>
              <w:t>❌ qualité non fiable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B2. Local équilibré</w:t>
            </w:r>
            <w:r>
              <w:t xml:space="preserve"> </w:t>
            </w:r>
            <w:r>
              <w:rPr>
                <w:rFonts w:ascii="Consolas" w:hAnsi="Consolas"/>
              </w:rPr>
              <w:t>mistral:7b</w:t>
            </w:r>
            <w:r>
              <w:t xml:space="preserve"> (Ollama)</w:t>
            </w:r>
          </w:p>
        </w:tc>
        <w:tc>
          <w:tcPr>
            <w:tcW w:type="dxa" w:w="1728"/>
          </w:tcPr>
          <w:p>
            <w:r/>
            <w:r>
              <w:t xml:space="preserve">8,8 s / </w:t>
            </w:r>
            <w:r>
              <w:rPr>
                <w:b/>
              </w:rPr>
              <w:t>12,5 s</w:t>
            </w:r>
          </w:p>
        </w:tc>
        <w:tc>
          <w:tcPr>
            <w:tcW w:type="dxa" w:w="1728"/>
          </w:tcPr>
          <w:p>
            <w:r/>
            <w:r>
              <w:t>✅ 10/10</w:t>
            </w:r>
          </w:p>
        </w:tc>
        <w:tc>
          <w:tcPr>
            <w:tcW w:type="dxa" w:w="1728"/>
          </w:tcPr>
          <w:p>
            <w:r/>
            <w:r>
              <w:t>✅ local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retenu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C. Cloud UE</w:t>
            </w:r>
            <w:r>
              <w:t xml:space="preserve"> Mistral AI </w:t>
            </w:r>
            <w:r>
              <w:rPr>
                <w:rFonts w:ascii="Consolas" w:hAnsi="Consolas"/>
              </w:rPr>
              <w:t>mistral-small</w:t>
            </w:r>
          </w:p>
        </w:tc>
        <w:tc>
          <w:tcPr>
            <w:tcW w:type="dxa" w:w="1728"/>
          </w:tcPr>
          <w:p>
            <w:r/>
            <w:r>
              <w:t>non mesuré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🟡 UE</w:t>
            </w:r>
          </w:p>
        </w:tc>
        <w:tc>
          <w:tcPr>
            <w:tcW w:type="dxa" w:w="1728"/>
          </w:tcPr>
          <w:p>
            <w:r/>
            <w:r>
              <w:t>repli si local insuffisant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D. Cloud US</w:t>
            </w:r>
            <w:r>
              <w:t xml:space="preserve"> Groq </w:t>
            </w:r>
            <w:r>
              <w:rPr>
                <w:rFonts w:ascii="Consolas" w:hAnsi="Consolas"/>
              </w:rPr>
              <w:t>llama-3.3-70b</w:t>
            </w:r>
          </w:p>
        </w:tc>
        <w:tc>
          <w:tcPr>
            <w:tcW w:type="dxa" w:w="1728"/>
          </w:tcPr>
          <w:p>
            <w:r/>
            <w:r>
              <w:t>non mesuré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❌ hors UE</w:t>
            </w:r>
          </w:p>
        </w:tc>
        <w:tc>
          <w:tcPr>
            <w:tcW w:type="dxa" w:w="1728"/>
          </w:tcPr>
          <w:p>
            <w:r/>
            <w:r>
              <w:t>exclu (RGPD, US-W.3)</w:t>
            </w:r>
          </w:p>
        </w:tc>
      </w:tr>
    </w:tbl>
    <w:p/>
    <w:p>
      <w:pPr>
        <w:ind w:left="454"/>
      </w:pPr>
      <w:r>
        <w:t>Mesures : 5 runs/modèle, cours de référence, machine i5-11400F + RTX 5070. Détail : benchmark J2.</w:t>
      </w:r>
    </w:p>
    <w:p>
      <w:pPr>
        <w:pStyle w:val="Heading1"/>
      </w:pPr>
      <w:r>
        <w:t>3. Décision</w:t>
      </w:r>
    </w:p>
    <w:p>
      <w:pPr>
        <w:ind w:left="454"/>
      </w:pPr>
      <w:r>
        <w:rPr>
          <w:b/>
        </w:rPr>
        <w:t>Décision (actée sur la base du benchmark) :</w:t>
      </w:r>
    </w:p>
    <w:p>
      <w:pPr>
        <w:ind w:left="454"/>
      </w:pPr>
    </w:p>
    <w:p>
      <w:pPr>
        <w:ind w:left="454"/>
      </w:pPr>
      <w:r>
        <w:t xml:space="preserve">1. </w:t>
      </w:r>
      <w:r>
        <w:rPr>
          <w:b/>
        </w:rPr>
        <w:t>Adopter l'option B2 — `mistral:7b` en local (Ollama)</w:t>
      </w:r>
      <w:r>
        <w:t xml:space="preserve"> comme modèle par défaut : </w:t>
      </w:r>
      <w:r>
        <w:rPr>
          <w:b/>
        </w:rPr>
        <w:t>p95 12,5 s (&lt; 15 s)</w:t>
      </w:r>
      <w:r>
        <w:t xml:space="preserve"> et </w:t>
      </w:r>
      <w:r>
        <w:rPr>
          <w:b/>
        </w:rPr>
        <w:t>10 QCM valides</w:t>
      </w:r>
      <w:r>
        <w:t xml:space="preserve">, </w:t>
      </w:r>
      <w:r>
        <w:rPr>
          <w:b/>
        </w:rPr>
        <w:t>souveraineté préservée</w:t>
      </w:r>
      <w:r>
        <w:t xml:space="preserve">. Appliqué via </w:t>
      </w:r>
      <w:r>
        <w:rPr>
          <w:rFonts w:ascii="Consolas" w:hAnsi="Consolas"/>
        </w:rPr>
        <w:t>OLLAMA_MODEL=mistral:7b</w:t>
      </w:r>
      <w:r>
        <w:t xml:space="preserve"> (settings + </w:t>
      </w:r>
      <w:r>
        <w:rPr>
          <w:rFonts w:ascii="Consolas" w:hAnsi="Consolas"/>
        </w:rPr>
        <w:t>.env.example</w:t>
      </w:r>
      <w:r>
        <w:t>).</w:t>
      </w:r>
    </w:p>
    <w:p>
      <w:pPr>
        <w:ind w:left="454"/>
      </w:pPr>
      <w:r>
        <w:t xml:space="preserve">2. </w:t>
      </w:r>
      <w:r>
        <w:rPr>
          <w:b/>
        </w:rPr>
        <w:t>`phi3:mini` écarté</w:t>
      </w:r>
      <w:r>
        <w:t xml:space="preserve"> malgré sa rapidité (p95 9,9 s) : qualité/format </w:t>
      </w:r>
      <w:r>
        <w:rPr>
          <w:b/>
        </w:rPr>
        <w:t>non fiables</w:t>
      </w:r>
      <w:r>
        <w:t xml:space="preserve"> (3 à 9 questions).</w:t>
      </w:r>
    </w:p>
    <w:p>
      <w:pPr>
        <w:ind w:left="454"/>
      </w:pPr>
      <w:r>
        <w:t xml:space="preserve">3. </w:t>
      </w:r>
      <w:r>
        <w:rPr>
          <w:b/>
        </w:rPr>
        <w:t>`llama3.1:8b` écarté</w:t>
      </w:r>
      <w:r>
        <w:t xml:space="preserve"> : p95 56 s (cause de la latence ressentie).</w:t>
      </w:r>
    </w:p>
    <w:p>
      <w:pPr>
        <w:ind w:left="454"/>
      </w:pPr>
      <w:r>
        <w:t xml:space="preserve">4. </w:t>
      </w:r>
      <w:r>
        <w:rPr>
          <w:b/>
        </w:rPr>
        <w:t>Repli option C (Mistral cloud UE)</w:t>
      </w:r>
      <w:r>
        <w:t xml:space="preserve"> si un poste </w:t>
      </w:r>
      <w:r>
        <w:rPr>
          <w:b/>
        </w:rPr>
        <w:t>sans GPU</w:t>
      </w:r>
      <w:r>
        <w:t xml:space="preserve"> ne tient pas le SLA en local. </w:t>
      </w:r>
      <w:r>
        <w:rPr>
          <w:b/>
        </w:rPr>
        <w:t>Option D (Groq/US) exclue</w:t>
      </w:r>
      <w:r>
        <w:t xml:space="preserve"> (RGPD, US-W.3).</w:t>
      </w:r>
    </w:p>
    <w:p>
      <w:pPr>
        <w:ind w:left="454"/>
      </w:pPr>
      <w:r>
        <w:t xml:space="preserve">5. </w:t>
      </w:r>
      <w:r>
        <w:rPr>
          <w:b/>
        </w:rPr>
        <w:t>Durcir le prompt/parser</w:t>
      </w:r>
      <w:r>
        <w:t xml:space="preserve"> (retry + tolérance) : tous les modèles ont parfois dévié du format → action </w:t>
      </w:r>
      <w:r>
        <w:rPr>
          <w:b/>
        </w:rPr>
        <w:t>US-F3.1</w:t>
      </w:r>
      <w:r>
        <w:t>.</w:t>
      </w:r>
    </w:p>
    <w:p>
      <w:pPr>
        <w:pStyle w:val="Heading1"/>
      </w:pPr>
      <w:r>
        <w:t>4. Justification *(au-delà de « le plus rapide » — CA-J2-4)*</w:t>
      </w:r>
    </w:p>
    <w:p>
      <w:pPr>
        <w:pStyle w:val="ListBullet"/>
      </w:pPr>
      <w:r>
        <w:rPr>
          <w:b/>
        </w:rPr>
        <w:t>Souveraineté d'abord</w:t>
      </w:r>
      <w:r>
        <w:t xml:space="preserve"> : notre différenciateur produit et notre engagement RGPD imposent le local tant qu'il est viable ; on ne sacrifie pas la conformité pour quelques secondes.</w:t>
      </w:r>
    </w:p>
    <w:p>
      <w:pPr>
        <w:pStyle w:val="ListBullet"/>
      </w:pPr>
      <w:r>
        <w:rPr>
          <w:b/>
        </w:rPr>
        <w:t>Réversibilité</w:t>
      </w:r>
      <w:r>
        <w:t xml:space="preserve"> : </w:t>
      </w:r>
      <w:r>
        <w:rPr>
          <w:rFonts w:ascii="Consolas" w:hAnsi="Consolas"/>
        </w:rPr>
        <w:t>backend/llm/providers.py</w:t>
      </w:r>
      <w:r>
        <w:t xml:space="preserve"> permet de changer de fournisseur par </w:t>
      </w:r>
      <w:r>
        <w:rPr>
          <w:b/>
        </w:rPr>
        <w:t>configuration</w:t>
      </w:r>
      <w:r>
        <w:t xml:space="preserve"> (feature-flag), sans réécriture — décision peu risquée et réversible.</w:t>
      </w:r>
    </w:p>
    <w:p>
      <w:pPr>
        <w:pStyle w:val="ListBullet"/>
      </w:pPr>
      <w:r>
        <w:rPr>
          <w:b/>
        </w:rPr>
        <w:t>Qualité maîtrisée</w:t>
      </w:r>
      <w:r>
        <w:t xml:space="preserve"> : le seuil ≥ 4/5 (3 testeurs) garantit qu'on n'échange pas la latence contre des QCM médiocres.</w:t>
      </w:r>
    </w:p>
    <w:p>
      <w:pPr>
        <w:pStyle w:val="ListBullet"/>
      </w:pPr>
      <w:r>
        <w:rPr>
          <w:b/>
        </w:rPr>
        <w:t>Coût</w:t>
      </w:r>
      <w:r>
        <w:t xml:space="preserve"> : option B = coût nul (modèle local déjà disponible) ; option C = coût maîtrisé (free tier Mistral).</w:t>
      </w:r>
    </w:p>
    <w:p>
      <w:pPr>
        <w:pStyle w:val="Heading1"/>
      </w:pPr>
      <w:r>
        <w:t>5. Conséquences</w:t>
      </w:r>
    </w:p>
    <w:p>
      <w:r>
        <w:rPr>
          <w:b/>
        </w:rPr>
        <w:t>Positives (+)</w:t>
      </w:r>
    </w:p>
    <w:p>
      <w:pPr>
        <w:pStyle w:val="ListBullet"/>
      </w:pPr>
      <w:r>
        <w:t>Latence ramenée à ≤ 15 s, SLA beta-testeur respecté.</w:t>
      </w:r>
    </w:p>
    <w:p>
      <w:pPr>
        <w:pStyle w:val="ListBullet"/>
      </w:pPr>
      <w:r>
        <w:t>RGPD/souveraineté préservés (option B) ; repli UE documenté (option C).</w:t>
      </w:r>
    </w:p>
    <w:p>
      <w:pPr>
        <w:pStyle w:val="ListBullet"/>
      </w:pPr>
      <w:r>
        <w:t>Choix tracé et réversible (config).</w:t>
      </w:r>
    </w:p>
    <w:p>
      <w:r>
        <w:rPr>
          <w:b/>
        </w:rPr>
        <w:t>À surveiller (−)</w:t>
      </w:r>
    </w:p>
    <w:p>
      <w:pPr>
        <w:pStyle w:val="ListBullet"/>
      </w:pPr>
      <w:r>
        <w:rPr>
          <w:b/>
        </w:rPr>
        <w:t>Robustesse du format</w:t>
      </w:r>
      <w:r>
        <w:t xml:space="preserve"> : tous les modèles ont parfois renvoyé un nombre de questions ≠ 10 → durcir le prompt/parser avec retry (</w:t>
      </w:r>
      <w:r>
        <w:rPr>
          <w:b/>
        </w:rPr>
        <w:t>US-F3.1</w:t>
      </w:r>
      <w:r>
        <w:t>).</w:t>
      </w:r>
    </w:p>
    <w:p>
      <w:pPr>
        <w:pStyle w:val="ListBullet"/>
      </w:pPr>
      <w:r>
        <w:rPr>
          <w:b/>
        </w:rPr>
        <w:t>Dépendance GPU</w:t>
      </w:r>
      <w:r>
        <w:t xml:space="preserve"> : les mesures sont sur une machine avec RTX 5070 ; sur un poste </w:t>
      </w:r>
      <w:r>
        <w:rPr>
          <w:b/>
        </w:rPr>
        <w:t>CPU-only</w:t>
      </w:r>
      <w:r>
        <w:t>, les latences seront plus élevées → réévaluer (repli option C possible).</w:t>
      </w:r>
    </w:p>
    <w:p>
      <w:pPr>
        <w:pStyle w:val="ListBullet"/>
      </w:pPr>
      <w:r>
        <w:t xml:space="preserve">Surveiller la qualité /5 et le taux d'hallucination de </w:t>
      </w:r>
      <w:r>
        <w:rPr>
          <w:rFonts w:ascii="Consolas" w:hAnsi="Consolas"/>
        </w:rPr>
        <w:t>mistral:7b</w:t>
      </w:r>
      <w:r>
        <w:t xml:space="preserve"> (US-F3.5, RAG).</w:t>
      </w:r>
    </w:p>
    <w:p>
      <w:pPr>
        <w:pStyle w:val="ListBullet"/>
      </w:pPr>
      <w:r>
        <w:t>Si repli option C : dépendance à un tiers UE → mentionner dans les pages RGPD (US-G.1).</w:t>
      </w:r>
    </w:p>
    <w:p>
      <w:r>
        <w:rPr>
          <w:i/>
        </w:rPr>
        <w:t xml:space="preserve">ADR-0001 — équipe 6 · format Architecture Decision Record (1 page) · statut </w:t>
      </w:r>
      <w:r>
        <w:rPr>
          <w:i/>
        </w:rPr>
        <w:t>Accepté</w:t>
      </w:r>
      <w:r>
        <w:rPr>
          <w:i/>
        </w:rPr>
        <w:t xml:space="preserve"> le 30/06/2026 après benchmark (cible ≤ 15 s vérifiée avec `mistral:7b`).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