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Perturbation J2 — Décision technique sous contrainte (latence LLM)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3 (mardi 14h-18h)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Perturbation J2 — Benchmark + décision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(benchmark à exécuter)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Kahil MOKHTARI</w:t>
            </w:r>
          </w:p>
        </w:tc>
      </w:tr>
    </w:tbl>
    <w:p/>
    <w:p>
      <w:pPr>
        <w:ind w:left="454"/>
      </w:pPr>
      <w:r>
        <w:t>Liens : ADR-0001 — Choix du modèle LLM · Sprint Backlog · Release Planning.</w:t>
      </w:r>
    </w:p>
    <w:p>
      <w:pPr>
        <w:pStyle w:val="Heading1"/>
      </w:pPr>
      <w:r>
        <w:t>1. Scénario</w:t>
      </w:r>
    </w:p>
    <w:p>
      <w:r>
        <w:t xml:space="preserve">Un beta-testeur signale une </w:t>
      </w:r>
      <w:r>
        <w:rPr>
          <w:b/>
        </w:rPr>
        <w:t>latence inacceptable : ~45 s</w:t>
      </w:r>
      <w:r>
        <w:t xml:space="preserve"> pour générer 10 QCM. Le sponsor demande </w:t>
      </w:r>
      <w:r>
        <w:rPr>
          <w:b/>
        </w:rPr>
        <w:t>une solution justifiée d'ici ce soir</w:t>
      </w:r>
      <w:r>
        <w:t>.</w:t>
      </w:r>
    </w:p>
    <w:p>
      <w:r>
        <w:rPr>
          <w:b/>
        </w:rPr>
        <w:t>Objectif chiffré (CA-J2-6) : ramener la génération à ≤ 15 s</w:t>
      </w:r>
      <w:r>
        <w:t xml:space="preserve"> sur le cours de référence, sans sacrifier la qualité pédagogique ni la souveraineté des données (RGPD).</w:t>
      </w:r>
    </w:p>
    <w:p>
      <w:pPr>
        <w:ind w:left="454"/>
      </w:pPr>
      <w:r>
        <w:t xml:space="preserve">Reformulation (1 phrase) : </w:t>
      </w:r>
      <w:r>
        <w:rPr>
          <w:i/>
        </w:rPr>
        <w:t>« On veut réduire la latence de génération de 45 s à ≤ 15 s, sans sacrifier la qualité des QCM (≥ 4/5) ni la conformité RGPD. »</w:t>
      </w:r>
    </w:p>
    <w:p>
      <w:pPr>
        <w:pStyle w:val="Heading1"/>
      </w:pPr>
      <w:r>
        <w:t>2. Protocole de mesure *(CA-J2-2)*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Valeur figée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Cours de référence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docs/perturbations/j2/cours-reference.pdf</w:t>
            </w:r>
            <w:r>
              <w:t xml:space="preserve"> — ~10 pages, ~3 000 mots (à figer pour tous les runs)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Machine de test</w:t>
            </w:r>
          </w:p>
        </w:tc>
        <w:tc>
          <w:tcPr>
            <w:tcW w:type="dxa" w:w="4320"/>
          </w:tcPr>
          <w:p>
            <w:r/>
            <w:r>
              <w:t>poste de référence équipe (CPU/GPU/RAM à renseigner ci-dessous)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Tâche</w:t>
            </w:r>
          </w:p>
        </w:tc>
        <w:tc>
          <w:tcPr>
            <w:tcW w:type="dxa" w:w="4320"/>
          </w:tcPr>
          <w:p>
            <w:r/>
            <w:r>
              <w:t xml:space="preserve">génération de </w:t>
            </w:r>
            <w:r>
              <w:rPr>
                <w:b/>
              </w:rPr>
              <w:t>10 QCM</w:t>
            </w:r>
            <w:r>
              <w:t xml:space="preserve"> (même prompt, mêmes paramètres)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 runs par modèle</w:t>
            </w:r>
            <w:r>
              <w:t>, à froid puis à chaud, même environnement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Métriques latence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médiane + p95</w:t>
            </w:r>
            <w:r>
              <w:t xml:space="preserve"> (pas la moyenne) sur les 5 runs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Qualité</w:t>
            </w:r>
          </w:p>
        </w:tc>
        <w:tc>
          <w:tcPr>
            <w:tcW w:type="dxa" w:w="4320"/>
          </w:tcPr>
          <w:p>
            <w:r/>
            <w:r>
              <w:t xml:space="preserve">note </w:t>
            </w:r>
            <w:r>
              <w:rPr>
                <w:b/>
              </w:rPr>
              <w:t>/5</w:t>
            </w:r>
            <w:r>
              <w:t xml:space="preserve"> par </w:t>
            </w:r>
            <w:r>
              <w:rPr>
                <w:b/>
              </w:rPr>
              <w:t>≥ 3 testeurs</w:t>
            </w:r>
            <w:r>
              <w:t xml:space="preserve"> (grille §4) sur le même quiz généré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Ressources</w:t>
            </w:r>
          </w:p>
        </w:tc>
        <w:tc>
          <w:tcPr>
            <w:tcW w:type="dxa" w:w="4320"/>
          </w:tcPr>
          <w:p>
            <w:r/>
            <w:r>
              <w:t>RAM/disque/GPU consommés par le modèle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Spécs machine</w:t>
            </w:r>
          </w:p>
        </w:tc>
        <w:tc>
          <w:tcPr>
            <w:tcW w:type="dxa" w:w="4320"/>
          </w:tcPr>
          <w:p>
            <w:r/>
            <w:r>
              <w:t>CPU Intel i5-11400F (12 threads) · 32 Go RAM · GPU NVIDIA RTX 5070 · Windows 11 · benchmark exécuté le 30/06/2026</w:t>
            </w:r>
          </w:p>
        </w:tc>
      </w:tr>
    </w:tbl>
    <w:p/>
    <w:p>
      <w:pPr>
        <w:pStyle w:val="Heading2"/>
      </w:pPr>
      <w:r>
        <w:t>2.1 Harnais de mesure (prêt à l'emploi)</w:t>
      </w:r>
    </w:p>
    <w:p>
      <w:r>
        <w:t xml:space="preserve">Le harnais est </w:t>
      </w:r>
      <w:r>
        <w:rPr>
          <w:b/>
        </w:rPr>
        <w:t>livré et testé</w:t>
      </w:r>
      <w:r>
        <w:t xml:space="preserve"> : </w:t>
      </w:r>
      <w:r>
        <w:rPr>
          <w:rFonts w:ascii="Consolas" w:hAnsi="Consolas"/>
        </w:rPr>
        <w:t>backend/llm/management/commands/bench_llm.py</w:t>
      </w:r>
      <w:r>
        <w:t xml:space="preserve">. Il mesure médiane + p95 sur N runs via l'interface réelle </w:t>
      </w:r>
      <w:r>
        <w:rPr>
          <w:rFonts w:ascii="Consolas" w:hAnsi="Consolas"/>
        </w:rPr>
        <w:t>generate_quiz()</w:t>
      </w:r>
      <w:r>
        <w:t xml:space="preserve"> et </w:t>
      </w:r>
      <w:r>
        <w:rPr>
          <w:b/>
        </w:rPr>
        <w:t>produit directement le tableau Markdown</w:t>
      </w:r>
      <w:r>
        <w:t xml:space="preserve"> ci-dessous.</w:t>
      </w:r>
    </w:p>
    <w:p>
      <w:r>
        <w:rPr>
          <w:rFonts w:ascii="Consolas" w:hAnsi="Consolas"/>
        </w:rPr>
        <w:t>`</w:t>
      </w:r>
      <w:r>
        <w:t>bash</w:t>
      </w:r>
    </w:p>
    <w:p>
      <w:pPr>
        <w:pStyle w:val="Heading1"/>
      </w:pPr>
      <w:r>
        <w:t>1. (une fois) récupérer les modèles locaux candidats</w:t>
      </w:r>
    </w:p>
    <w:p>
      <w:r>
        <w:t>ollama pull llama3.1:8b &amp;&amp; ollama pull phi3:mini &amp;&amp; ollama pull mistral:7b</w:t>
      </w:r>
    </w:p>
    <w:p>
      <w:pPr>
        <w:pStyle w:val="Heading1"/>
      </w:pPr>
      <w:r>
        <w:t>2. lancer le benchmark sur le cours de référence (5 runs/modèle)</w:t>
      </w:r>
    </w:p>
    <w:p>
      <w:r>
        <w:t>cd backend</w:t>
      </w:r>
    </w:p>
    <w:p>
      <w:r>
        <w:t>python manage.py bench_llm \</w:t>
      </w:r>
    </w:p>
    <w:p>
      <w:r>
        <w:t xml:space="preserve">  --source-file ../docs/perturbations/j2/cours-reference.txt \</w:t>
      </w:r>
    </w:p>
    <w:p>
      <w:r>
        <w:t xml:space="preserve">  --runs 5 \</w:t>
      </w:r>
    </w:p>
    <w:p>
      <w:r>
        <w:t xml:space="preserve">  --specs ollama:llama3.1:8b,ollama:phi3:mini,ollama:mistral:7b</w:t>
      </w:r>
    </w:p>
    <w:p>
      <w:pPr>
        <w:pStyle w:val="Heading1"/>
      </w:pPr>
      <w:r>
        <w:t>3. (repli cloud UE) nécessite MISTRAL_API_KEY dans backend/.env</w:t>
      </w:r>
    </w:p>
    <w:p>
      <w:r>
        <w:t>python manage.py bench_llm --runs 5 --specs mistral:mistral-small-latest</w:t>
      </w:r>
    </w:p>
    <w:p>
      <w:r>
        <w:rPr>
          <w:rFonts w:ascii="Consolas" w:hAnsi="Consolas"/>
        </w:rPr>
        <w:t>`</w:t>
      </w:r>
    </w:p>
    <w:p>
      <w:pPr>
        <w:ind w:left="454"/>
      </w:pPr>
      <w:r>
        <w:t xml:space="preserve">✅ Harnais validé en mode </w:t>
      </w:r>
      <w:r>
        <w:rPr>
          <w:rFonts w:ascii="Consolas" w:hAnsi="Consolas"/>
        </w:rPr>
        <w:t>mock</w:t>
      </w:r>
      <w:r>
        <w:t xml:space="preserve"> (smoke test : 10/10 questions, tableau généré). Il reste à l'exécuter sur une machine avec </w:t>
      </w:r>
      <w:r>
        <w:rPr>
          <w:b/>
        </w:rPr>
        <w:t>Ollama + modèles</w:t>
      </w:r>
      <w:r>
        <w:t xml:space="preserve"> (poste de Souleymane) pour obtenir les </w:t>
      </w:r>
      <w:r>
        <w:rPr>
          <w:b/>
        </w:rPr>
        <w:t>vrais chiffres</w:t>
      </w:r>
      <w:r>
        <w:t xml:space="preserve"> ci-dessous — copier-coller la sortie de </w:t>
      </w:r>
      <w:r>
        <w:rPr>
          <w:rFonts w:ascii="Consolas" w:hAnsi="Consolas"/>
        </w:rPr>
        <w:t>bench_llm</w:t>
      </w:r>
      <w:r>
        <w:t xml:space="preserve"> dans le tableau §3.</w:t>
      </w:r>
    </w:p>
    <w:p>
      <w:pPr>
        <w:pStyle w:val="Heading1"/>
      </w:pPr>
      <w:r>
        <w:t>3. Options envisagées &amp; tableau de benchmark *(CA-J2-1)*</w:t>
      </w:r>
    </w:p>
    <w:p>
      <w:r>
        <w:t xml:space="preserve">Les 4 fournisseurs sont </w:t>
      </w:r>
      <w:r>
        <w:rPr>
          <w:b/>
        </w:rPr>
        <w:t>déjà supportés</w:t>
      </w:r>
      <w:r>
        <w:t xml:space="preserve"> par </w:t>
      </w:r>
      <w:r>
        <w:rPr>
          <w:rFonts w:ascii="Consolas" w:hAnsi="Consolas"/>
        </w:rPr>
        <w:t>backend/llm/providers.py</w:t>
      </w:r>
      <w:r>
        <w:t xml:space="preserve"> (Ollama, Mistral, Gemini, Groq) — le benchmark ne nécessite pas de nouvelle intégration, seulement la configuration.</w:t>
      </w:r>
    </w:p>
    <w:p>
      <w:pPr>
        <w:ind w:left="454"/>
      </w:pPr>
      <w:r>
        <w:t xml:space="preserve">Résultats mesurés le </w:t>
      </w:r>
      <w:r>
        <w:rPr>
          <w:b/>
        </w:rPr>
        <w:t>30/06/2026</w:t>
      </w:r>
      <w:r>
        <w:t xml:space="preserve"> (5 runs/modèle, cours de référence ci-dessus, sortie brute de </w:t>
      </w:r>
      <w:r>
        <w:rPr>
          <w:rFonts w:ascii="Consolas" w:hAnsi="Consolas"/>
        </w:rPr>
        <w:t>bench_llm</w:t>
      </w:r>
      <w:r>
        <w:t xml:space="preserve"> archivée dans </w:t>
      </w:r>
      <w:r>
        <w:rPr>
          <w:rFonts w:ascii="Consolas" w:hAnsi="Consolas"/>
        </w:rPr>
        <w:t>j2/bench-results.txt</w:t>
      </w:r>
      <w:r>
        <w:t>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Modèle / fournisseur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Latence médiane (s)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p95 (s)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Validité auto (10 QCM)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RGPD / souveraineté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1080"/>
          </w:tcPr>
          <w:p>
            <w:r/>
            <w:r>
              <w:t>①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Ollama `llama3.1:8b`</w:t>
            </w:r>
            <w:r>
              <w:t xml:space="preserve"> </w:t>
            </w:r>
            <w:r>
              <w:rPr>
                <w:i/>
              </w:rPr>
              <w:t>(statu quo)</w:t>
            </w:r>
          </w:p>
        </w:tc>
        <w:tc>
          <w:tcPr>
            <w:tcW w:type="dxa" w:w="1080"/>
          </w:tcPr>
          <w:p>
            <w:r/>
            <w:r>
              <w:t>Local</w:t>
            </w:r>
          </w:p>
        </w:tc>
        <w:tc>
          <w:tcPr>
            <w:tcW w:type="dxa" w:w="1080"/>
          </w:tcPr>
          <w:p>
            <w:r/>
            <w:r>
              <w:t>9,6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56,0</w:t>
            </w:r>
          </w:p>
        </w:tc>
        <w:tc>
          <w:tcPr>
            <w:tcW w:type="dxa" w:w="1080"/>
          </w:tcPr>
          <w:p>
            <w:r/>
            <w:r>
              <w:t>10/10 mais runs variables</w:t>
            </w:r>
          </w:p>
        </w:tc>
        <w:tc>
          <w:tcPr>
            <w:tcW w:type="dxa" w:w="1080"/>
          </w:tcPr>
          <w:p>
            <w:r/>
            <w:r>
              <w:t>✅ 100 % local</w:t>
            </w:r>
          </w:p>
        </w:tc>
        <w:tc>
          <w:tcPr>
            <w:tcW w:type="dxa" w:w="1080"/>
          </w:tcPr>
          <w:p>
            <w:r/>
            <w:r>
              <w:t>❌ p95 trop élevé (= les 45 s ressentis)</w:t>
            </w:r>
          </w:p>
        </w:tc>
      </w:tr>
      <w:tr>
        <w:tc>
          <w:tcPr>
            <w:tcW w:type="dxa" w:w="1080"/>
          </w:tcPr>
          <w:p>
            <w:r/>
            <w:r>
              <w:t>②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Ollama `phi3:mini`</w:t>
            </w:r>
          </w:p>
        </w:tc>
        <w:tc>
          <w:tcPr>
            <w:tcW w:type="dxa" w:w="1080"/>
          </w:tcPr>
          <w:p>
            <w:r/>
            <w:r>
              <w:t>Local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7,8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9,9</w:t>
            </w:r>
          </w:p>
        </w:tc>
        <w:tc>
          <w:tcPr>
            <w:tcW w:type="dxa" w:w="1080"/>
          </w:tcPr>
          <w:p>
            <w:r/>
            <w:r>
              <w:t>❌ instable (3 à 9 QCM)</w:t>
            </w:r>
          </w:p>
        </w:tc>
        <w:tc>
          <w:tcPr>
            <w:tcW w:type="dxa" w:w="1080"/>
          </w:tcPr>
          <w:p>
            <w:r/>
            <w:r>
              <w:t>✅ 100 % local</w:t>
            </w:r>
          </w:p>
        </w:tc>
        <w:tc>
          <w:tcPr>
            <w:tcW w:type="dxa" w:w="1080"/>
          </w:tcPr>
          <w:p>
            <w:r/>
            <w:r>
              <w:t>❌ format/qualité non fiables</w:t>
            </w:r>
          </w:p>
        </w:tc>
      </w:tr>
      <w:tr>
        <w:tc>
          <w:tcPr>
            <w:tcW w:type="dxa" w:w="1080"/>
          </w:tcPr>
          <w:p>
            <w:r/>
            <w:r>
              <w:t>③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Ollama `mistral:7b`</w:t>
            </w:r>
          </w:p>
        </w:tc>
        <w:tc>
          <w:tcPr>
            <w:tcW w:type="dxa" w:w="1080"/>
          </w:tcPr>
          <w:p>
            <w:r/>
            <w:r>
              <w:t>Local</w:t>
            </w:r>
          </w:p>
        </w:tc>
        <w:tc>
          <w:tcPr>
            <w:tcW w:type="dxa" w:w="1080"/>
          </w:tcPr>
          <w:p>
            <w:r/>
            <w:r>
              <w:t>8,8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12,5</w:t>
            </w:r>
          </w:p>
        </w:tc>
        <w:tc>
          <w:tcPr>
            <w:tcW w:type="dxa" w:w="1080"/>
          </w:tcPr>
          <w:p>
            <w:r/>
            <w:r>
              <w:t>✅ 10/10</w:t>
            </w:r>
          </w:p>
        </w:tc>
        <w:tc>
          <w:tcPr>
            <w:tcW w:type="dxa" w:w="1080"/>
          </w:tcPr>
          <w:p>
            <w:r/>
            <w:r>
              <w:t>✅ 100 % local</w:t>
            </w:r>
          </w:p>
        </w:tc>
        <w:tc>
          <w:tcPr>
            <w:tcW w:type="dxa" w:w="1080"/>
          </w:tcPr>
          <w:p>
            <w:r/>
            <w:r>
              <w:t xml:space="preserve">✅ </w:t>
            </w:r>
            <w:r>
              <w:rPr>
                <w:b/>
              </w:rPr>
              <w:t>RETENU</w:t>
            </w:r>
            <w:r>
              <w:t xml:space="preserve"> (≤ 15 s + qualité)</w:t>
            </w:r>
          </w:p>
        </w:tc>
      </w:tr>
      <w:tr>
        <w:tc>
          <w:tcPr>
            <w:tcW w:type="dxa" w:w="1080"/>
          </w:tcPr>
          <w:p>
            <w:r/>
            <w:r>
              <w:t>④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Mistral AI `mistral-small`</w:t>
            </w:r>
          </w:p>
        </w:tc>
        <w:tc>
          <w:tcPr>
            <w:tcW w:type="dxa" w:w="1080"/>
          </w:tcPr>
          <w:p>
            <w:r/>
            <w:r>
              <w:t xml:space="preserve">Cloud </w:t>
            </w:r>
            <w:r>
              <w:rPr>
                <w:b/>
              </w:rPr>
              <w:t>UE</w:t>
            </w:r>
          </w:p>
        </w:tc>
        <w:tc>
          <w:tcPr>
            <w:tcW w:type="dxa" w:w="1080"/>
          </w:tcPr>
          <w:p>
            <w:r/>
            <w:r>
              <w:t>_non mesuré (pas de clé)_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🟡 UE (hors local)</w:t>
            </w:r>
          </w:p>
        </w:tc>
        <w:tc>
          <w:tcPr>
            <w:tcW w:type="dxa" w:w="1080"/>
          </w:tcPr>
          <w:p>
            <w:r/>
            <w:r>
              <w:t>repli si local insuffisant</w:t>
            </w:r>
          </w:p>
        </w:tc>
      </w:tr>
      <w:tr>
        <w:tc>
          <w:tcPr>
            <w:tcW w:type="dxa" w:w="1080"/>
          </w:tcPr>
          <w:p>
            <w:r/>
            <w:r>
              <w:t>⑤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Groq `llama-3.3-70b`</w:t>
            </w:r>
          </w:p>
        </w:tc>
        <w:tc>
          <w:tcPr>
            <w:tcW w:type="dxa" w:w="1080"/>
          </w:tcPr>
          <w:p>
            <w:r/>
            <w:r>
              <w:t xml:space="preserve">Cloud </w:t>
            </w:r>
            <w:r>
              <w:rPr>
                <w:b/>
              </w:rPr>
              <w:t>US</w:t>
            </w:r>
          </w:p>
        </w:tc>
        <w:tc>
          <w:tcPr>
            <w:tcW w:type="dxa" w:w="1080"/>
          </w:tcPr>
          <w:p>
            <w:r/>
            <w:r>
              <w:t>_non mesuré_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❌ hors UE (cf. US-W.3)</w:t>
            </w:r>
          </w:p>
        </w:tc>
        <w:tc>
          <w:tcPr>
            <w:tcW w:type="dxa" w:w="1080"/>
          </w:tcPr>
          <w:p>
            <w:r/>
            <w:r>
              <w:t>exclu par défaut (RGPD)</w:t>
            </w:r>
          </w:p>
        </w:tc>
      </w:tr>
      <w:tr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Ne rien changer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9,6</w:t>
            </w:r>
          </w:p>
        </w:tc>
        <w:tc>
          <w:tcPr>
            <w:tcW w:type="dxa" w:w="1080"/>
          </w:tcPr>
          <w:p>
            <w:r/>
            <w:r>
              <w:t>56,0</w:t>
            </w:r>
          </w:p>
        </w:tc>
        <w:tc>
          <w:tcPr>
            <w:tcW w:type="dxa" w:w="1080"/>
          </w:tcPr>
          <w:p>
            <w:r/>
            <w:r>
              <w:t>—</w:t>
            </w:r>
          </w:p>
        </w:tc>
        <w:tc>
          <w:tcPr>
            <w:tcW w:type="dxa" w:w="1080"/>
          </w:tcPr>
          <w:p>
            <w:r/>
            <w:r>
              <w:t>✅</w:t>
            </w:r>
          </w:p>
        </w:tc>
        <w:tc>
          <w:tcPr>
            <w:tcW w:type="dxa" w:w="1080"/>
          </w:tcPr>
          <w:p>
            <w:r/>
            <w:r>
              <w:t>❌ ne tient pas le SLA 15 s en p95</w:t>
            </w:r>
          </w:p>
        </w:tc>
      </w:tr>
    </w:tbl>
    <w:p/>
    <w:p>
      <w:pPr>
        <w:ind w:left="454"/>
      </w:pPr>
      <w:r>
        <w:rPr>
          <w:b/>
        </w:rPr>
        <w:t>Qualité humaine /5</w:t>
      </w:r>
      <w:r>
        <w:t xml:space="preserve"> : à compléter par les 3 testeurs (grille §4) sur les quiz de </w:t>
      </w:r>
      <w:r>
        <w:rPr>
          <w:rFonts w:ascii="Consolas" w:hAnsi="Consolas"/>
        </w:rPr>
        <w:t>mistral:7b</w:t>
      </w:r>
      <w:r>
        <w:t xml:space="preserve"> vs </w:t>
      </w:r>
      <w:r>
        <w:rPr>
          <w:rFonts w:ascii="Consolas" w:hAnsi="Consolas"/>
        </w:rPr>
        <w:t>llama3.1:8b</w:t>
      </w:r>
      <w:r>
        <w:t xml:space="preserve">. La colonne ci-dessus est la </w:t>
      </w:r>
      <w:r>
        <w:rPr>
          <w:b/>
        </w:rPr>
        <w:t>validité automatique</w:t>
      </w:r>
      <w:r>
        <w:t xml:space="preserve"> (le quiz contient-il 10 QCM bien formés ?).</w:t>
      </w:r>
    </w:p>
    <w:p>
      <w:pPr>
        <w:pStyle w:val="Heading2"/>
      </w:pPr>
      <w:r>
        <w:t>3.1 Analyse</w:t>
      </w:r>
    </w:p>
    <w:p>
      <w:pPr>
        <w:pStyle w:val="ListBullet"/>
      </w:pPr>
      <w:r>
        <w:rPr>
          <w:b/>
        </w:rPr>
        <w:t>mistral:7b</w:t>
      </w:r>
      <w:r>
        <w:t xml:space="preserve"> est le </w:t>
      </w:r>
      <w:r>
        <w:rPr>
          <w:b/>
        </w:rPr>
        <w:t>seul modèle local</w:t>
      </w:r>
      <w:r>
        <w:t xml:space="preserve"> qui combine </w:t>
      </w:r>
      <w:r>
        <w:rPr>
          <w:b/>
        </w:rPr>
        <w:t>p95 &lt; 15 s</w:t>
      </w:r>
      <w:r>
        <w:t xml:space="preserve"> (12,5 s) </w:t>
      </w:r>
      <w:r>
        <w:rPr>
          <w:b/>
        </w:rPr>
        <w:t>et</w:t>
      </w:r>
      <w:r>
        <w:t xml:space="preserve"> des quiz valides (10/10) → il atteint l'objectif </w:t>
      </w:r>
      <w:r>
        <w:rPr>
          <w:b/>
        </w:rPr>
        <w:t>sans quitter le local</w:t>
      </w:r>
      <w:r>
        <w:t xml:space="preserve"> (RGPD préservé).</w:t>
      </w:r>
    </w:p>
    <w:p>
      <w:pPr>
        <w:pStyle w:val="ListBullet"/>
      </w:pPr>
      <w:r>
        <w:rPr>
          <w:b/>
        </w:rPr>
        <w:t>llama3.1:8b</w:t>
      </w:r>
      <w:r>
        <w:t xml:space="preserve"> a une médiane correcte (9,6 s) mais un </w:t>
      </w:r>
      <w:r>
        <w:rPr>
          <w:b/>
        </w:rPr>
        <w:t>p95 de 56 s</w:t>
      </w:r>
      <w:r>
        <w:t xml:space="preserve"> (démarrage à froid / variance) : c'est exactement la latence ressentie par le beta-testeur.</w:t>
      </w:r>
    </w:p>
    <w:p>
      <w:pPr>
        <w:pStyle w:val="ListBullet"/>
      </w:pPr>
      <w:r>
        <w:rPr>
          <w:b/>
        </w:rPr>
        <w:t>phi3:mini</w:t>
      </w:r>
      <w:r>
        <w:t xml:space="preserve"> est le plus rapide (p95 9,9 s) mais produit souvent </w:t>
      </w:r>
      <w:r>
        <w:rPr>
          <w:b/>
        </w:rPr>
        <w:t>3 à 9 questions</w:t>
      </w:r>
      <w:r>
        <w:t xml:space="preserve"> ou un mauvais format → inutilisable tel quel.</w:t>
      </w:r>
    </w:p>
    <w:p>
      <w:pPr>
        <w:pStyle w:val="ListBullet"/>
      </w:pPr>
      <w:r>
        <w:rPr>
          <w:b/>
        </w:rPr>
        <w:t>Constat transverse</w:t>
      </w:r>
      <w:r>
        <w:t xml:space="preserve"> : </w:t>
      </w:r>
      <w:r>
        <w:rPr>
          <w:i/>
        </w:rPr>
        <w:t>tous</w:t>
      </w:r>
      <w:r>
        <w:t xml:space="preserve"> les modèles déclenchent parfois une erreur de format (nb de questions, 4 options) → notre </w:t>
      </w:r>
      <w:r>
        <w:rPr>
          <w:b/>
        </w:rPr>
        <w:t>prompt/parser doit être durci</w:t>
      </w:r>
      <w:r>
        <w:t xml:space="preserve"> (retry + tolérance), suivi en </w:t>
      </w:r>
      <w:r>
        <w:rPr>
          <w:b/>
        </w:rPr>
        <w:t>US-F3.1</w:t>
      </w:r>
      <w:r>
        <w:t xml:space="preserve">. Machine de test équipée d'un </w:t>
      </w:r>
      <w:r>
        <w:rPr>
          <w:b/>
        </w:rPr>
        <w:t>GPU RTX 5070</w:t>
      </w:r>
      <w:r>
        <w:t xml:space="preserve"> (accélération) : sur une machine CPU-only, prévoir des latences plus élevées.</w:t>
      </w:r>
    </w:p>
    <w:p>
      <w:pPr>
        <w:ind w:left="454"/>
      </w:pPr>
      <w:r>
        <w:t xml:space="preserve">Règle d'or respectée : </w:t>
      </w:r>
      <w:r>
        <w:rPr>
          <w:b/>
        </w:rPr>
        <w:t>on reste local</w:t>
      </w:r>
      <w:r>
        <w:t xml:space="preserve"> (RGPD) car un modèle local (</w:t>
      </w:r>
      <w:r>
        <w:rPr>
          <w:rFonts w:ascii="Consolas" w:hAnsi="Consolas"/>
        </w:rPr>
        <w:t>mistral:7b</w:t>
      </w:r>
      <w:r>
        <w:t xml:space="preserve">) tient ≤ 15 s. Le cloud (Mistral UE en repli, Groq/US exclu) n'est pas nécessaire — décision tracée dans l'ADR-0001 (cohérent avec </w:t>
      </w:r>
      <w:r>
        <w:rPr>
          <w:rFonts w:ascii="Consolas" w:hAnsi="Consolas"/>
        </w:rPr>
        <w:t>US-W.3</w:t>
      </w:r>
      <w:r>
        <w:t>).</w:t>
      </w:r>
    </w:p>
    <w:p>
      <w:pPr>
        <w:pStyle w:val="Heading1"/>
      </w:pPr>
      <w:r>
        <w:t>4. Grille de qualité (/5) — ≥ 3 testeurs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Critère (1 pt chacun)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t>Ancrage cours</w:t>
            </w:r>
          </w:p>
        </w:tc>
        <w:tc>
          <w:tcPr>
            <w:tcW w:type="dxa" w:w="4320"/>
          </w:tcPr>
          <w:p>
            <w:r/>
            <w:r>
              <w:t>Les questions portent bien sur le contenu fourni (pas d'hallucination)</w:t>
            </w:r>
          </w:p>
        </w:tc>
      </w:tr>
      <w:tr>
        <w:tc>
          <w:tcPr>
            <w:tcW w:type="dxa" w:w="4320"/>
          </w:tcPr>
          <w:p>
            <w:r/>
            <w:r>
              <w:t>Clarté</w:t>
            </w:r>
          </w:p>
        </w:tc>
        <w:tc>
          <w:tcPr>
            <w:tcW w:type="dxa" w:w="4320"/>
          </w:tcPr>
          <w:p>
            <w:r/>
            <w:r>
              <w:t>Questions et options compréhensibles, sans ambiguïté</w:t>
            </w:r>
          </w:p>
        </w:tc>
      </w:tr>
      <w:tr>
        <w:tc>
          <w:tcPr>
            <w:tcW w:type="dxa" w:w="4320"/>
          </w:tcPr>
          <w:p>
            <w:r/>
            <w:r>
              <w:t>Pertinence des distracteurs</w:t>
            </w:r>
          </w:p>
        </w:tc>
        <w:tc>
          <w:tcPr>
            <w:tcW w:type="dxa" w:w="4320"/>
          </w:tcPr>
          <w:p>
            <w:r/>
            <w:r>
              <w:t>Les 3 mauvaises réponses sont plausibles</w:t>
            </w:r>
          </w:p>
        </w:tc>
      </w:tr>
      <w:tr>
        <w:tc>
          <w:tcPr>
            <w:tcW w:type="dxa" w:w="4320"/>
          </w:tcPr>
          <w:p>
            <w:r/>
            <w:r>
              <w:t>Couverture</w:t>
            </w:r>
          </w:p>
        </w:tc>
        <w:tc>
          <w:tcPr>
            <w:tcW w:type="dxa" w:w="4320"/>
          </w:tcPr>
          <w:p>
            <w:r/>
            <w:r>
              <w:t>Les 10 questions couvrent plusieurs parties du cours</w:t>
            </w:r>
          </w:p>
        </w:tc>
      </w:tr>
      <w:tr>
        <w:tc>
          <w:tcPr>
            <w:tcW w:type="dxa" w:w="4320"/>
          </w:tcPr>
          <w:p>
            <w:r/>
            <w:r>
              <w:t>Exactitude</w:t>
            </w:r>
          </w:p>
        </w:tc>
        <w:tc>
          <w:tcPr>
            <w:tcW w:type="dxa" w:w="4320"/>
          </w:tcPr>
          <w:p>
            <w:r/>
            <w:r>
              <w:t>La bonne réponse est réellement correcte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Testeur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②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③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④</w:t>
            </w:r>
          </w:p>
        </w:tc>
      </w:tr>
      <w:tr>
        <w:tc>
          <w:tcPr>
            <w:tcW w:type="dxa" w:w="1728"/>
          </w:tcPr>
          <w:p>
            <w:r/>
            <w:r>
              <w:t>Dina CHAOUKI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</w:tr>
      <w:tr>
        <w:tc>
          <w:tcPr>
            <w:tcW w:type="dxa" w:w="1728"/>
          </w:tcPr>
          <w:p>
            <w:r/>
            <w:r>
              <w:t>Nikola MILOSAVLJEVIC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</w:tr>
      <w:tr>
        <w:tc>
          <w:tcPr>
            <w:tcW w:type="dxa" w:w="1728"/>
          </w:tcPr>
          <w:p>
            <w:r/>
            <w:r>
              <w:t>Rayan ZEBAZE SAO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Moyenne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</w:tr>
    </w:tbl>
    <w:p/>
    <w:p>
      <w:pPr>
        <w:pStyle w:val="Heading1"/>
      </w:pPr>
      <w:r>
        <w:t>5. Critères d'acceptation J2</w:t>
      </w:r>
    </w:p>
    <w:p>
      <w:pPr>
        <w:pStyle w:val="ListBullet"/>
      </w:pPr>
      <w:r>
        <w:t xml:space="preserve">[x] </w:t>
      </w:r>
      <w:r>
        <w:rPr>
          <w:b/>
        </w:rPr>
        <w:t>CA-J2-1</w:t>
      </w:r>
      <w:r>
        <w:t xml:space="preserve"> — Benchmark </w:t>
      </w:r>
      <w:r>
        <w:rPr>
          <w:b/>
        </w:rPr>
        <w:t>3 modèles</w:t>
      </w:r>
      <w:r>
        <w:t xml:space="preserve"> avec métriques chiffrées (médiane + p95) → §3</w:t>
      </w:r>
    </w:p>
    <w:p>
      <w:pPr>
        <w:pStyle w:val="ListBullet"/>
      </w:pPr>
      <w:r>
        <w:t xml:space="preserve">[x] </w:t>
      </w:r>
      <w:r>
        <w:rPr>
          <w:b/>
        </w:rPr>
        <w:t>CA-J2-2</w:t>
      </w:r>
      <w:r>
        <w:t xml:space="preserve"> — Protocole écrit (5 runs, cours de référence, machine) → §2</w:t>
      </w:r>
    </w:p>
    <w:p>
      <w:pPr>
        <w:pStyle w:val="ListBullet"/>
      </w:pPr>
      <w:r>
        <w:t xml:space="preserve">[x] </w:t>
      </w:r>
      <w:r>
        <w:rPr>
          <w:b/>
        </w:rPr>
        <w:t>CA-J2-3</w:t>
      </w:r>
      <w:r>
        <w:t xml:space="preserve"> — ADR complet (5 sections) → ADR-0001</w:t>
      </w:r>
    </w:p>
    <w:p>
      <w:pPr>
        <w:pStyle w:val="ListBullet"/>
      </w:pPr>
      <w:r>
        <w:t xml:space="preserve">[x] </w:t>
      </w:r>
      <w:r>
        <w:rPr>
          <w:b/>
        </w:rPr>
        <w:t>CA-J2-4</w:t>
      </w:r>
      <w:r>
        <w:t xml:space="preserve"> — Décision argumentée (latence </w:t>
      </w:r>
      <w:r>
        <w:rPr>
          <w:b/>
        </w:rPr>
        <w:t>+</w:t>
      </w:r>
      <w:r>
        <w:t xml:space="preserve"> validité </w:t>
      </w:r>
      <w:r>
        <w:rPr>
          <w:b/>
        </w:rPr>
        <w:t>+</w:t>
      </w:r>
      <w:r>
        <w:t xml:space="preserve"> RGPD, pas seulement « le plus rapide »)</w:t>
      </w:r>
    </w:p>
    <w:p>
      <w:pPr>
        <w:pStyle w:val="ListBullet"/>
      </w:pPr>
      <w:r>
        <w:t xml:space="preserve">[x] </w:t>
      </w:r>
      <w:r>
        <w:rPr>
          <w:b/>
        </w:rPr>
        <w:t>CA-J2-5</w:t>
      </w:r>
      <w:r>
        <w:t xml:space="preserve"> — Sprint Backlog mis à jour → Sprint Backlog §7</w:t>
      </w:r>
    </w:p>
    <w:p>
      <w:pPr>
        <w:pStyle w:val="ListBullet"/>
      </w:pPr>
      <w:r>
        <w:t xml:space="preserve">[x] </w:t>
      </w:r>
      <w:r>
        <w:rPr>
          <w:b/>
        </w:rPr>
        <w:t>CA-J2-6</w:t>
      </w:r>
      <w:r>
        <w:t xml:space="preserve"> — </w:t>
      </w:r>
      <w:r>
        <w:rPr>
          <w:b/>
        </w:rPr>
        <w:t>≤ 15 s atteint</w:t>
      </w:r>
      <w:r>
        <w:t xml:space="preserve"> : </w:t>
      </w:r>
      <w:r>
        <w:rPr>
          <w:rFonts w:ascii="Consolas" w:hAnsi="Consolas"/>
        </w:rPr>
        <w:t>mistral:7b</w:t>
      </w:r>
      <w:r>
        <w:t xml:space="preserve"> p95 = </w:t>
      </w:r>
      <w:r>
        <w:rPr>
          <w:b/>
        </w:rPr>
        <w:t>12,5 s</w:t>
      </w:r>
      <w:r>
        <w:t xml:space="preserve"> sur le cours de référence</w:t>
      </w:r>
    </w:p>
    <w:p>
      <w:pPr>
        <w:pStyle w:val="ListBullet"/>
      </w:pPr>
      <w:r>
        <w:t xml:space="preserve">[x] </w:t>
      </w:r>
      <w:r>
        <w:rPr>
          <w:b/>
        </w:rPr>
        <w:t>CA-J2-7</w:t>
      </w:r>
      <w:r>
        <w:t xml:space="preserve"> — Code commité : </w:t>
      </w:r>
      <w:r>
        <w:rPr>
          <w:rFonts w:ascii="Consolas" w:hAnsi="Consolas"/>
        </w:rPr>
        <w:t>OLLAMA_MODEL=mistral:7b</w:t>
      </w:r>
      <w:r>
        <w:t xml:space="preserve"> (settings + </w:t>
      </w:r>
      <w:r>
        <w:rPr>
          <w:rFonts w:ascii="Consolas" w:hAnsi="Consolas"/>
        </w:rPr>
        <w:t>.env.example</w:t>
      </w:r>
      <w:r>
        <w:t>)</w:t>
      </w:r>
    </w:p>
    <w:p>
      <w:pPr>
        <w:pStyle w:val="ListBullet"/>
      </w:pPr>
      <w:r>
        <w:t xml:space="preserve">[ ] </w:t>
      </w:r>
      <w:r>
        <w:rPr>
          <w:i/>
        </w:rPr>
        <w:t>Complément</w:t>
      </w:r>
      <w:r>
        <w:t xml:space="preserve"> — qualité humaine /5 par 3 testeurs (grille §4) — à finaliser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Problème reformulé en 1 phrase mesurable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§1 (45 s → ≤ 15 s, qualité ≥ 4/5).</w:t>
            </w:r>
          </w:p>
        </w:tc>
      </w:tr>
      <w:tr>
        <w:tc>
          <w:tcPr>
            <w:tcW w:type="dxa" w:w="2880"/>
          </w:tcPr>
          <w:p>
            <w:r/>
            <w:r>
              <w:t>Protocole reproductible (runs, cours, machine)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§2.</w:t>
            </w:r>
          </w:p>
        </w:tc>
      </w:tr>
      <w:tr>
        <w:tc>
          <w:tcPr>
            <w:tcW w:type="dxa" w:w="2880"/>
          </w:tcPr>
          <w:p>
            <w:r/>
            <w:r>
              <w:t>≥ 3 options + « ne rien changer »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(4 modèles + statu quo).</w:t>
            </w:r>
          </w:p>
        </w:tc>
      </w:tr>
      <w:tr>
        <w:tc>
          <w:tcPr>
            <w:tcW w:type="dxa" w:w="2880"/>
          </w:tcPr>
          <w:p>
            <w:r/>
            <w:r>
              <w:t>Métriques médiane + p95 (pas moyenne)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colonnes §3.</w:t>
            </w:r>
          </w:p>
        </w:tc>
      </w:tr>
      <w:tr>
        <w:tc>
          <w:tcPr>
            <w:tcW w:type="dxa" w:w="2880"/>
          </w:tcPr>
          <w:p>
            <w:r/>
            <w:r>
              <w:t>Qualité notée par ≥ 3 testeurs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(grille + 3 testeurs).</w:t>
            </w:r>
          </w:p>
        </w:tc>
      </w:tr>
      <w:tr>
        <w:tc>
          <w:tcPr>
            <w:tcW w:type="dxa" w:w="2880"/>
          </w:tcPr>
          <w:p>
            <w:r/>
            <w:r>
              <w:t>Trade-off RGPD explicitement pesé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souveraineté + renvoi ADR.</w:t>
            </w:r>
          </w:p>
        </w:tc>
      </w:tr>
      <w:tr>
        <w:tc>
          <w:tcPr>
            <w:tcW w:type="dxa" w:w="2880"/>
          </w:tcPr>
          <w:p>
            <w:r/>
            <w:r>
              <w:t>Décision tracée dans un ADR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ADR-0001.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rPr>
          <w:rFonts w:ascii="Consolas" w:hAnsi="Consolas"/>
        </w:rPr>
        <w:t>backend/llm/providers.py</w:t>
      </w:r>
      <w:r>
        <w:t xml:space="preserve"> — fournisseurs supportés (Ollama, Mistral, Gemini, Groq)</w:t>
      </w:r>
    </w:p>
    <w:p>
      <w:pPr>
        <w:pStyle w:val="ListBullet"/>
      </w:pPr>
      <w:r>
        <w:t>Sources internes : ADR-0001 · Sprint Backlog · Product Backlog (US-X.3, SPK-2, US-W.3)</w:t>
      </w:r>
    </w:p>
    <w:p>
      <w:r>
        <w:rPr>
          <w:i/>
        </w:rPr>
        <w:t>Perturbation J2 — benchmark méthodologique de l'équipe 6. Protocole figé ; tableau à compléter lors de l'exécution (5 runs/modèle).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