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4F46E5"/>
          <w:sz w:val="68"/>
        </w:rPr>
        <w:t>EduTutor IA</w:t>
      </w:r>
    </w:p>
    <w:p>
      <w:pPr>
        <w:jc w:val="center"/>
      </w:pPr>
      <w:r>
        <w:rPr>
          <w:color w:val="334155"/>
          <w:sz w:val="32"/>
        </w:rPr>
        <w:t>Cadrage produit</w:t>
      </w:r>
    </w:p>
    <w:p/>
    <w:p>
      <w:pPr>
        <w:jc w:val="center"/>
      </w:pPr>
      <w:r>
        <w:rPr>
          <w:b/>
          <w:sz w:val="44"/>
        </w:rPr>
        <w:t>Perturbation J4 — Passage à l'échelle (RGAA · i18n · scalabilité)</w:t>
      </w:r>
    </w:p>
    <w:p/>
    <w:p/>
    <w:p>
      <w:pPr>
        <w:jc w:val="center"/>
      </w:pPr>
      <w:r>
        <w:rPr>
          <w:i/>
          <w:color w:val="334155"/>
        </w:rPr>
        <w:t>Livrable Jour 1 — APOCAL'IPSSI 2026</w:t>
      </w:r>
    </w:p>
    <w:p>
      <w:r>
        <w:br w:type="page"/>
      </w:r>
    </w:p>
    <w:p>
      <w:pPr>
        <w:pStyle w:val="Heading1"/>
      </w:pPr>
      <w:r>
        <w:t>🗂️ Identification du document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Équipe</w:t>
            </w:r>
          </w:p>
        </w:tc>
        <w:tc>
          <w:tcPr>
            <w:tcW w:type="dxa" w:w="4320"/>
          </w:tcPr>
          <w:p>
            <w:r/>
            <w:r>
              <w:t>n° 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Membres</w:t>
            </w:r>
          </w:p>
        </w:tc>
        <w:tc>
          <w:tcPr>
            <w:tcW w:type="dxa" w:w="4320"/>
          </w:tcPr>
          <w:p>
            <w:r/>
            <w:r>
              <w:t>Kahil MOKHTARI · Amine HADDANE · Souleymane FALL · Nikola MILOSAVLJEVIC · Dina CHAOUKI · Rayan ZEBAZE SAO · Hugo RAGUIN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Sprint concerné</w:t>
            </w:r>
          </w:p>
        </w:tc>
        <w:tc>
          <w:tcPr>
            <w:tcW w:type="dxa" w:w="4320"/>
          </w:tcPr>
          <w:p>
            <w:r/>
            <w:r>
              <w:t>Sprint 6 (jeudi 09h–13h) → Release 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Artefact</w:t>
            </w:r>
          </w:p>
        </w:tc>
        <w:tc>
          <w:tcPr>
            <w:tcW w:type="dxa" w:w="4320"/>
          </w:tcPr>
          <w:p>
            <w:r/>
            <w:r>
              <w:t>Perturbation J4 — Analyse de risques + actions préventives + pilotage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/>
            <w:r>
              <w:t>v1.0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/>
            <w:r>
              <w:t>02/07/2026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Statut</w:t>
            </w:r>
          </w:p>
        </w:tc>
        <w:tc>
          <w:tcPr>
            <w:tcW w:type="dxa" w:w="4320"/>
          </w:tcPr>
          <w:p>
            <w:r/>
            <w:r>
              <w:t>✅ Analyse produite (matrice ≥ 5 risques + actions préventives estimées)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Rédacteur</w:t>
            </w:r>
          </w:p>
        </w:tc>
        <w:tc>
          <w:tcPr>
            <w:tcW w:type="dxa" w:w="4320"/>
          </w:tcPr>
          <w:p>
            <w:r/>
            <w:r>
              <w:t>Hugo RAGUIN</w:t>
            </w:r>
          </w:p>
        </w:tc>
      </w:tr>
    </w:tbl>
    <w:p/>
    <w:p>
      <w:pPr>
        <w:ind w:left="454"/>
      </w:pPr>
      <w:r>
        <w:t>Liens : Burndown &amp; Burnup · Product Backlog · Release Planning.</w:t>
      </w:r>
    </w:p>
    <w:p>
      <w:pPr>
        <w:ind w:left="454"/>
      </w:pPr>
      <w:r>
        <w:t>Source : énoncé du cours — &lt;https://mohamedelafrit.com/teaching/APOCALIPSSI/pages/perturbations/j4-livraison.php&gt;</w:t>
      </w:r>
    </w:p>
    <w:p>
      <w:pPr>
        <w:pStyle w:val="Heading1"/>
      </w:pPr>
      <w:r>
        <w:t>1. Scénario</w:t>
      </w:r>
    </w:p>
    <w:p>
      <w:r>
        <w:t xml:space="preserve">EduTutor IA connaît un </w:t>
      </w:r>
      <w:r>
        <w:rPr>
          <w:b/>
        </w:rPr>
        <w:t>succès viral national</w:t>
      </w:r>
      <w:r>
        <w:t xml:space="preserve"> après un passage TV : les serveurs ont </w:t>
      </w:r>
      <w:r>
        <w:rPr>
          <w:b/>
        </w:rPr>
        <w:t>failli s'effondrer</w:t>
      </w:r>
      <w:r>
        <w:t xml:space="preserve">. L'État propose d'en faire la </w:t>
      </w:r>
      <w:r>
        <w:rPr>
          <w:b/>
        </w:rPr>
        <w:t>plateforme officielle des lycées</w:t>
      </w:r>
      <w:r>
        <w:t xml:space="preserve">, à une </w:t>
      </w:r>
      <w:r>
        <w:rPr>
          <w:b/>
        </w:rPr>
        <w:t>condition non négociable : la conformité RGAA (accessibilité)</w:t>
      </w:r>
      <w:r>
        <w:t xml:space="preserve">. En parallèle, une </w:t>
      </w:r>
      <w:r>
        <w:rPr>
          <w:b/>
        </w:rPr>
        <w:t>levée de fonds</w:t>
      </w:r>
      <w:r>
        <w:t xml:space="preserve"> finance l'</w:t>
      </w:r>
      <w:r>
        <w:rPr>
          <w:b/>
        </w:rPr>
        <w:t>internationalisation</w:t>
      </w:r>
      <w:r>
        <w:t xml:space="preserve"> et la </w:t>
      </w:r>
      <w:r>
        <w:rPr>
          <w:b/>
        </w:rPr>
        <w:t>migration vers une architecture scalable</w:t>
      </w:r>
      <w:r>
        <w:t xml:space="preserve">. Consigne du sponsor : </w:t>
      </w:r>
      <w:r>
        <w:rPr>
          <w:i/>
        </w:rPr>
        <w:t>« pas de code bricolé dans la panique, je veux un plan clair »</w:t>
      </w:r>
      <w:r>
        <w:t>.</w:t>
      </w:r>
    </w:p>
    <w:p>
      <w:r>
        <w:t>Trois axes structurants s'imposent donc au produit :</w:t>
      </w:r>
    </w:p>
    <w:p>
      <w:pPr>
        <w:pStyle w:val="ListNumber"/>
      </w:pPr>
      <w:r>
        <w:rPr>
          <w:b/>
        </w:rPr>
        <w:t>Accessibilité RGAA</w:t>
      </w:r>
      <w:r>
        <w:t xml:space="preserve"> — service public = utilisable par tous, y compris en situation de handicap.</w:t>
      </w:r>
    </w:p>
    <w:p>
      <w:pPr>
        <w:pStyle w:val="ListNumber"/>
      </w:pPr>
      <w:r>
        <w:rPr>
          <w:b/>
        </w:rPr>
        <w:t>Internationalisation (i18n)</w:t>
      </w:r>
      <w:r>
        <w:t xml:space="preserve"> — interface multilingue </w:t>
      </w:r>
      <w:r>
        <w:rPr>
          <w:b/>
        </w:rPr>
        <w:t>et</w:t>
      </w:r>
      <w:r>
        <w:t xml:space="preserve"> réponses IA multilingues.</w:t>
      </w:r>
    </w:p>
    <w:p>
      <w:pPr>
        <w:pStyle w:val="ListNumber"/>
      </w:pPr>
      <w:r>
        <w:rPr>
          <w:b/>
        </w:rPr>
        <w:t>Scalabilité</w:t>
      </w:r>
      <w:r>
        <w:t xml:space="preserve"> — encaisser des </w:t>
      </w:r>
      <w:r>
        <w:rPr>
          <w:b/>
        </w:rPr>
        <w:t>millions d'utilisateurs simultanés</w:t>
      </w:r>
      <w:r>
        <w:t>.</w:t>
      </w:r>
    </w:p>
    <w:p>
      <w:pPr>
        <w:ind w:left="454"/>
      </w:pPr>
      <w:r>
        <w:t xml:space="preserve">Reformulation (1 phrase) : </w:t>
      </w:r>
      <w:r>
        <w:rPr>
          <w:i/>
        </w:rPr>
        <w:t>« Transformer un MVP viral en plateforme publique nationale : conforme RGAA, multilingue et scalable — par un plan maîtrisé, pas dans l'urgence. »</w:t>
      </w:r>
    </w:p>
    <w:p>
      <w:pPr>
        <w:pStyle w:val="Heading1"/>
      </w:pPr>
      <w:r>
        <w:t>2. Impact sur les artefacts (les 3 axes) *(CA-J4-1)*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Artefact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Évolution J4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Vision board</w:t>
            </w:r>
          </w:p>
        </w:tc>
        <w:tc>
          <w:tcPr>
            <w:tcW w:type="dxa" w:w="4320"/>
          </w:tcPr>
          <w:p>
            <w:r/>
            <w:r>
              <w:t xml:space="preserve">La cible passe de « étudiants + enseignants FR » à </w:t>
            </w:r>
            <w:r>
              <w:rPr>
                <w:b/>
              </w:rPr>
              <w:t>service public national multilingue et accessible</w:t>
            </w:r>
            <w:r>
              <w:t xml:space="preserve"> ; proposition de valeur : « réviser pour </w:t>
            </w:r>
            <w:r>
              <w:rPr>
                <w:b/>
              </w:rPr>
              <w:t>tous</w:t>
            </w:r>
            <w:r>
              <w:t>, partout ».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Personas</w:t>
            </w:r>
          </w:p>
        </w:tc>
        <w:tc>
          <w:tcPr>
            <w:tcW w:type="dxa" w:w="4320"/>
          </w:tcPr>
          <w:p>
            <w:r/>
            <w:r>
              <w:t xml:space="preserve">Ajout d'un persona </w:t>
            </w:r>
            <w:r>
              <w:rPr>
                <w:b/>
              </w:rPr>
              <w:t>international / en situation de handicap</w:t>
            </w:r>
            <w:r>
              <w:t xml:space="preserve"> (voir §2.1).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Story map</w:t>
            </w:r>
          </w:p>
        </w:tc>
        <w:tc>
          <w:tcPr>
            <w:tcW w:type="dxa" w:w="4320"/>
          </w:tcPr>
          <w:p>
            <w:r/>
            <w:r>
              <w:t>Nouvelle colonne « Accessibilité &amp; International » ; backbone étendu (choix de langue, navigation clavier).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Product backlog</w:t>
            </w:r>
          </w:p>
        </w:tc>
        <w:tc>
          <w:tcPr>
            <w:tcW w:type="dxa" w:w="4320"/>
          </w:tcPr>
          <w:p>
            <w:r/>
            <w:r>
              <w:t xml:space="preserve">3 nouveaux épics </w:t>
            </w:r>
            <w:r>
              <w:rPr>
                <w:b/>
              </w:rPr>
              <w:t>E14 Scalabilité · E15 Accessibilité (RGAA) · E16 i18n</w:t>
            </w:r>
            <w:r>
              <w:t xml:space="preserve"> + US préventives (§4).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Release planning</w:t>
            </w:r>
          </w:p>
        </w:tc>
        <w:tc>
          <w:tcPr>
            <w:tcW w:type="dxa" w:w="4320"/>
          </w:tcPr>
          <w:p>
            <w:r/>
            <w:r>
              <w:t xml:space="preserve">Les 3 axes forment une </w:t>
            </w:r>
            <w:r>
              <w:rPr>
                <w:b/>
              </w:rPr>
              <w:t>Release 3 « Plateforme publique »</w:t>
            </w:r>
            <w:r>
              <w:t xml:space="preserve"> ; le MVP (R1) et R2 restent livrés.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Next sprint backlog</w:t>
            </w:r>
          </w:p>
        </w:tc>
        <w:tc>
          <w:tcPr>
            <w:tcW w:type="dxa" w:w="4320"/>
          </w:tcPr>
          <w:p>
            <w:r/>
            <w:r>
              <w:t>Amorce : audit RGAA + ADR migration scalable + i18n de l'interface.</w:t>
            </w:r>
          </w:p>
        </w:tc>
      </w:tr>
    </w:tbl>
    <w:p/>
    <w:p>
      <w:pPr>
        <w:pStyle w:val="Heading2"/>
      </w:pPr>
      <w:r>
        <w:t>2.1 Nouveau persona (extrait)</w:t>
      </w:r>
    </w:p>
    <w:p>
      <w:pPr>
        <w:ind w:left="454"/>
      </w:pPr>
      <w:r>
        <w:rPr>
          <w:b/>
        </w:rPr>
        <w:t>Amina, 17 ans, lycéenne malvoyante à Marseille (utilise un lecteur d'écran)</w:t>
      </w:r>
      <w:r>
        <w:t xml:space="preserve"> — </w:t>
      </w:r>
      <w:r>
        <w:rPr>
          <w:i/>
        </w:rPr>
        <w:t>« Je veux réviser comme les autres : que l'appli soit lisible au clavier et annoncée correctement par NVDA. »</w:t>
      </w:r>
      <w:r>
        <w:t xml:space="preserve"> Besoins : navigation </w:t>
      </w:r>
      <w:r>
        <w:rPr>
          <w:b/>
        </w:rPr>
        <w:t>100 % clavier</w:t>
      </w:r>
      <w:r>
        <w:t>, contrastes AA, libellés ARIA, pas de piège au focus.</w:t>
      </w:r>
    </w:p>
    <w:p>
      <w:pPr>
        <w:ind w:left="454"/>
      </w:pPr>
    </w:p>
    <w:p>
      <w:pPr>
        <w:ind w:left="454"/>
      </w:pPr>
      <w:r>
        <w:rPr>
          <w:b/>
        </w:rPr>
        <w:t>Variante internationale — Diego, 16 ans, lycéen à Madrid</w:t>
      </w:r>
      <w:r>
        <w:t xml:space="preserve"> — </w:t>
      </w:r>
      <w:r>
        <w:rPr>
          <w:i/>
        </w:rPr>
        <w:t>« Je veux l'interface et des quiz en espagnol. »</w:t>
      </w:r>
      <w:r>
        <w:t xml:space="preserve"> Besoins : </w:t>
      </w:r>
      <w:r>
        <w:rPr>
          <w:b/>
        </w:rPr>
        <w:t>i18n</w:t>
      </w:r>
      <w:r>
        <w:t xml:space="preserve"> de l'UI + </w:t>
      </w:r>
      <w:r>
        <w:rPr>
          <w:b/>
        </w:rPr>
        <w:t>réponses IA en espagnol</w:t>
      </w:r>
      <w:r>
        <w:t>.</w:t>
      </w:r>
    </w:p>
    <w:p>
      <w:pPr>
        <w:pStyle w:val="Heading1"/>
      </w:pPr>
      <w:r>
        <w:t>3. Analyse de risques — matrice probabilité × impact *(CA-J4-2)*</w:t>
      </w:r>
    </w:p>
    <w:p>
      <w:r>
        <w:t xml:space="preserve">Échelle : Probabilité </w:t>
      </w:r>
      <w:r>
        <w:rPr>
          <w:b/>
        </w:rPr>
        <w:t>P</w:t>
      </w:r>
      <w:r>
        <w:t xml:space="preserve"> (1 faible → 3 élevée) · Impact </w:t>
      </w:r>
      <w:r>
        <w:rPr>
          <w:b/>
        </w:rPr>
        <w:t>I</w:t>
      </w:r>
      <w:r>
        <w:t xml:space="preserve"> (1 mineur → 3 critique) · </w:t>
      </w:r>
      <w:r>
        <w:rPr>
          <w:b/>
        </w:rPr>
        <w:t>Score = P × I</w:t>
      </w:r>
      <w:r>
        <w:t xml:space="preserve"> (priorité si ≥ 6).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Risque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Axe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P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I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Score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Action préventive (→ backlog)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R1</w:t>
            </w:r>
          </w:p>
        </w:tc>
        <w:tc>
          <w:tcPr>
            <w:tcW w:type="dxa" w:w="1234"/>
          </w:tcPr>
          <w:p>
            <w:r/>
            <w:r>
              <w:t>Effondrement sous la charge (millions d'users simultanés)</w:t>
            </w:r>
          </w:p>
        </w:tc>
        <w:tc>
          <w:tcPr>
            <w:tcW w:type="dxa" w:w="1234"/>
          </w:tcPr>
          <w:p>
            <w:r/>
            <w:r>
              <w:t>Scalabilité</w:t>
            </w:r>
          </w:p>
        </w:tc>
        <w:tc>
          <w:tcPr>
            <w:tcW w:type="dxa" w:w="1234"/>
          </w:tcPr>
          <w:p>
            <w:r/>
            <w:r>
              <w:t>3</w:t>
            </w:r>
          </w:p>
        </w:tc>
        <w:tc>
          <w:tcPr>
            <w:tcW w:type="dxa" w:w="1234"/>
          </w:tcPr>
          <w:p>
            <w:r/>
            <w:r>
              <w:t>3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9 🔴</w:t>
            </w:r>
          </w:p>
        </w:tc>
        <w:tc>
          <w:tcPr>
            <w:tcW w:type="dxa" w:w="1234"/>
          </w:tcPr>
          <w:p>
            <w:r/>
            <w:r>
              <w:t xml:space="preserve">File de génération </w:t>
            </w:r>
            <w:r>
              <w:rPr>
                <w:b/>
              </w:rPr>
              <w:t>asynchrone</w:t>
            </w:r>
            <w:r>
              <w:t xml:space="preserve"> + workers + autoscaling → </w:t>
            </w:r>
            <w:r>
              <w:rPr>
                <w:b/>
              </w:rPr>
              <w:t>US-SC.1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R2</w:t>
            </w:r>
          </w:p>
        </w:tc>
        <w:tc>
          <w:tcPr>
            <w:tcW w:type="dxa" w:w="1234"/>
          </w:tcPr>
          <w:p>
            <w:r/>
            <w:r>
              <w:t xml:space="preserve">Le LLM </w:t>
            </w:r>
            <w:r>
              <w:rPr>
                <w:b/>
              </w:rPr>
              <w:t>local</w:t>
            </w:r>
            <w:r>
              <w:t xml:space="preserve"> (Ollama) ne tient pas la charge nationale</w:t>
            </w:r>
          </w:p>
        </w:tc>
        <w:tc>
          <w:tcPr>
            <w:tcW w:type="dxa" w:w="1234"/>
          </w:tcPr>
          <w:p>
            <w:r/>
            <w:r>
              <w:t>Scalabilité</w:t>
            </w:r>
          </w:p>
        </w:tc>
        <w:tc>
          <w:tcPr>
            <w:tcW w:type="dxa" w:w="1234"/>
          </w:tcPr>
          <w:p>
            <w:r/>
            <w:r>
              <w:t>3</w:t>
            </w:r>
          </w:p>
        </w:tc>
        <w:tc>
          <w:tcPr>
            <w:tcW w:type="dxa" w:w="1234"/>
          </w:tcPr>
          <w:p>
            <w:r/>
            <w:r>
              <w:t>3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9 🔴</w:t>
            </w:r>
          </w:p>
        </w:tc>
        <w:tc>
          <w:tcPr>
            <w:tcW w:type="dxa" w:w="1234"/>
          </w:tcPr>
          <w:p>
            <w:r/>
            <w:r>
              <w:t xml:space="preserve">Pool GPU + </w:t>
            </w:r>
            <w:r>
              <w:rPr>
                <w:b/>
              </w:rPr>
              <w:t>repli modèle managé UE</w:t>
            </w:r>
            <w:r>
              <w:t xml:space="preserve"> en débordement (feature-flag) → </w:t>
            </w:r>
            <w:r>
              <w:rPr>
                <w:b/>
              </w:rPr>
              <w:t>US-SC.2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R3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Non-conformité RGAA</w:t>
            </w:r>
            <w:r>
              <w:t xml:space="preserve"> → blocage du marché public (condition non négociable)</w:t>
            </w:r>
          </w:p>
        </w:tc>
        <w:tc>
          <w:tcPr>
            <w:tcW w:type="dxa" w:w="1234"/>
          </w:tcPr>
          <w:p>
            <w:r/>
            <w:r>
              <w:t>Accessibilité</w:t>
            </w:r>
          </w:p>
        </w:tc>
        <w:tc>
          <w:tcPr>
            <w:tcW w:type="dxa" w:w="1234"/>
          </w:tcPr>
          <w:p>
            <w:r/>
            <w:r>
              <w:t>2</w:t>
            </w:r>
          </w:p>
        </w:tc>
        <w:tc>
          <w:tcPr>
            <w:tcW w:type="dxa" w:w="1234"/>
          </w:tcPr>
          <w:p>
            <w:r/>
            <w:r>
              <w:t>3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6 🟠</w:t>
            </w:r>
          </w:p>
        </w:tc>
        <w:tc>
          <w:tcPr>
            <w:tcW w:type="dxa" w:w="1234"/>
          </w:tcPr>
          <w:p>
            <w:r/>
            <w:r>
              <w:t xml:space="preserve">Audit RGAA + corrections prioritaires (contraste, clavier, ARIA) → </w:t>
            </w:r>
            <w:r>
              <w:rPr>
                <w:b/>
              </w:rPr>
              <w:t>US-A11Y.1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R4</w:t>
            </w:r>
          </w:p>
        </w:tc>
        <w:tc>
          <w:tcPr>
            <w:tcW w:type="dxa" w:w="1234"/>
          </w:tcPr>
          <w:p>
            <w:r/>
            <w:r>
              <w:t xml:space="preserve">Réponses IA multilingues de </w:t>
            </w:r>
            <w:r>
              <w:rPr>
                <w:b/>
              </w:rPr>
              <w:t>qualité inégale</w:t>
            </w:r>
          </w:p>
        </w:tc>
        <w:tc>
          <w:tcPr>
            <w:tcW w:type="dxa" w:w="1234"/>
          </w:tcPr>
          <w:p>
            <w:r/>
            <w:r>
              <w:t>i18n</w:t>
            </w:r>
          </w:p>
        </w:tc>
        <w:tc>
          <w:tcPr>
            <w:tcW w:type="dxa" w:w="1234"/>
          </w:tcPr>
          <w:p>
            <w:r/>
            <w:r>
              <w:t>2</w:t>
            </w:r>
          </w:p>
        </w:tc>
        <w:tc>
          <w:tcPr>
            <w:tcW w:type="dxa" w:w="1234"/>
          </w:tcPr>
          <w:p>
            <w:r/>
            <w:r>
              <w:t>2</w:t>
            </w:r>
          </w:p>
        </w:tc>
        <w:tc>
          <w:tcPr>
            <w:tcW w:type="dxa" w:w="1234"/>
          </w:tcPr>
          <w:p>
            <w:r/>
            <w:r>
              <w:t>4 🟡</w:t>
            </w:r>
          </w:p>
        </w:tc>
        <w:tc>
          <w:tcPr>
            <w:tcW w:type="dxa" w:w="1234"/>
          </w:tcPr>
          <w:p>
            <w:r/>
            <w:r>
              <w:t xml:space="preserve">Détection de langue + </w:t>
            </w:r>
            <w:r>
              <w:rPr>
                <w:b/>
              </w:rPr>
              <w:t>prompts localisés</w:t>
            </w:r>
            <w:r>
              <w:t xml:space="preserve"> + tests par langue → </w:t>
            </w:r>
            <w:r>
              <w:rPr>
                <w:b/>
              </w:rPr>
              <w:t>US-I18N.2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R5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RGPD à l'international</w:t>
            </w:r>
            <w:r>
              <w:t xml:space="preserve"> : transferts / hébergement hors UE</w:t>
            </w:r>
          </w:p>
        </w:tc>
        <w:tc>
          <w:tcPr>
            <w:tcW w:type="dxa" w:w="1234"/>
          </w:tcPr>
          <w:p>
            <w:r/>
            <w:r>
              <w:t>Conformité</w:t>
            </w:r>
          </w:p>
        </w:tc>
        <w:tc>
          <w:tcPr>
            <w:tcW w:type="dxa" w:w="1234"/>
          </w:tcPr>
          <w:p>
            <w:r/>
            <w:r>
              <w:t>2</w:t>
            </w:r>
          </w:p>
        </w:tc>
        <w:tc>
          <w:tcPr>
            <w:tcW w:type="dxa" w:w="1234"/>
          </w:tcPr>
          <w:p>
            <w:r/>
            <w:r>
              <w:t>3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6 🟠</w:t>
            </w:r>
          </w:p>
        </w:tc>
        <w:tc>
          <w:tcPr>
            <w:tcW w:type="dxa" w:w="1234"/>
          </w:tcPr>
          <w:p>
            <w:r/>
            <w:r>
              <w:t xml:space="preserve">Hébergement </w:t>
            </w:r>
            <w:r>
              <w:rPr>
                <w:b/>
              </w:rPr>
              <w:t>UE</w:t>
            </w:r>
            <w:r>
              <w:t xml:space="preserve"> + DPA + registre → </w:t>
            </w:r>
            <w:r>
              <w:rPr>
                <w:b/>
              </w:rPr>
              <w:t>US-RGPD-INT.1</w:t>
            </w:r>
            <w:r>
              <w:t xml:space="preserve"> (cf. rétention)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R6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Dette technique</w:t>
            </w:r>
            <w:r>
              <w:t xml:space="preserve"> (« code bricolé dans la panique »)</w:t>
            </w:r>
          </w:p>
        </w:tc>
        <w:tc>
          <w:tcPr>
            <w:tcW w:type="dxa" w:w="1234"/>
          </w:tcPr>
          <w:p>
            <w:r/>
            <w:r>
              <w:t>Transverse</w:t>
            </w:r>
          </w:p>
        </w:tc>
        <w:tc>
          <w:tcPr>
            <w:tcW w:type="dxa" w:w="1234"/>
          </w:tcPr>
          <w:p>
            <w:r/>
            <w:r>
              <w:t>2</w:t>
            </w:r>
          </w:p>
        </w:tc>
        <w:tc>
          <w:tcPr>
            <w:tcW w:type="dxa" w:w="1234"/>
          </w:tcPr>
          <w:p>
            <w:r/>
            <w:r>
              <w:t>2</w:t>
            </w:r>
          </w:p>
        </w:tc>
        <w:tc>
          <w:tcPr>
            <w:tcW w:type="dxa" w:w="1234"/>
          </w:tcPr>
          <w:p>
            <w:r/>
            <w:r>
              <w:t>4 🟡</w:t>
            </w:r>
          </w:p>
        </w:tc>
        <w:tc>
          <w:tcPr>
            <w:tcW w:type="dxa" w:w="1234"/>
          </w:tcPr>
          <w:p>
            <w:r/>
            <w:r>
              <w:t>Décisions tracées (</w:t>
            </w:r>
            <w:r>
              <w:rPr>
                <w:b/>
              </w:rPr>
              <w:t>ADR migration</w:t>
            </w:r>
            <w:r>
              <w:t xml:space="preserve">) + revue + CI bloquante → </w:t>
            </w:r>
            <w:r>
              <w:rPr>
                <w:b/>
              </w:rPr>
              <w:t>US-SC.3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R7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Explosion des coûts infra</w:t>
            </w:r>
            <w:r>
              <w:t xml:space="preserve"> malgré la levée</w:t>
            </w:r>
          </w:p>
        </w:tc>
        <w:tc>
          <w:tcPr>
            <w:tcW w:type="dxa" w:w="1234"/>
          </w:tcPr>
          <w:p>
            <w:r/>
            <w:r>
              <w:t>FinOps</w:t>
            </w:r>
          </w:p>
        </w:tc>
        <w:tc>
          <w:tcPr>
            <w:tcW w:type="dxa" w:w="1234"/>
          </w:tcPr>
          <w:p>
            <w:r/>
            <w:r>
              <w:t>2</w:t>
            </w:r>
          </w:p>
        </w:tc>
        <w:tc>
          <w:tcPr>
            <w:tcW w:type="dxa" w:w="1234"/>
          </w:tcPr>
          <w:p>
            <w:r/>
            <w:r>
              <w:t>2</w:t>
            </w:r>
          </w:p>
        </w:tc>
        <w:tc>
          <w:tcPr>
            <w:tcW w:type="dxa" w:w="1234"/>
          </w:tcPr>
          <w:p>
            <w:r/>
            <w:r>
              <w:t>4 🟡</w:t>
            </w:r>
          </w:p>
        </w:tc>
        <w:tc>
          <w:tcPr>
            <w:tcW w:type="dxa" w:w="1234"/>
          </w:tcPr>
          <w:p>
            <w:r/>
            <w:r>
              <w:t xml:space="preserve">Quotas + cache + observabilité coûts (FinOps) → </w:t>
            </w:r>
            <w:r>
              <w:rPr>
                <w:b/>
              </w:rPr>
              <w:t>US-SC.4</w:t>
            </w:r>
          </w:p>
        </w:tc>
      </w:tr>
    </w:tbl>
    <w:p/>
    <w:p>
      <w:pPr>
        <w:ind w:left="454"/>
      </w:pPr>
      <w:r>
        <w:rPr>
          <w:b/>
        </w:rPr>
        <w:t>Risques prioritaires (score ≥ 6)</w:t>
      </w:r>
      <w:r>
        <w:t xml:space="preserve"> : R1, R2, R3, R5 → chacun a </w:t>
      </w:r>
      <w:r>
        <w:rPr>
          <w:b/>
        </w:rPr>
        <w:t>au moins une action préventive estimée</w:t>
      </w:r>
      <w:r>
        <w:t xml:space="preserve"> au backlog (§4). </w:t>
      </w:r>
      <w:r>
        <w:rPr>
          <w:i/>
        </w:rPr>
        <w:t>(CA-J4-3)</w:t>
      </w:r>
    </w:p>
    <w:p>
      <w:pPr>
        <w:pStyle w:val="Heading1"/>
      </w:pPr>
      <w:r>
        <w:t>4. Actions préventives estimées (→ Product Backlog) *(CA-J4-3)*</w:t>
      </w:r>
    </w:p>
    <w:p>
      <w:r>
        <w:t xml:space="preserve">Nouveaux épics : </w:t>
      </w:r>
      <w:r>
        <w:rPr>
          <w:b/>
        </w:rPr>
        <w:t>E14 Scalabilité · E15 Accessibilité · E16 i18n</w:t>
      </w:r>
      <w:r>
        <w:t>. Estimation en points (Fibonacci).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US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Épic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Intitulé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Risque couvert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MoSCoW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Est.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US-SC.1</w:t>
            </w:r>
          </w:p>
        </w:tc>
        <w:tc>
          <w:tcPr>
            <w:tcW w:type="dxa" w:w="1440"/>
          </w:tcPr>
          <w:p>
            <w:r/>
            <w:r>
              <w:t>E14</w:t>
            </w:r>
          </w:p>
        </w:tc>
        <w:tc>
          <w:tcPr>
            <w:tcW w:type="dxa" w:w="1440"/>
          </w:tcPr>
          <w:p>
            <w:r/>
            <w:r>
              <w:t xml:space="preserve">Génération de quiz </w:t>
            </w:r>
            <w:r>
              <w:rPr>
                <w:b/>
              </w:rPr>
              <w:t>asynchrone</w:t>
            </w:r>
            <w:r>
              <w:t xml:space="preserve"> (file + workers)</w:t>
            </w:r>
          </w:p>
        </w:tc>
        <w:tc>
          <w:tcPr>
            <w:tcW w:type="dxa" w:w="1440"/>
          </w:tcPr>
          <w:p>
            <w:r/>
            <w:r>
              <w:t>R1</w:t>
            </w:r>
          </w:p>
        </w:tc>
        <w:tc>
          <w:tcPr>
            <w:tcW w:type="dxa" w:w="1440"/>
          </w:tcPr>
          <w:p>
            <w:r/>
            <w:r>
              <w:t>🔴 M</w:t>
            </w:r>
          </w:p>
        </w:tc>
        <w:tc>
          <w:tcPr>
            <w:tcW w:type="dxa" w:w="1440"/>
          </w:tcPr>
          <w:p>
            <w:r/>
            <w:r>
              <w:t>13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US-SC.2</w:t>
            </w:r>
          </w:p>
        </w:tc>
        <w:tc>
          <w:tcPr>
            <w:tcW w:type="dxa" w:w="1440"/>
          </w:tcPr>
          <w:p>
            <w:r/>
            <w:r>
              <w:t>E14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Repli LLM managé UE</w:t>
            </w:r>
            <w:r>
              <w:t xml:space="preserve"> en débordement (feature-flag)</w:t>
            </w:r>
          </w:p>
        </w:tc>
        <w:tc>
          <w:tcPr>
            <w:tcW w:type="dxa" w:w="1440"/>
          </w:tcPr>
          <w:p>
            <w:r/>
            <w:r>
              <w:t>R2</w:t>
            </w:r>
          </w:p>
        </w:tc>
        <w:tc>
          <w:tcPr>
            <w:tcW w:type="dxa" w:w="1440"/>
          </w:tcPr>
          <w:p>
            <w:r/>
            <w:r>
              <w:t>🔴 M</w:t>
            </w:r>
          </w:p>
        </w:tc>
        <w:tc>
          <w:tcPr>
            <w:tcW w:type="dxa" w:w="1440"/>
          </w:tcPr>
          <w:p>
            <w:r/>
            <w:r>
              <w:t>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US-SC.3</w:t>
            </w:r>
          </w:p>
        </w:tc>
        <w:tc>
          <w:tcPr>
            <w:tcW w:type="dxa" w:w="1440"/>
          </w:tcPr>
          <w:p>
            <w:r/>
            <w:r>
              <w:t>E14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ADR de migration</w:t>
            </w:r>
            <w:r>
              <w:t xml:space="preserve"> scalable + cache/CDN + autoscaling</w:t>
            </w:r>
          </w:p>
        </w:tc>
        <w:tc>
          <w:tcPr>
            <w:tcW w:type="dxa" w:w="1440"/>
          </w:tcPr>
          <w:p>
            <w:r/>
            <w:r>
              <w:t>R1/R6</w:t>
            </w:r>
          </w:p>
        </w:tc>
        <w:tc>
          <w:tcPr>
            <w:tcW w:type="dxa" w:w="1440"/>
          </w:tcPr>
          <w:p>
            <w:r/>
            <w:r>
              <w:t>🟠 S</w:t>
            </w:r>
          </w:p>
        </w:tc>
        <w:tc>
          <w:tcPr>
            <w:tcW w:type="dxa" w:w="1440"/>
          </w:tcPr>
          <w:p>
            <w:r/>
            <w:r>
              <w:t>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US-SC.4</w:t>
            </w:r>
          </w:p>
        </w:tc>
        <w:tc>
          <w:tcPr>
            <w:tcW w:type="dxa" w:w="1440"/>
          </w:tcPr>
          <w:p>
            <w:r/>
            <w:r>
              <w:t>E14</w:t>
            </w:r>
          </w:p>
        </w:tc>
        <w:tc>
          <w:tcPr>
            <w:tcW w:type="dxa" w:w="1440"/>
          </w:tcPr>
          <w:p>
            <w:r/>
            <w:r>
              <w:t xml:space="preserve">Observabilité &amp; </w:t>
            </w:r>
            <w:r>
              <w:rPr>
                <w:b/>
              </w:rPr>
              <w:t>FinOps</w:t>
            </w:r>
            <w:r>
              <w:t xml:space="preserve"> (quotas, métriques coûts)</w:t>
            </w:r>
          </w:p>
        </w:tc>
        <w:tc>
          <w:tcPr>
            <w:tcW w:type="dxa" w:w="1440"/>
          </w:tcPr>
          <w:p>
            <w:r/>
            <w:r>
              <w:t>R7</w:t>
            </w:r>
          </w:p>
        </w:tc>
        <w:tc>
          <w:tcPr>
            <w:tcW w:type="dxa" w:w="1440"/>
          </w:tcPr>
          <w:p>
            <w:r/>
            <w:r>
              <w:t>🟢 C</w:t>
            </w:r>
          </w:p>
        </w:tc>
        <w:tc>
          <w:tcPr>
            <w:tcW w:type="dxa" w:w="1440"/>
          </w:tcPr>
          <w:p>
            <w:r/>
            <w:r>
              <w:t>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US-A11Y.1</w:t>
            </w:r>
          </w:p>
        </w:tc>
        <w:tc>
          <w:tcPr>
            <w:tcW w:type="dxa" w:w="1440"/>
          </w:tcPr>
          <w:p>
            <w:r/>
            <w:r>
              <w:t>E15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Audit RGAA</w:t>
            </w:r>
            <w:r>
              <w:t xml:space="preserve"> + corrections prioritaires (contraste, clavier, ARIA)</w:t>
            </w:r>
          </w:p>
        </w:tc>
        <w:tc>
          <w:tcPr>
            <w:tcW w:type="dxa" w:w="1440"/>
          </w:tcPr>
          <w:p>
            <w:r/>
            <w:r>
              <w:t>R3</w:t>
            </w:r>
          </w:p>
        </w:tc>
        <w:tc>
          <w:tcPr>
            <w:tcW w:type="dxa" w:w="1440"/>
          </w:tcPr>
          <w:p>
            <w:r/>
            <w:r>
              <w:t>🔴 M</w:t>
            </w:r>
          </w:p>
        </w:tc>
        <w:tc>
          <w:tcPr>
            <w:tcW w:type="dxa" w:w="1440"/>
          </w:tcPr>
          <w:p>
            <w:r/>
            <w:r>
              <w:t>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US-A11Y.2</w:t>
            </w:r>
          </w:p>
        </w:tc>
        <w:tc>
          <w:tcPr>
            <w:tcW w:type="dxa" w:w="1440"/>
          </w:tcPr>
          <w:p>
            <w:r/>
            <w:r>
              <w:t>E15</w:t>
            </w:r>
          </w:p>
        </w:tc>
        <w:tc>
          <w:tcPr>
            <w:tcW w:type="dxa" w:w="1440"/>
          </w:tcPr>
          <w:p>
            <w:r/>
            <w:r>
              <w:t>Tests d'</w:t>
            </w:r>
            <w:r>
              <w:rPr>
                <w:b/>
              </w:rPr>
              <w:t>accessibilité automatisés</w:t>
            </w:r>
            <w:r>
              <w:t xml:space="preserve"> (axe-core en CI)</w:t>
            </w:r>
          </w:p>
        </w:tc>
        <w:tc>
          <w:tcPr>
            <w:tcW w:type="dxa" w:w="1440"/>
          </w:tcPr>
          <w:p>
            <w:r/>
            <w:r>
              <w:t>R3</w:t>
            </w:r>
          </w:p>
        </w:tc>
        <w:tc>
          <w:tcPr>
            <w:tcW w:type="dxa" w:w="1440"/>
          </w:tcPr>
          <w:p>
            <w:r/>
            <w:r>
              <w:t>🟠 S</w:t>
            </w:r>
          </w:p>
        </w:tc>
        <w:tc>
          <w:tcPr>
            <w:tcW w:type="dxa" w:w="1440"/>
          </w:tcPr>
          <w:p>
            <w:r/>
            <w:r>
              <w:t>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US-I18N.1</w:t>
            </w:r>
          </w:p>
        </w:tc>
        <w:tc>
          <w:tcPr>
            <w:tcW w:type="dxa" w:w="1440"/>
          </w:tcPr>
          <w:p>
            <w:r/>
            <w:r>
              <w:t>E16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i18n de l'interface</w:t>
            </w:r>
            <w:r>
              <w:t xml:space="preserve"> (FR/EN, extensible)</w:t>
            </w:r>
          </w:p>
        </w:tc>
        <w:tc>
          <w:tcPr>
            <w:tcW w:type="dxa" w:w="1440"/>
          </w:tcPr>
          <w:p>
            <w:r/>
            <w:r>
              <w:t>i18n</w:t>
            </w:r>
          </w:p>
        </w:tc>
        <w:tc>
          <w:tcPr>
            <w:tcW w:type="dxa" w:w="1440"/>
          </w:tcPr>
          <w:p>
            <w:r/>
            <w:r>
              <w:t>🟠 S</w:t>
            </w:r>
          </w:p>
        </w:tc>
        <w:tc>
          <w:tcPr>
            <w:tcW w:type="dxa" w:w="1440"/>
          </w:tcPr>
          <w:p>
            <w:r/>
            <w:r>
              <w:t>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US-I18N.2</w:t>
            </w:r>
          </w:p>
        </w:tc>
        <w:tc>
          <w:tcPr>
            <w:tcW w:type="dxa" w:w="1440"/>
          </w:tcPr>
          <w:p>
            <w:r/>
            <w:r>
              <w:t>E16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Réponses IA multilingues</w:t>
            </w:r>
            <w:r>
              <w:t xml:space="preserve"> (détection langue + prompts localisés)</w:t>
            </w:r>
          </w:p>
        </w:tc>
        <w:tc>
          <w:tcPr>
            <w:tcW w:type="dxa" w:w="1440"/>
          </w:tcPr>
          <w:p>
            <w:r/>
            <w:r>
              <w:t>R4</w:t>
            </w:r>
          </w:p>
        </w:tc>
        <w:tc>
          <w:tcPr>
            <w:tcW w:type="dxa" w:w="1440"/>
          </w:tcPr>
          <w:p>
            <w:r/>
            <w:r>
              <w:t>🟠 S</w:t>
            </w:r>
          </w:p>
        </w:tc>
        <w:tc>
          <w:tcPr>
            <w:tcW w:type="dxa" w:w="1440"/>
          </w:tcPr>
          <w:p>
            <w:r/>
            <w:r>
              <w:t>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US-RGPD-INT.1</w:t>
            </w:r>
          </w:p>
        </w:tc>
        <w:tc>
          <w:tcPr>
            <w:tcW w:type="dxa" w:w="1440"/>
          </w:tcPr>
          <w:p>
            <w:r/>
            <w:r>
              <w:t>E8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Hébergement UE + DPA</w:t>
            </w:r>
            <w:r>
              <w:t xml:space="preserve"> pour l'international</w:t>
            </w:r>
          </w:p>
        </w:tc>
        <w:tc>
          <w:tcPr>
            <w:tcW w:type="dxa" w:w="1440"/>
          </w:tcPr>
          <w:p>
            <w:r/>
            <w:r>
              <w:t>R5</w:t>
            </w:r>
          </w:p>
        </w:tc>
        <w:tc>
          <w:tcPr>
            <w:tcW w:type="dxa" w:w="1440"/>
          </w:tcPr>
          <w:p>
            <w:r/>
            <w:r>
              <w:t>🔴 M</w:t>
            </w:r>
          </w:p>
        </w:tc>
        <w:tc>
          <w:tcPr>
            <w:tcW w:type="dxa" w:w="1440"/>
          </w:tcPr>
          <w:p>
            <w:r/>
            <w:r>
              <w:t>5</w:t>
            </w:r>
          </w:p>
        </w:tc>
      </w:tr>
    </w:tbl>
    <w:p/>
    <w:p>
      <w:pPr>
        <w:ind w:left="454"/>
      </w:pPr>
      <w:r>
        <w:t xml:space="preserve">Total ≈ </w:t>
      </w:r>
      <w:r>
        <w:rPr>
          <w:b/>
        </w:rPr>
        <w:t>68 points</w:t>
      </w:r>
      <w:r>
        <w:t xml:space="preserve"> de scope préventif ajouté (visible dans le burnup comme un saut de périmètre).</w:t>
      </w:r>
    </w:p>
    <w:p>
      <w:pPr>
        <w:pStyle w:val="Heading1"/>
      </w:pPr>
      <w:r>
        <w:t>5. Pilotage — burndown &amp; burnup *(CA-J4-4)*</w:t>
      </w:r>
    </w:p>
    <w:p>
      <w:r>
        <w:t>Les courbes (et l'</w:t>
      </w:r>
      <w:r>
        <w:rPr>
          <w:b/>
        </w:rPr>
        <w:t>impact chiffré des perturbations</w:t>
      </w:r>
      <w:r>
        <w:t xml:space="preserve"> sur le périmètre) sont dans le document dédié : </w:t>
      </w:r>
      <w:r>
        <w:rPr>
          <w:b/>
        </w:rPr>
        <w:t>Burndown &amp; Burnup</w:t>
      </w:r>
      <w:r>
        <w:t>.</w:t>
      </w:r>
    </w:p>
    <w:p>
      <w:pPr>
        <w:pStyle w:val="ListBullet"/>
      </w:pPr>
      <w:r>
        <w:rPr>
          <w:b/>
        </w:rPr>
        <w:t>Burndown</w:t>
      </w:r>
      <w:r>
        <w:t xml:space="preserve"> (sprint MVP) : reste-à-faire vs ligne idéale.</w:t>
      </w:r>
    </w:p>
    <w:p>
      <w:pPr>
        <w:pStyle w:val="ListBullet"/>
      </w:pPr>
      <w:r>
        <w:rPr>
          <w:b/>
        </w:rPr>
        <w:t>Burnup</w:t>
      </w:r>
      <w:r>
        <w:t xml:space="preserve"> (projet S1→S8) : réalisé vs </w:t>
      </w:r>
      <w:r>
        <w:rPr>
          <w:b/>
        </w:rPr>
        <w:t>périmètre</w:t>
      </w:r>
      <w:r>
        <w:t xml:space="preserve">, avec les </w:t>
      </w:r>
      <w:r>
        <w:rPr>
          <w:b/>
        </w:rPr>
        <w:t>sauts de scope</w:t>
      </w:r>
      <w:r>
        <w:t xml:space="preserve"> J1 (+13, espace enseignant), J3/J3-bis (+8, sécurité/RGPD) et </w:t>
      </w:r>
      <w:r>
        <w:rPr>
          <w:b/>
        </w:rPr>
        <w:t>J4 (+68, RGAA/i18n/scalabilité)</w:t>
      </w:r>
      <w:r>
        <w:t>.</w:t>
      </w:r>
    </w:p>
    <w:p>
      <w:pPr>
        <w:pStyle w:val="Heading1"/>
      </w:pPr>
      <w:r>
        <w:t>6. Critères d'acceptation J4</w:t>
      </w:r>
    </w:p>
    <w:p>
      <w:pPr>
        <w:pStyle w:val="ListBullet"/>
      </w:pPr>
      <w:r>
        <w:t xml:space="preserve">[x] </w:t>
      </w:r>
      <w:r>
        <w:rPr>
          <w:b/>
        </w:rPr>
        <w:t>CA-J4-1</w:t>
      </w:r>
      <w:r>
        <w:t xml:space="preserve"> — Vision, story map &amp; </w:t>
      </w:r>
      <w:r>
        <w:rPr>
          <w:b/>
        </w:rPr>
        <w:t>personas</w:t>
      </w:r>
      <w:r>
        <w:t xml:space="preserve"> intègrent les 3 axes → §2 (+ persona handicap/international)</w:t>
      </w:r>
    </w:p>
    <w:p>
      <w:pPr>
        <w:pStyle w:val="ListBullet"/>
      </w:pPr>
      <w:r>
        <w:t xml:space="preserve">[x] </w:t>
      </w:r>
      <w:r>
        <w:rPr>
          <w:b/>
        </w:rPr>
        <w:t>CA-J4-2</w:t>
      </w:r>
      <w:r>
        <w:t xml:space="preserve"> — Matrice de risques </w:t>
      </w:r>
      <w:r>
        <w:rPr>
          <w:b/>
        </w:rPr>
        <w:t>≥ 5</w:t>
      </w:r>
      <w:r>
        <w:t xml:space="preserve"> (probabilité × impact) → §3 (7 risques)</w:t>
      </w:r>
    </w:p>
    <w:p>
      <w:pPr>
        <w:pStyle w:val="ListBullet"/>
      </w:pPr>
      <w:r>
        <w:t xml:space="preserve">[x] </w:t>
      </w:r>
      <w:r>
        <w:rPr>
          <w:b/>
        </w:rPr>
        <w:t>CA-J4-3</w:t>
      </w:r>
      <w:r>
        <w:t xml:space="preserve"> — Chaque risque prioritaire → </w:t>
      </w:r>
      <w:r>
        <w:rPr>
          <w:b/>
        </w:rPr>
        <w:t>action préventive estimée au backlog</w:t>
      </w:r>
      <w:r>
        <w:t xml:space="preserve"> → §4</w:t>
      </w:r>
    </w:p>
    <w:p>
      <w:pPr>
        <w:pStyle w:val="ListBullet"/>
      </w:pPr>
      <w:r>
        <w:t xml:space="preserve">[x] </w:t>
      </w:r>
      <w:r>
        <w:rPr>
          <w:b/>
        </w:rPr>
        <w:t>CA-J4-4</w:t>
      </w:r>
      <w:r>
        <w:t xml:space="preserve"> — </w:t>
      </w:r>
      <w:r>
        <w:rPr>
          <w:b/>
        </w:rPr>
        <w:t>Burndown + burnup</w:t>
      </w:r>
      <w:r>
        <w:t xml:space="preserve"> actualisés, impact des perturbations chiffré → doc dédié</w:t>
      </w:r>
    </w:p>
    <w:p>
      <w:pPr>
        <w:pStyle w:val="ListBullet"/>
      </w:pPr>
      <w:r>
        <w:t xml:space="preserve">[x] </w:t>
      </w:r>
      <w:r>
        <w:rPr>
          <w:b/>
        </w:rPr>
        <w:t>CA-J4-5</w:t>
      </w:r>
      <w:r>
        <w:t xml:space="preserve"> — </w:t>
      </w:r>
      <w:r>
        <w:rPr>
          <w:b/>
        </w:rPr>
        <w:t>Historique</w:t>
      </w:r>
      <w:r>
        <w:t xml:space="preserve"> des sprints conservé + prochain sprint défini → Release Planning</w:t>
      </w:r>
    </w:p>
    <w:p>
      <w:pPr>
        <w:pStyle w:val="ListBullet"/>
      </w:pPr>
      <w:r>
        <w:t xml:space="preserve">[ ] </w:t>
      </w:r>
      <w:r>
        <w:rPr>
          <w:b/>
        </w:rPr>
        <w:t>CA-J4-6</w:t>
      </w:r>
      <w:r>
        <w:t xml:space="preserve"> — </w:t>
      </w:r>
      <w:r>
        <w:rPr>
          <w:i/>
        </w:rPr>
        <w:t>Bonus</w:t>
      </w:r>
      <w:r>
        <w:t xml:space="preserve"> — PoC technique (ADR migration scalable / amorce i18n)</w:t>
      </w:r>
    </w:p>
    <w:p>
      <w:pPr>
        <w:pStyle w:val="Heading1"/>
      </w:pPr>
      <w:r>
        <w:t>✅ Grille d'auto-évaluation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Critère qualité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Auto-éval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Preuve</w:t>
            </w:r>
          </w:p>
        </w:tc>
      </w:tr>
      <w:tr>
        <w:tc>
          <w:tcPr>
            <w:tcW w:type="dxa" w:w="2880"/>
          </w:tcPr>
          <w:p>
            <w:r/>
            <w:r>
              <w:t>3 axes intégrés aux artefacts</w:t>
            </w:r>
          </w:p>
        </w:tc>
        <w:tc>
          <w:tcPr>
            <w:tcW w:type="dxa" w:w="2880"/>
          </w:tcPr>
          <w:p>
            <w:r/>
            <w:r>
              <w:t>☑ Oui</w:t>
            </w:r>
          </w:p>
        </w:tc>
        <w:tc>
          <w:tcPr>
            <w:tcW w:type="dxa" w:w="2880"/>
          </w:tcPr>
          <w:p>
            <w:r/>
            <w:r>
              <w:t>§2.</w:t>
            </w:r>
          </w:p>
        </w:tc>
      </w:tr>
      <w:tr>
        <w:tc>
          <w:tcPr>
            <w:tcW w:type="dxa" w:w="2880"/>
          </w:tcPr>
          <w:p>
            <w:r/>
            <w:r>
              <w:t>Persona international / handicap</w:t>
            </w:r>
          </w:p>
        </w:tc>
        <w:tc>
          <w:tcPr>
            <w:tcW w:type="dxa" w:w="2880"/>
          </w:tcPr>
          <w:p>
            <w:r/>
            <w:r>
              <w:t>☑ Oui</w:t>
            </w:r>
          </w:p>
        </w:tc>
        <w:tc>
          <w:tcPr>
            <w:tcW w:type="dxa" w:w="2880"/>
          </w:tcPr>
          <w:p>
            <w:r/>
            <w:r>
              <w:t>§2.1.</w:t>
            </w:r>
          </w:p>
        </w:tc>
      </w:tr>
      <w:tr>
        <w:tc>
          <w:tcPr>
            <w:tcW w:type="dxa" w:w="2880"/>
          </w:tcPr>
          <w:p>
            <w:r/>
            <w:r>
              <w:t>Matrice risques ≥ 5 (P × I)</w:t>
            </w:r>
          </w:p>
        </w:tc>
        <w:tc>
          <w:tcPr>
            <w:tcW w:type="dxa" w:w="2880"/>
          </w:tcPr>
          <w:p>
            <w:r/>
            <w:r>
              <w:t>☑ Oui</w:t>
            </w:r>
          </w:p>
        </w:tc>
        <w:tc>
          <w:tcPr>
            <w:tcW w:type="dxa" w:w="2880"/>
          </w:tcPr>
          <w:p>
            <w:r/>
            <w:r>
              <w:t>§3 (7 risques).</w:t>
            </w:r>
          </w:p>
        </w:tc>
      </w:tr>
      <w:tr>
        <w:tc>
          <w:tcPr>
            <w:tcW w:type="dxa" w:w="2880"/>
          </w:tcPr>
          <w:p>
            <w:r/>
            <w:r>
              <w:t>Actions préventives estimées au backlog</w:t>
            </w:r>
          </w:p>
        </w:tc>
        <w:tc>
          <w:tcPr>
            <w:tcW w:type="dxa" w:w="2880"/>
          </w:tcPr>
          <w:p>
            <w:r/>
            <w:r>
              <w:t>☑ Oui</w:t>
            </w:r>
          </w:p>
        </w:tc>
        <w:tc>
          <w:tcPr>
            <w:tcW w:type="dxa" w:w="2880"/>
          </w:tcPr>
          <w:p>
            <w:r/>
            <w:r>
              <w:t>§4 (9 US, épics E14–E16).</w:t>
            </w:r>
          </w:p>
        </w:tc>
      </w:tr>
      <w:tr>
        <w:tc>
          <w:tcPr>
            <w:tcW w:type="dxa" w:w="2880"/>
          </w:tcPr>
          <w:p>
            <w:r/>
            <w:r>
              <w:t>Impact des perturbations chiffré</w:t>
            </w:r>
          </w:p>
        </w:tc>
        <w:tc>
          <w:tcPr>
            <w:tcW w:type="dxa" w:w="2880"/>
          </w:tcPr>
          <w:p>
            <w:r/>
            <w:r>
              <w:t>☑ Oui</w:t>
            </w:r>
          </w:p>
        </w:tc>
        <w:tc>
          <w:tcPr>
            <w:tcW w:type="dxa" w:w="2880"/>
          </w:tcPr>
          <w:p>
            <w:r/>
            <w:r>
              <w:t>burnup (+68 pts J4).</w:t>
            </w:r>
          </w:p>
        </w:tc>
      </w:tr>
      <w:tr>
        <w:tc>
          <w:tcPr>
            <w:tcW w:type="dxa" w:w="2880"/>
          </w:tcPr>
          <w:p>
            <w:r/>
            <w:r>
              <w:t>Historique conservé + prochain sprint</w:t>
            </w:r>
          </w:p>
        </w:tc>
        <w:tc>
          <w:tcPr>
            <w:tcW w:type="dxa" w:w="2880"/>
          </w:tcPr>
          <w:p>
            <w:r/>
            <w:r>
              <w:t>☑ Oui</w:t>
            </w:r>
          </w:p>
        </w:tc>
        <w:tc>
          <w:tcPr>
            <w:tcW w:type="dxa" w:w="2880"/>
          </w:tcPr>
          <w:p>
            <w:r/>
            <w:r>
              <w:t>release planning.</w:t>
            </w:r>
          </w:p>
        </w:tc>
      </w:tr>
    </w:tbl>
    <w:p/>
    <w:p>
      <w:pPr>
        <w:pStyle w:val="Heading1"/>
      </w:pPr>
      <w:r>
        <w:t>📚 Références</w:t>
      </w:r>
    </w:p>
    <w:p>
      <w:pPr>
        <w:pStyle w:val="ListBullet"/>
      </w:pPr>
      <w:r>
        <w:rPr>
          <w:b/>
        </w:rPr>
        <w:t>RGAA</w:t>
      </w:r>
      <w:r>
        <w:t xml:space="preserve"> (accessibilité) — &lt;https://accessibilite.numerique.gouv.fr/&gt; · </w:t>
      </w:r>
      <w:r>
        <w:rPr>
          <w:b/>
        </w:rPr>
        <w:t>WCAG 2.1 AA</w:t>
      </w:r>
    </w:p>
    <w:p>
      <w:pPr>
        <w:pStyle w:val="ListBullet"/>
      </w:pPr>
      <w:r>
        <w:t>Sources internes : Burndown &amp; Burnup · Product Backlog · Release Planning · Politique de rétention.</w:t>
      </w:r>
    </w:p>
    <w:p>
      <w:r>
        <w:rPr>
          <w:i/>
        </w:rPr>
        <w:t>Perturbation J4 — passage à l'échelle de l'équipe 6 : 3 axes (RGAA / i18n / scalabilité), matrice de 7 risques, 9 actions préventives estimées, pilotage burndown/burnup.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