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b/>
          <w:color w:val="4F46E5"/>
          <w:sz w:val="68"/>
        </w:rPr>
        <w:t>EduTutor IA</w:t>
      </w:r>
    </w:p>
    <w:p>
      <w:pPr>
        <w:jc w:val="center"/>
      </w:pPr>
      <w:r>
        <w:rPr>
          <w:color w:val="334155"/>
          <w:sz w:val="32"/>
        </w:rPr>
        <w:t>Cadrage produit</w:t>
      </w:r>
    </w:p>
    <w:p/>
    <w:p>
      <w:pPr>
        <w:jc w:val="center"/>
      </w:pPr>
      <w:r>
        <w:rPr>
          <w:b/>
          <w:sz w:val="44"/>
        </w:rPr>
        <w:t>Perturbation J3-bis — RGPD : droit d'accès et à la portabilité (SAR)</w:t>
      </w:r>
    </w:p>
    <w:p/>
    <w:p/>
    <w:p>
      <w:pPr>
        <w:jc w:val="center"/>
      </w:pPr>
      <w:r>
        <w:rPr>
          <w:i/>
          <w:color w:val="334155"/>
        </w:rPr>
        <w:t>Livrable Jour 1 — APOCAL'IPSSI 2026</w:t>
      </w:r>
    </w:p>
    <w:p>
      <w:r>
        <w:br w:type="page"/>
      </w:r>
    </w:p>
    <w:p>
      <w:pPr>
        <w:pStyle w:val="Heading1"/>
      </w:pPr>
      <w:r>
        <w:t>🗂️ Identification du document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Équipe</w:t>
            </w:r>
          </w:p>
        </w:tc>
        <w:tc>
          <w:tcPr>
            <w:tcW w:type="dxa" w:w="4320"/>
          </w:tcPr>
          <w:p>
            <w:r/>
            <w:r>
              <w:t>n° 6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Membres</w:t>
            </w:r>
          </w:p>
        </w:tc>
        <w:tc>
          <w:tcPr>
            <w:tcW w:type="dxa" w:w="4320"/>
          </w:tcPr>
          <w:p>
            <w:r/>
            <w:r>
              <w:t>Kahil MOKHTARI · Amine HADDANE · Souleymane FALL · Nikola MILOSAVLJEVIC · Dina CHAOUKI · Rayan ZEBAZE SAO · Hugo RAGUIN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Sprint concerné</w:t>
            </w:r>
          </w:p>
        </w:tc>
        <w:tc>
          <w:tcPr>
            <w:tcW w:type="dxa" w:w="4320"/>
          </w:tcPr>
          <w:p>
            <w:r/>
            <w:r>
              <w:t>Sprint 5 (mercredi 14h–17h45)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Artefact</w:t>
            </w:r>
          </w:p>
        </w:tc>
        <w:tc>
          <w:tcPr>
            <w:tcW w:type="dxa" w:w="4320"/>
          </w:tcPr>
          <w:p>
            <w:r/>
            <w:r>
              <w:t>Perturbation J3-bis — Export RGPD + pages légales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Version</w:t>
            </w:r>
          </w:p>
        </w:tc>
        <w:tc>
          <w:tcPr>
            <w:tcW w:type="dxa" w:w="4320"/>
          </w:tcPr>
          <w:p>
            <w:r/>
            <w:r>
              <w:t>v1.0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Date</w:t>
            </w:r>
          </w:p>
        </w:tc>
        <w:tc>
          <w:tcPr>
            <w:tcW w:type="dxa" w:w="4320"/>
          </w:tcPr>
          <w:p>
            <w:r/>
            <w:r>
              <w:t>01/07/2026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Statut</w:t>
            </w:r>
          </w:p>
        </w:tc>
        <w:tc>
          <w:tcPr>
            <w:tcW w:type="dxa" w:w="4320"/>
          </w:tcPr>
          <w:p>
            <w:r/>
            <w:r>
              <w:t>✅ Validé (endpoint d'export livré + 6 tests verts ; pages légales en ligne)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Rédacteur</w:t>
            </w:r>
          </w:p>
        </w:tc>
        <w:tc>
          <w:tcPr>
            <w:tcW w:type="dxa" w:w="4320"/>
          </w:tcPr>
          <w:p>
            <w:r/>
            <w:r>
              <w:t>Hugo RAGUIN</w:t>
            </w:r>
          </w:p>
        </w:tc>
      </w:tr>
    </w:tbl>
    <w:p/>
    <w:p>
      <w:pPr>
        <w:ind w:left="454"/>
      </w:pPr>
      <w:r>
        <w:t xml:space="preserve">Liens : Product Backlog (E7/E8 sécurité &amp; RGPD) · Release Planning §S5 · Code : </w:t>
      </w:r>
      <w:r>
        <w:rPr>
          <w:rFonts w:ascii="Consolas" w:hAnsi="Consolas"/>
        </w:rPr>
        <w:t>exporting.py</w:t>
      </w:r>
      <w:r>
        <w:t xml:space="preserve"> · </w:t>
      </w:r>
      <w:r>
        <w:rPr>
          <w:rFonts w:ascii="Consolas" w:hAnsi="Consolas"/>
        </w:rPr>
        <w:t>views.py</w:t>
      </w:r>
      <w:r>
        <w:t xml:space="preserve"> · </w:t>
      </w:r>
      <w:r>
        <w:rPr>
          <w:rFonts w:ascii="Consolas" w:hAnsi="Consolas"/>
        </w:rPr>
        <w:t>models.py</w:t>
      </w:r>
      <w:r>
        <w:t xml:space="preserve"> · Pages légales : </w:t>
      </w:r>
      <w:r>
        <w:rPr>
          <w:rFonts w:ascii="Consolas" w:hAnsi="Consolas"/>
        </w:rPr>
        <w:t>frontend/src/pages/legal/</w:t>
      </w:r>
      <w:r>
        <w:t>.</w:t>
      </w:r>
    </w:p>
    <w:p>
      <w:pPr>
        <w:ind w:left="454"/>
      </w:pPr>
      <w:r>
        <w:t>Source : énoncé du cours — &lt;https://mohamedelafrit.com/teaching/APOCALIPSSI/pages/perturbations/j3bis-rgpd.php&gt;</w:t>
      </w:r>
    </w:p>
    <w:p>
      <w:pPr>
        <w:pStyle w:val="Heading1"/>
      </w:pPr>
      <w:r>
        <w:t>1. Scénario</w:t>
      </w:r>
    </w:p>
    <w:p>
      <w:r>
        <w:t xml:space="preserve">Un utilisateur exerce ses droits RGPD : </w:t>
      </w:r>
      <w:r>
        <w:rPr>
          <w:b/>
        </w:rPr>
        <w:t>« Quelles données avez-vous sur moi, et rendez-les moi dans un format réutilisable »</w:t>
      </w:r>
      <w:r>
        <w:t xml:space="preserve"> (droit d'accès — art. 15 — et à la portabilité — art. 20). En parallèle, le sponsor rappelle l'obligation d'afficher les </w:t>
      </w:r>
      <w:r>
        <w:rPr>
          <w:b/>
        </w:rPr>
        <w:t>mentions légales, CGU, politique de confidentialité et cookies</w:t>
      </w:r>
      <w:r>
        <w:t xml:space="preserve">. Il faut une réponse </w:t>
      </w:r>
      <w:r>
        <w:rPr>
          <w:b/>
        </w:rPr>
        <w:t>outillée</w:t>
      </w:r>
      <w:r>
        <w:t xml:space="preserve"> (pas un email manuel) avant la Release 1.</w:t>
      </w:r>
    </w:p>
    <w:p>
      <w:pPr>
        <w:ind w:left="454"/>
      </w:pPr>
      <w:r>
        <w:t xml:space="preserve">Reformulation (1 phrase) : </w:t>
      </w:r>
      <w:r>
        <w:rPr>
          <w:i/>
        </w:rPr>
        <w:t>« Tout utilisateur doit pouvoir, en un clic, télécharger l'intégralité de ses données personnelles dans un format lisible par machine, et consulter les pages légales du service. »</w:t>
      </w:r>
    </w:p>
    <w:p>
      <w:pPr>
        <w:pStyle w:val="Heading1"/>
      </w:pPr>
      <w:r>
        <w:t>2. Réponse livrée *(CA-J3bis-1)*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Exigence RGPD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Réponse EduTutor IA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Preuve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Droit d'accès (art. 15)</w:t>
            </w:r>
          </w:p>
        </w:tc>
        <w:tc>
          <w:tcPr>
            <w:tcW w:type="dxa" w:w="2880"/>
          </w:tcPr>
          <w:p>
            <w:r/>
            <w:r>
              <w:t>Endpoint qui rassemble compte + profil + quiz + réponses + historique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exporting.build_export_payload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Portabilité (art. 20)</w:t>
            </w:r>
          </w:p>
        </w:tc>
        <w:tc>
          <w:tcPr>
            <w:tcW w:type="dxa" w:w="2880"/>
          </w:tcPr>
          <w:p>
            <w:r/>
            <w:r>
              <w:t xml:space="preserve">Export </w:t>
            </w:r>
            <w:r>
              <w:rPr>
                <w:b/>
              </w:rPr>
              <w:t>JSON</w:t>
            </w:r>
            <w:r>
              <w:t xml:space="preserve"> (défaut) ou </w:t>
            </w:r>
            <w:r>
              <w:rPr>
                <w:b/>
              </w:rPr>
              <w:t>ZIP</w:t>
            </w:r>
            <w:r>
              <w:t xml:space="preserve"> (un fichier par catégorie), format machine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build_export_artifact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Minimisation / isolation</w:t>
            </w:r>
          </w:p>
        </w:tc>
        <w:tc>
          <w:tcPr>
            <w:tcW w:type="dxa" w:w="2880"/>
          </w:tcPr>
          <w:p>
            <w:r/>
            <w:r>
              <w:t xml:space="preserve">L'export ne contient </w:t>
            </w:r>
            <w:r>
              <w:rPr>
                <w:b/>
              </w:rPr>
              <w:t>que</w:t>
            </w:r>
            <w:r>
              <w:t xml:space="preserve"> les données de l'utilisateur connecté (testé)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test_data_export_isolates_other_users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Accountability</w:t>
            </w:r>
          </w:p>
        </w:tc>
        <w:tc>
          <w:tcPr>
            <w:tcW w:type="dxa" w:w="2880"/>
          </w:tcPr>
          <w:p>
            <w:r/>
            <w:r>
              <w:t>Chaque demande tracée (</w:t>
            </w:r>
            <w:r>
              <w:rPr>
                <w:rFonts w:ascii="Consolas" w:hAnsi="Consolas"/>
              </w:rPr>
              <w:t>DataRequest</w:t>
            </w:r>
            <w:r>
              <w:t>) + événement d'audit (</w:t>
            </w:r>
            <w:r>
              <w:rPr>
                <w:rFonts w:ascii="Consolas" w:hAnsi="Consolas"/>
              </w:rPr>
              <w:t>AuditEvent</w:t>
            </w:r>
            <w:r>
              <w:t>), avec empreinte SHA-256 de l'export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models.py</w:t>
            </w:r>
            <w:r>
              <w:t xml:space="preserve">, </w:t>
            </w:r>
            <w:r>
              <w:rPr>
                <w:rFonts w:ascii="Consolas" w:hAnsi="Consolas"/>
              </w:rPr>
              <w:t>audit.py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Droit à l'effacement (art. 17)</w:t>
            </w:r>
          </w:p>
        </w:tc>
        <w:tc>
          <w:tcPr>
            <w:tcW w:type="dxa" w:w="2880"/>
          </w:tcPr>
          <w:p>
            <w:r/>
            <w:r>
              <w:t xml:space="preserve">Suppression de compte (hard delete, cascade) — l'export est proposé </w:t>
            </w:r>
            <w:r>
              <w:rPr>
                <w:b/>
              </w:rPr>
              <w:t>en amont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views.ProfileView.delete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Souveraineté des données</w:t>
            </w:r>
          </w:p>
        </w:tc>
        <w:tc>
          <w:tcPr>
            <w:tcW w:type="dxa" w:w="2880"/>
          </w:tcPr>
          <w:p>
            <w:r/>
            <w:r>
              <w:t xml:space="preserve">LLM </w:t>
            </w:r>
            <w:r>
              <w:rPr>
                <w:b/>
              </w:rPr>
              <w:t>local</w:t>
            </w:r>
            <w:r>
              <w:t xml:space="preserve"> (Ollama) : aucune donnée personnelle envoyée au cloud (cf. ADR-0001)</w:t>
            </w:r>
          </w:p>
        </w:tc>
        <w:tc>
          <w:tcPr>
            <w:tcW w:type="dxa" w:w="2880"/>
          </w:tcPr>
          <w:p>
            <w:r/>
            <w:r>
              <w:t>ADR-0001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Transparence</w:t>
            </w:r>
          </w:p>
        </w:tc>
        <w:tc>
          <w:tcPr>
            <w:tcW w:type="dxa" w:w="2880"/>
          </w:tcPr>
          <w:p>
            <w:r/>
            <w:r>
              <w:t xml:space="preserve">Pages </w:t>
            </w:r>
            <w:r>
              <w:rPr>
                <w:b/>
              </w:rPr>
              <w:t>Mentions légales / CGU / Confidentialité / Cookies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frontend/src/pages/legal/</w:t>
            </w:r>
          </w:p>
        </w:tc>
      </w:tr>
    </w:tbl>
    <w:p/>
    <w:p>
      <w:pPr>
        <w:pStyle w:val="Heading1"/>
      </w:pPr>
      <w:r>
        <w:t>3. API livrée *(CA-J3bis-2)*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Méthode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Route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Rôle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POST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/api/accounts/data-export/</w:t>
            </w:r>
          </w:p>
        </w:tc>
        <w:tc>
          <w:tcPr>
            <w:tcW w:type="dxa" w:w="2880"/>
          </w:tcPr>
          <w:p>
            <w:r/>
            <w:r>
              <w:t xml:space="preserve">Génère et </w:t>
            </w:r>
            <w:r>
              <w:rPr>
                <w:b/>
              </w:rPr>
              <w:t>télécharge</w:t>
            </w:r>
            <w:r>
              <w:t xml:space="preserve"> l'export (</w:t>
            </w:r>
            <w:r>
              <w:rPr>
                <w:rFonts w:ascii="Consolas" w:hAnsi="Consolas"/>
              </w:rPr>
              <w:t>?format=json</w:t>
            </w:r>
            <w:r>
              <w:t xml:space="preserve"> ou </w:t>
            </w:r>
            <w:r>
              <w:rPr>
                <w:rFonts w:ascii="Consolas" w:hAnsi="Consolas"/>
              </w:rPr>
              <w:t>zip</w:t>
            </w:r>
            <w:r>
              <w:t xml:space="preserve">). Trace un </w:t>
            </w:r>
            <w:r>
              <w:rPr>
                <w:rFonts w:ascii="Consolas" w:hAnsi="Consolas"/>
              </w:rPr>
              <w:t>DataRequest</w:t>
            </w:r>
            <w:r>
              <w:t xml:space="preserve"> + </w:t>
            </w:r>
            <w:r>
              <w:rPr>
                <w:rFonts w:ascii="Consolas" w:hAnsi="Consolas"/>
              </w:rPr>
              <w:t>AuditEvent</w:t>
            </w:r>
            <w:r>
              <w:t>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/api/accounts/data-export/</w:t>
            </w:r>
          </w:p>
        </w:tc>
        <w:tc>
          <w:tcPr>
            <w:tcW w:type="dxa" w:w="2880"/>
          </w:tcPr>
          <w:p>
            <w:r/>
            <w:r>
              <w:t>Renvoie l'</w:t>
            </w:r>
            <w:r>
              <w:rPr>
                <w:b/>
              </w:rPr>
              <w:t>historique</w:t>
            </w:r>
            <w:r>
              <w:t xml:space="preserve"> des demandes d'export de l'utilisateur.</w:t>
            </w:r>
          </w:p>
        </w:tc>
      </w:tr>
    </w:tbl>
    <w:p/>
    <w:p>
      <w:pPr>
        <w:pStyle w:val="ListBullet"/>
      </w:pPr>
      <w:r>
        <w:rPr>
          <w:b/>
        </w:rPr>
        <w:t>Authentification obligatoire</w:t>
      </w:r>
      <w:r>
        <w:t xml:space="preserve"> (</w:t>
      </w:r>
      <w:r>
        <w:rPr>
          <w:rFonts w:ascii="Consolas" w:hAnsi="Consolas"/>
        </w:rPr>
        <w:t>IsAuthenticated</w:t>
      </w:r>
      <w:r>
        <w:t>) : un anonyme reçoit 401/403 (</w:t>
      </w:r>
      <w:r>
        <w:rPr>
          <w:rFonts w:ascii="Consolas" w:hAnsi="Consolas"/>
        </w:rPr>
        <w:t>test_data_export_requires_auth</w:t>
      </w:r>
      <w:r>
        <w:t>).</w:t>
      </w:r>
    </w:p>
    <w:p>
      <w:pPr>
        <w:pStyle w:val="ListBullet"/>
      </w:pPr>
      <w:r>
        <w:rPr>
          <w:b/>
        </w:rPr>
        <w:t>Empreinte</w:t>
      </w:r>
      <w:r>
        <w:t xml:space="preserve"> : l'export n'est </w:t>
      </w:r>
      <w:r>
        <w:rPr>
          <w:b/>
        </w:rPr>
        <w:t>pas</w:t>
      </w:r>
      <w:r>
        <w:t xml:space="preserve"> archivé côté serveur ; seul son </w:t>
      </w:r>
      <w:r>
        <w:rPr>
          <w:rFonts w:ascii="Consolas" w:hAnsi="Consolas"/>
        </w:rPr>
        <w:t>sha256</w:t>
      </w:r>
      <w:r>
        <w:t xml:space="preserve"> est conservé (preuve d'intégrité sans re-stocker la donnée).</w:t>
      </w:r>
    </w:p>
    <w:p>
      <w:pPr>
        <w:pStyle w:val="ListBullet"/>
      </w:pPr>
      <w:r>
        <w:rPr>
          <w:b/>
        </w:rPr>
        <w:t>Modèle de données</w:t>
      </w:r>
      <w:r>
        <w:t xml:space="preserve"> : </w:t>
      </w:r>
      <w:r>
        <w:rPr>
          <w:rFonts w:ascii="Consolas" w:hAnsi="Consolas"/>
        </w:rPr>
        <w:t>DataRequest</w:t>
      </w:r>
      <w:r>
        <w:t xml:space="preserve"> (statut </w:t>
      </w:r>
      <w:r>
        <w:rPr>
          <w:rFonts w:ascii="Consolas" w:hAnsi="Consolas"/>
        </w:rPr>
        <w:t>processing → responded / failed</w:t>
      </w:r>
      <w:r>
        <w:t xml:space="preserve">, format, taille, hash) et </w:t>
      </w:r>
      <w:r>
        <w:rPr>
          <w:rFonts w:ascii="Consolas" w:hAnsi="Consolas"/>
        </w:rPr>
        <w:t>AuditEvent</w:t>
      </w:r>
      <w:r>
        <w:t xml:space="preserve"> (type </w:t>
      </w:r>
      <w:r>
        <w:rPr>
          <w:rFonts w:ascii="Consolas" w:hAnsi="Consolas"/>
        </w:rPr>
        <w:t>data_export</w:t>
      </w:r>
      <w:r>
        <w:t xml:space="preserve"> / </w:t>
      </w:r>
      <w:r>
        <w:rPr>
          <w:rFonts w:ascii="Consolas" w:hAnsi="Consolas"/>
        </w:rPr>
        <w:t>account_deleted</w:t>
      </w:r>
      <w:r>
        <w:t xml:space="preserve">) — migration </w:t>
      </w:r>
      <w:r>
        <w:rPr>
          <w:rFonts w:ascii="Consolas" w:hAnsi="Consolas"/>
        </w:rPr>
        <w:t>0002_auditevent_datarequest</w:t>
      </w:r>
      <w:r>
        <w:t>.</w:t>
      </w:r>
    </w:p>
    <w:p>
      <w:pPr>
        <w:pStyle w:val="Heading1"/>
      </w:pPr>
      <w:r>
        <w:t>4. Critères d'acceptation J3-bis</w:t>
      </w:r>
    </w:p>
    <w:p>
      <w:pPr>
        <w:pStyle w:val="ListBullet"/>
      </w:pPr>
      <w:r>
        <w:t xml:space="preserve">[x] </w:t>
      </w:r>
      <w:r>
        <w:rPr>
          <w:b/>
        </w:rPr>
        <w:t>CA-J3bis-1</w:t>
      </w:r>
      <w:r>
        <w:t xml:space="preserve"> — Export </w:t>
      </w:r>
      <w:r>
        <w:rPr>
          <w:b/>
        </w:rPr>
        <w:t>complet</w:t>
      </w:r>
      <w:r>
        <w:t xml:space="preserve"> des données perso (compte, quiz, réponses) → §2</w:t>
      </w:r>
    </w:p>
    <w:p>
      <w:pPr>
        <w:pStyle w:val="ListBullet"/>
      </w:pPr>
      <w:r>
        <w:t xml:space="preserve">[x] </w:t>
      </w:r>
      <w:r>
        <w:rPr>
          <w:b/>
        </w:rPr>
        <w:t>CA-J3bis-2</w:t>
      </w:r>
      <w:r>
        <w:t xml:space="preserve"> — Format </w:t>
      </w:r>
      <w:r>
        <w:rPr>
          <w:b/>
        </w:rPr>
        <w:t>lisible par machine</w:t>
      </w:r>
      <w:r>
        <w:t xml:space="preserve"> (JSON/ZIP), téléchargeable → §3</w:t>
      </w:r>
    </w:p>
    <w:p>
      <w:pPr>
        <w:pStyle w:val="ListBullet"/>
      </w:pPr>
      <w:r>
        <w:t xml:space="preserve">[x] </w:t>
      </w:r>
      <w:r>
        <w:rPr>
          <w:b/>
        </w:rPr>
        <w:t>CA-J3bis-3</w:t>
      </w:r>
      <w:r>
        <w:t xml:space="preserve"> — </w:t>
      </w:r>
      <w:r>
        <w:rPr>
          <w:b/>
        </w:rPr>
        <w:t>Isolation</w:t>
      </w:r>
      <w:r>
        <w:t xml:space="preserve"> stricte : aucune donnée d'un autre utilisateur → </w:t>
      </w:r>
      <w:r>
        <w:rPr>
          <w:rFonts w:ascii="Consolas" w:hAnsi="Consolas"/>
        </w:rPr>
        <w:t>test_data_export_isolates_other_users</w:t>
      </w:r>
    </w:p>
    <w:p>
      <w:pPr>
        <w:pStyle w:val="ListBullet"/>
      </w:pPr>
      <w:r>
        <w:t xml:space="preserve">[x] </w:t>
      </w:r>
      <w:r>
        <w:rPr>
          <w:b/>
        </w:rPr>
        <w:t>CA-J3bis-4</w:t>
      </w:r>
      <w:r>
        <w:t xml:space="preserve"> — Demande </w:t>
      </w:r>
      <w:r>
        <w:rPr>
          <w:b/>
        </w:rPr>
        <w:t>tracée</w:t>
      </w:r>
      <w:r>
        <w:t xml:space="preserve"> (DataRequest) + audit (AuditEvent) → §2/§3</w:t>
      </w:r>
    </w:p>
    <w:p>
      <w:pPr>
        <w:pStyle w:val="ListBullet"/>
      </w:pPr>
      <w:r>
        <w:t xml:space="preserve">[x] </w:t>
      </w:r>
      <w:r>
        <w:rPr>
          <w:b/>
        </w:rPr>
        <w:t>CA-J3bis-5</w:t>
      </w:r>
      <w:r>
        <w:t xml:space="preserve"> — Accès </w:t>
      </w:r>
      <w:r>
        <w:rPr>
          <w:b/>
        </w:rPr>
        <w:t>authentifié</w:t>
      </w:r>
      <w:r>
        <w:t xml:space="preserve"> uniquement → </w:t>
      </w:r>
      <w:r>
        <w:rPr>
          <w:rFonts w:ascii="Consolas" w:hAnsi="Consolas"/>
        </w:rPr>
        <w:t>test_data_export_requires_auth</w:t>
      </w:r>
    </w:p>
    <w:p>
      <w:pPr>
        <w:pStyle w:val="ListBullet"/>
      </w:pPr>
      <w:r>
        <w:t xml:space="preserve">[x] </w:t>
      </w:r>
      <w:r>
        <w:rPr>
          <w:b/>
        </w:rPr>
        <w:t>CA-J3bis-6</w:t>
      </w:r>
      <w:r>
        <w:t xml:space="preserve"> — </w:t>
      </w:r>
      <w:r>
        <w:rPr>
          <w:b/>
        </w:rPr>
        <w:t>Pages légales</w:t>
      </w:r>
      <w:r>
        <w:t xml:space="preserve"> en ligne (mentions, CGU, confidentialité, cookies) → </w:t>
      </w:r>
      <w:r>
        <w:rPr>
          <w:rFonts w:ascii="Consolas" w:hAnsi="Consolas"/>
        </w:rPr>
        <w:t>frontend/src/pages/legal/</w:t>
      </w:r>
    </w:p>
    <w:p>
      <w:pPr>
        <w:pStyle w:val="ListBullet"/>
      </w:pPr>
      <w:r>
        <w:t xml:space="preserve">[x] </w:t>
      </w:r>
      <w:r>
        <w:rPr>
          <w:b/>
        </w:rPr>
        <w:t>CA-J3bis-7</w:t>
      </w:r>
      <w:r>
        <w:t xml:space="preserve"> — Tests automatisés (6) en CI → </w:t>
      </w:r>
      <w:r>
        <w:rPr>
          <w:rFonts w:ascii="Consolas" w:hAnsi="Consolas"/>
        </w:rPr>
        <w:t>accounts/tests.py</w:t>
      </w:r>
    </w:p>
    <w:p>
      <w:pPr>
        <w:pStyle w:val="Heading1"/>
      </w:pPr>
      <w:r>
        <w:t>✅ Grille d'auto-évaluation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Critère qualité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Auto-éval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Commentaire / preuve</w:t>
            </w:r>
          </w:p>
        </w:tc>
      </w:tr>
      <w:tr>
        <w:tc>
          <w:tcPr>
            <w:tcW w:type="dxa" w:w="2880"/>
          </w:tcPr>
          <w:p>
            <w:r/>
            <w:r>
              <w:t>Besoin RGPD reformulé en 1 phrase</w:t>
            </w:r>
          </w:p>
        </w:tc>
        <w:tc>
          <w:tcPr>
            <w:tcW w:type="dxa" w:w="2880"/>
          </w:tcPr>
          <w:p>
            <w:r/>
            <w:r>
              <w:t>☑ Oui</w:t>
            </w:r>
          </w:p>
        </w:tc>
        <w:tc>
          <w:tcPr>
            <w:tcW w:type="dxa" w:w="2880"/>
          </w:tcPr>
          <w:p>
            <w:r/>
            <w:r>
              <w:t>§1 (télécharger toutes ses données en 1 clic).</w:t>
            </w:r>
          </w:p>
        </w:tc>
      </w:tr>
      <w:tr>
        <w:tc>
          <w:tcPr>
            <w:tcW w:type="dxa" w:w="2880"/>
          </w:tcPr>
          <w:p>
            <w:r/>
            <w:r>
              <w:t>Droits d'accès + portabilité couverts</w:t>
            </w:r>
          </w:p>
        </w:tc>
        <w:tc>
          <w:tcPr>
            <w:tcW w:type="dxa" w:w="2880"/>
          </w:tcPr>
          <w:p>
            <w:r/>
            <w:r>
              <w:t>☑ Oui</w:t>
            </w:r>
          </w:p>
        </w:tc>
        <w:tc>
          <w:tcPr>
            <w:tcW w:type="dxa" w:w="2880"/>
          </w:tcPr>
          <w:p>
            <w:r/>
            <w:r>
              <w:t>§2 (art. 15 &amp; 20).</w:t>
            </w:r>
          </w:p>
        </w:tc>
      </w:tr>
      <w:tr>
        <w:tc>
          <w:tcPr>
            <w:tcW w:type="dxa" w:w="2880"/>
          </w:tcPr>
          <w:p>
            <w:r/>
            <w:r>
              <w:t>Format lisible par machine (JSON/ZIP)</w:t>
            </w:r>
          </w:p>
        </w:tc>
        <w:tc>
          <w:tcPr>
            <w:tcW w:type="dxa" w:w="2880"/>
          </w:tcPr>
          <w:p>
            <w:r/>
            <w:r>
              <w:t>☑ Oui</w:t>
            </w:r>
          </w:p>
        </w:tc>
        <w:tc>
          <w:tcPr>
            <w:tcW w:type="dxa" w:w="2880"/>
          </w:tcPr>
          <w:p>
            <w:r/>
            <w:r>
              <w:t xml:space="preserve">§3 + </w:t>
            </w:r>
            <w:r>
              <w:rPr>
                <w:rFonts w:ascii="Consolas" w:hAnsi="Consolas"/>
              </w:rPr>
              <w:t>build_export_artifact</w:t>
            </w:r>
            <w:r>
              <w:t>.</w:t>
            </w:r>
          </w:p>
        </w:tc>
      </w:tr>
      <w:tr>
        <w:tc>
          <w:tcPr>
            <w:tcW w:type="dxa" w:w="2880"/>
          </w:tcPr>
          <w:p>
            <w:r/>
            <w:r>
              <w:t>Isolation des données (pas de fuite inter-comptes)</w:t>
            </w:r>
          </w:p>
        </w:tc>
        <w:tc>
          <w:tcPr>
            <w:tcW w:type="dxa" w:w="2880"/>
          </w:tcPr>
          <w:p>
            <w:r/>
            <w:r>
              <w:t>☑ Oui</w:t>
            </w:r>
          </w:p>
        </w:tc>
        <w:tc>
          <w:tcPr>
            <w:tcW w:type="dxa" w:w="2880"/>
          </w:tcPr>
          <w:p>
            <w:r/>
            <w:r>
              <w:t>test dédié.</w:t>
            </w:r>
          </w:p>
        </w:tc>
      </w:tr>
      <w:tr>
        <w:tc>
          <w:tcPr>
            <w:tcW w:type="dxa" w:w="2880"/>
          </w:tcPr>
          <w:p>
            <w:r/>
            <w:r>
              <w:t>Traçabilité / accountability</w:t>
            </w:r>
          </w:p>
        </w:tc>
        <w:tc>
          <w:tcPr>
            <w:tcW w:type="dxa" w:w="2880"/>
          </w:tcPr>
          <w:p>
            <w:r/>
            <w:r>
              <w:t>☑ Oui</w:t>
            </w:r>
          </w:p>
        </w:tc>
        <w:tc>
          <w:tcPr>
            <w:tcW w:type="dxa" w:w="2880"/>
          </w:tcPr>
          <w:p>
            <w:r/>
            <w:r>
              <w:t>DataRequest + AuditEvent + SHA-256.</w:t>
            </w:r>
          </w:p>
        </w:tc>
      </w:tr>
      <w:tr>
        <w:tc>
          <w:tcPr>
            <w:tcW w:type="dxa" w:w="2880"/>
          </w:tcPr>
          <w:p>
            <w:r/>
            <w:r>
              <w:t>Pages légales publiées</w:t>
            </w:r>
          </w:p>
        </w:tc>
        <w:tc>
          <w:tcPr>
            <w:tcW w:type="dxa" w:w="2880"/>
          </w:tcPr>
          <w:p>
            <w:r/>
            <w:r>
              <w:t>☑ Oui</w:t>
            </w:r>
          </w:p>
        </w:tc>
        <w:tc>
          <w:tcPr>
            <w:tcW w:type="dxa" w:w="2880"/>
          </w:tcPr>
          <w:p>
            <w:r/>
            <w:r>
              <w:t>4 pages front.</w:t>
            </w:r>
          </w:p>
        </w:tc>
      </w:tr>
      <w:tr>
        <w:tc>
          <w:tcPr>
            <w:tcW w:type="dxa" w:w="2880"/>
          </w:tcPr>
          <w:p>
            <w:r/>
            <w:r>
              <w:t>Tests automatisés (CI)</w:t>
            </w:r>
          </w:p>
        </w:tc>
        <w:tc>
          <w:tcPr>
            <w:tcW w:type="dxa" w:w="2880"/>
          </w:tcPr>
          <w:p>
            <w:r/>
            <w:r>
              <w:t>☑ Oui</w:t>
            </w:r>
          </w:p>
        </w:tc>
        <w:tc>
          <w:tcPr>
            <w:tcW w:type="dxa" w:w="2880"/>
          </w:tcPr>
          <w:p>
            <w:r/>
            <w:r>
              <w:t xml:space="preserve">6 tests </w:t>
            </w:r>
            <w:r>
              <w:rPr>
                <w:rFonts w:ascii="Consolas" w:hAnsi="Consolas"/>
              </w:rPr>
              <w:t>accounts/tests.py</w:t>
            </w:r>
            <w:r>
              <w:t>.</w:t>
            </w:r>
          </w:p>
        </w:tc>
      </w:tr>
    </w:tbl>
    <w:p/>
    <w:p>
      <w:pPr>
        <w:pStyle w:val="Heading1"/>
      </w:pPr>
      <w:r>
        <w:t>5. Traçabilité</w:t>
      </w:r>
    </w:p>
    <w:p>
      <w:pPr>
        <w:pStyle w:val="ListBullet"/>
      </w:pPr>
      <w:r>
        <w:rPr>
          <w:b/>
        </w:rPr>
        <w:t>Épics</w:t>
      </w:r>
      <w:r>
        <w:t xml:space="preserve"> : E7 (Sécurité &amp; durcissement), E8 (RGPD) — Product Backlog.</w:t>
      </w:r>
    </w:p>
    <w:p>
      <w:pPr>
        <w:pStyle w:val="ListBullet"/>
      </w:pPr>
      <w:r>
        <w:rPr>
          <w:b/>
        </w:rPr>
        <w:t>Code</w:t>
      </w:r>
      <w:r>
        <w:t xml:space="preserve"> : </w:t>
      </w:r>
      <w:r>
        <w:rPr>
          <w:rFonts w:ascii="Consolas" w:hAnsi="Consolas"/>
        </w:rPr>
        <w:t>exporting.py</w:t>
      </w:r>
      <w:r>
        <w:t xml:space="preserve">, </w:t>
      </w:r>
      <w:r>
        <w:rPr>
          <w:rFonts w:ascii="Consolas" w:hAnsi="Consolas"/>
        </w:rPr>
        <w:t>audit.py</w:t>
      </w:r>
      <w:r>
        <w:t xml:space="preserve">, </w:t>
      </w:r>
      <w:r>
        <w:rPr>
          <w:rFonts w:ascii="Consolas" w:hAnsi="Consolas"/>
        </w:rPr>
        <w:t>models.py</w:t>
      </w:r>
      <w:r>
        <w:t xml:space="preserve"> (</w:t>
      </w:r>
      <w:r>
        <w:rPr>
          <w:rFonts w:ascii="Consolas" w:hAnsi="Consolas"/>
        </w:rPr>
        <w:t>DataRequest</w:t>
      </w:r>
      <w:r>
        <w:t xml:space="preserve">, </w:t>
      </w:r>
      <w:r>
        <w:rPr>
          <w:rFonts w:ascii="Consolas" w:hAnsi="Consolas"/>
        </w:rPr>
        <w:t>AuditEvent</w:t>
      </w:r>
      <w:r>
        <w:t xml:space="preserve">), </w:t>
      </w:r>
      <w:r>
        <w:rPr>
          <w:rFonts w:ascii="Consolas" w:hAnsi="Consolas"/>
        </w:rPr>
        <w:t>views.py</w:t>
      </w:r>
      <w:r>
        <w:t xml:space="preserve"> (</w:t>
      </w:r>
      <w:r>
        <w:rPr>
          <w:rFonts w:ascii="Consolas" w:hAnsi="Consolas"/>
        </w:rPr>
        <w:t>DataExportView</w:t>
      </w:r>
      <w:r>
        <w:t>).</w:t>
      </w:r>
    </w:p>
    <w:p>
      <w:pPr>
        <w:pStyle w:val="ListBullet"/>
      </w:pPr>
      <w:r>
        <w:rPr>
          <w:b/>
        </w:rPr>
        <w:t>Migration</w:t>
      </w:r>
      <w:r>
        <w:t xml:space="preserve"> : </w:t>
      </w:r>
      <w:r>
        <w:rPr>
          <w:rFonts w:ascii="Consolas" w:hAnsi="Consolas"/>
        </w:rPr>
        <w:t>accounts/migrations/0002_auditevent_datarequest.py</w:t>
      </w:r>
      <w:r>
        <w:t>.</w:t>
      </w:r>
    </w:p>
    <w:p>
      <w:pPr>
        <w:pStyle w:val="ListBullet"/>
      </w:pPr>
      <w:r>
        <w:rPr>
          <w:b/>
        </w:rPr>
        <w:t>Tests</w:t>
      </w:r>
      <w:r>
        <w:t xml:space="preserve"> : </w:t>
      </w:r>
      <w:r>
        <w:rPr>
          <w:rFonts w:ascii="Consolas" w:hAnsi="Consolas"/>
        </w:rPr>
        <w:t>accounts/tests.py</w:t>
      </w:r>
      <w:r>
        <w:t xml:space="preserve"> (section J3-bis).</w:t>
      </w:r>
    </w:p>
    <w:p>
      <w:pPr>
        <w:pStyle w:val="Heading1"/>
      </w:pPr>
      <w:r>
        <w:t>📚 Références</w:t>
      </w:r>
    </w:p>
    <w:p>
      <w:pPr>
        <w:pStyle w:val="ListBullet"/>
      </w:pPr>
      <w:r>
        <w:rPr>
          <w:b/>
        </w:rPr>
        <w:t>RGPD</w:t>
      </w:r>
      <w:r>
        <w:t xml:space="preserve"> — art. 15 (droit d'accès), art. 17 (effacement), art. 20 (portabilité) — &lt;https://www.cnil.fr/fr/reglement-europeen-protection-donnees&gt;</w:t>
      </w:r>
    </w:p>
    <w:p>
      <w:pPr>
        <w:pStyle w:val="ListBullet"/>
      </w:pPr>
      <w:r>
        <w:rPr>
          <w:b/>
        </w:rPr>
        <w:t>CNIL</w:t>
      </w:r>
      <w:r>
        <w:t xml:space="preserve"> — droit d'accès aux données — &lt;https://www.cnil.fr/fr/le-droit-dacces&gt;</w:t>
      </w:r>
    </w:p>
    <w:p>
      <w:pPr>
        <w:pStyle w:val="ListBullet"/>
      </w:pPr>
      <w:r>
        <w:t>Sources internes : ADR-0001 (LLM local = souveraineté) · Product Backlog (E7/E8).</w:t>
      </w:r>
    </w:p>
    <w:p>
      <w:r>
        <w:rPr>
          <w:i/>
        </w:rPr>
        <w:t xml:space="preserve">Perturbation J3-bis — export RGPD (SAR) de l'équipe 6 : endpoint d'export JSON/ZIP + traçabilité (DataRequest/AuditEvent) + pages légales. Complète la perturbation </w:t>
      </w:r>
      <w:r>
        <w:rPr>
          <w:i/>
        </w:rPr>
        <w:t>J3</w:t>
      </w:r>
      <w:r>
        <w:rPr>
          <w:i/>
        </w:rPr>
        <w:t xml:space="preserve"> (injection de prompt).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