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4"/>
          <w:szCs w:val="34"/>
        </w:rPr>
        <w:t xml:space="preserve">Theodore Garcia</w:t>
      </w:r>
    </w:p>
    <w:p>
      <w:pPr>
        <w:spacing w:after="40"/>
        <w:jc w:val="center"/>
      </w:pPr>
      <w:r>
        <w:rPr>
          <w:sz w:val="18"/>
          <w:szCs w:val="18"/>
        </w:rPr>
        <w:t xml:space="preserve">Las Piñas City, Philippines | garciatheodoreiii715@gmail.com | linkedin.com/in/theodore-garcia-179b24333 | github.com/theoithinkk | theoithinkk.github.io/TheoPortfolio</w:t>
      </w:r>
    </w:p>
    <w:p>
      <w:pPr>
        <w:pBdr>
          <w:bottom w:val="single" w:color="000000" w:sz="6" w:space="1"/>
        </w:pBdr>
        <w:spacing w:before="140" w:after="60"/>
      </w:pPr>
      <w:r>
        <w:rPr>
          <w:b/>
          <w:bCs/>
        </w:rPr>
        <w:t xml:space="preserve">EDUCATION</w:t>
      </w: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De La Salle University</w:t>
      </w:r>
      <w:r>
        <w:tab/>
        <w:t xml:space="preserve">Manila, Philippines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Bachelor of Science in Computer Science, major in Network and Information Security</w:t>
      </w:r>
      <w:r>
        <w:tab/>
        <w:t xml:space="preserve">2024 – 2028 (expected)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Dean's Lister, Terms 1–6 (every term to date)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DOST Merit Scholar, Department of Science and Technology undergraduate scholarship</w:t>
      </w:r>
    </w:p>
    <w:p>
      <w:pPr>
        <w:spacing w:after="40"/>
      </w:pP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Elizabeth Seton School</w:t>
      </w:r>
      <w:r>
        <w:tab/>
        <w:t xml:space="preserve">Las Piñas City, Philippines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Senior High School, Science, Technology, Engineering and Mathematics (STEM) strand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Ranked in the top 20% of the STEM batch; Excellence Award (With Honors) and Annual Excellence Award (With Honors)</w:t>
      </w:r>
    </w:p>
    <w:p>
      <w:pPr>
        <w:spacing w:after="40"/>
      </w:pPr>
    </w:p>
    <w:p>
      <w:pPr>
        <w:pBdr>
          <w:bottom w:val="single" w:color="000000" w:sz="6" w:space="1"/>
        </w:pBdr>
        <w:spacing w:before="140" w:after="60"/>
      </w:pPr>
      <w:r>
        <w:rPr>
          <w:b/>
          <w:bCs/>
        </w:rPr>
        <w:t xml:space="preserve">CERTIFICATIONS</w:t>
      </w:r>
    </w:p>
    <w:p>
      <w:pPr>
        <w:spacing w:after="40"/>
      </w:pPr>
      <w:r>
        <w:rPr>
          <w:b/>
          <w:bCs/>
        </w:rPr>
        <w:t xml:space="preserve">Certified: </w:t>
      </w:r>
      <w:r>
        <w:t xml:space="preserve">ISC2 Certified in Cybersecurity (CC); AWS Certified Cloud Practitioner; AWS Certified AI Practitioner</w:t>
      </w:r>
    </w:p>
    <w:p>
      <w:pPr>
        <w:spacing w:after="40"/>
      </w:pPr>
      <w:r>
        <w:rPr>
          <w:b/>
          <w:bCs/>
        </w:rPr>
        <w:t xml:space="preserve">Skill badges: </w:t>
      </w:r>
      <w:r>
        <w:t xml:space="preserve">IBM SkillsBuild: GRC and Data Privacy; Vulnerability Management; System and Network Security; Cloud Security</w:t>
      </w:r>
    </w:p>
    <w:p>
      <w:pPr>
        <w:spacing w:after="40"/>
      </w:pPr>
      <w:r>
        <w:rPr>
          <w:b/>
          <w:bCs/>
        </w:rPr>
        <w:t xml:space="preserve">Working toward: </w:t>
      </w:r>
      <w:r>
        <w:t xml:space="preserve">CompTIA Security+; AWS Certified Security Specialty; ISO/IEC 27001 Lead Auditor or Lead Implementer (PECB); ISACA CISA or CRISC</w:t>
      </w:r>
    </w:p>
    <w:p>
      <w:pPr>
        <w:pBdr>
          <w:bottom w:val="single" w:color="000000" w:sz="6" w:space="1"/>
        </w:pBdr>
        <w:spacing w:before="140" w:after="60"/>
      </w:pPr>
      <w:r>
        <w:rPr>
          <w:b/>
          <w:bCs/>
        </w:rPr>
        <w:t xml:space="preserve">PROJECTS</w:t>
      </w: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DarkHole V2 Penetration Test</w:t>
      </w:r>
      <w:r>
        <w:tab/>
        <w:t xml:space="preserve">Team project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Vulnerability Assessment and Penetration Testing (Nmap, Nessus, Burp Suite, sqlmap)</w:t>
      </w:r>
      <w:r>
        <w:tab/>
        <w:t xml:space="preserve">Jul – Aug 2026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Performed a black-box internal test of a Linux host and its PHP web application under a defined scope and rules of engagement.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Validated scanner output by hand and chained five weaknesses (exposed .git repository, hardcoded credentials, SQL injection, cron command injection, password reuse with sudo) into full root access.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Co-authored a 39-page findings report: 13 findings (2 Critical, 5 High) with CVSS 3.1 vectors and prioritized remediation.</w:t>
      </w:r>
    </w:p>
    <w:p>
      <w:pPr>
        <w:spacing w:after="40"/>
      </w:pP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AuditBridge, Compliance Mapping and Risk Register Engine</w:t>
      </w:r>
      <w:r>
        <w:tab/>
        <w:t xml:space="preserve">Personal project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Python</w:t>
      </w:r>
      <w:r>
        <w:tab/>
        <w:t xml:space="preserve">In progress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Collects findings from CIS configuration checks, Nmap service scans and read-only web checks in a lab, with severity and evidence.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Maps each finding to ISO/IEC 27001, NIST SP 800-53, PCI DSS, SOC 2, OWASP and CIS controls, with the rationale documented.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Scores risk on an explainable 5×5 likelihood and impact scale; exports risk registers (CSV/XLSX), compliance report cards and an HTML heat map.</w:t>
      </w:r>
    </w:p>
    <w:p>
      <w:pPr>
        <w:spacing w:after="40"/>
      </w:pP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Project Sinag, Filipino Sunshine Powerhouse Realty</w:t>
      </w:r>
      <w:r>
        <w:tab/>
        <w:t xml:space="preserve">Client project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TypeScript, Node.js, Express, MySQL, React, Tailwind CSS</w:t>
      </w:r>
      <w:r>
        <w:tab/>
        <w:t xml:space="preserve">Oct 2026 – present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Building, with a seven-person Scrum team, a web app replacing a brokerage's Excel files: listings, inquiries, viewings, referrals, commissions.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Set up the architecture, MySQL migrations, CI (111 API tests per pull request) and the Scrum process; wrote the log-in, role checks, audit log, event bus and consent modules.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Security: bcrypt; HttpOnly, SameSite, HTTPS-only session cookies with a 30-minute idle timeout and a new ID at log-in; a lockout after 5 failures that treats unknown e-mails the same, so no response reveals which accounts exist.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Data Privacy Act (RA 10173): versioned privacy notices, consent saved in the same transaction as each form, anonymizing withdrawal, and e-mails kept only as SHA-256 fingerprints in events and audit logs.</w:t>
      </w:r>
    </w:p>
    <w:p>
      <w:pPr>
        <w:spacing w:after="40"/>
      </w:pP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Galicious Secret Scanner</w:t>
      </w:r>
      <w:r>
        <w:tab/>
        <w:t xml:space="preserve">Team project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Python, Flask, SARIF 2.1.0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Co-developed a scanner that finds leaked credentials in folders and GitHub repositories, including secrets deleted from the latest commit but still in Git history.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Combines regex signatures with a Shannon-entropy check and an opt-in validity test against AWS STS, GitHub, Stripe and Slack; every output is redacted.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Tested against VulnRepo, a purpose-built repository with history-only secrets and decoys that must not be flagged.</w:t>
      </w:r>
    </w:p>
    <w:p>
      <w:pPr>
        <w:spacing w:after="40"/>
      </w:pP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PinoyFlex</w:t>
      </w:r>
      <w:r>
        <w:tab/>
        <w:t xml:space="preserve">Team project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React, Vite, Node.js, Express, MongoDB Atlas</w:t>
      </w:r>
      <w:r>
        <w:tab/>
        <w:t xml:space="preserve">2026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Full-stack fitness community app built by a five-person team: posts, comments, follows, workout logs, badges, notifications and user reports with admin moderation; deployed on Render.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Security: bcrypt password hashing; httpOnly, SameSite and production-only Secure session cookies; role-based access control with suspended accounts; rate limiting on login and the API; generic login errors that don't reveal which usernames exist.</w:t>
      </w:r>
    </w:p>
    <w:p>
      <w:pPr>
        <w:spacing w:after="40"/>
      </w:pP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Pablings Payroll</w:t>
      </w:r>
      <w:r>
        <w:tab/>
        <w:t xml:space="preserve">Client project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Electron, SheetJS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Built a local-first Windows payroll app for a working barbershop that turns the weekly Google Sheet export into commissions, allowances, late deductions and net pay, then exports payslips in the shop's layout.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Kept employee pay data on the owner's machine, with no cloud service and no database.</w:t>
      </w:r>
    </w:p>
    <w:p>
      <w:pPr>
        <w:spacing w:after="40"/>
      </w:pP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Prompt-a-thon Practice App</w:t>
      </w:r>
      <w:r>
        <w:tab/>
        <w:t xml:space="preserve">Personal project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Node.js, Express, Claude API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Built a starter app for the LSCS Prompt-a-thon that streams Claude API replies to a chat UI with a live-editable system prompt.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Added a mock mode that runs without an API key, and kept keys in an ignored .env file.</w:t>
      </w:r>
    </w:p>
    <w:p>
      <w:pPr>
        <w:spacing w:after="40"/>
      </w:pP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VoIP over SIP/RTP</w:t>
      </w:r>
      <w:r>
        <w:tab/>
        <w:t xml:space="preserve">Course project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Java, UDP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Built a Java voice-call client: SIP/SDP signaling over UDP, RTP audio and RTCP sender reports every 5 seconds.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Supported file, one-way and two-way call modes with clean teardown between calls.</w:t>
      </w:r>
    </w:p>
    <w:p>
      <w:pPr>
        <w:spacing w:after="40"/>
      </w:pP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CatBot</w:t>
      </w:r>
      <w:r>
        <w:tab/>
        <w:t xml:space="preserve">Course project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Python, reinforcement learning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Built a tabular Q-learning agent that catches cats with different movement styles on an 8×8 grid, evaluated over 20 games against 5 graded cats plus unseen behaviors.</w:t>
      </w:r>
    </w:p>
    <w:p>
      <w:pPr>
        <w:spacing w:after="40"/>
      </w:pP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UiPath Automation</w:t>
      </w:r>
      <w:r>
        <w:tab/>
        <w:t xml:space="preserve">Personal project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Robotic process automation, UiPath Studio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Built an automation workflow in UiPath Studio, with a recorded demo of it running.</w:t>
      </w:r>
    </w:p>
    <w:p>
      <w:pPr>
        <w:spacing w:after="40"/>
      </w:pPr>
    </w:p>
    <w:p>
      <w:pPr>
        <w:pBdr>
          <w:bottom w:val="single" w:color="000000" w:sz="6" w:space="1"/>
        </w:pBdr>
        <w:spacing w:before="140" w:after="60"/>
      </w:pPr>
      <w:r>
        <w:rPr>
          <w:b/>
          <w:bCs/>
        </w:rPr>
        <w:t xml:space="preserve">COMPETITIONS AND WRITEUPS</w:t>
      </w: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K17 CTF 2026, UNSW Security Society</w:t>
      </w:r>
      <w:r>
        <w:tab/>
        <w:t xml:space="preserve">Online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Team SlayTheFlagII: 152nd of 682 teams (top 23%)</w:t>
      </w:r>
      <w:r>
        <w:tab/>
        <w:t xml:space="preserve">Sep 2026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Solved cryptography, digital forensics, reverse engineering, web exploitation, OSINT and miscellaneous challenges.</w:t>
      </w:r>
    </w:p>
    <w:p>
      <w:pPr>
        <w:spacing w:after="40"/>
      </w:pP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ISO 2026 CTF: Uncharted Knowledge, Information Security Organization, DLSU</w:t>
      </w:r>
      <w:r>
        <w:tab/>
        <w:t xml:space="preserve">Manila, Philippines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2nd place</w:t>
      </w:r>
      <w:r>
        <w:tab/>
        <w:t xml:space="preserve">2026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Solved cryptography, OS and Linux, digital forensics, web, metadata analysis, OSINT and steganography challenges.</w:t>
      </w:r>
    </w:p>
    <w:p>
      <w:pPr>
        <w:spacing w:after="40"/>
      </w:pP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Packet Capture CTF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16 step-by-step writeups: OSINT, web exploitation, digital and network forensics, steganography (github.com/theoithinkk/CTFwriteups)</w:t>
      </w:r>
    </w:p>
    <w:p>
      <w:pPr>
        <w:spacing w:after="40"/>
      </w:pPr>
    </w:p>
    <w:p>
      <w:pPr>
        <w:pBdr>
          <w:bottom w:val="single" w:color="000000" w:sz="6" w:space="1"/>
        </w:pBdr>
        <w:spacing w:before="140" w:after="60"/>
      </w:pPr>
      <w:r>
        <w:rPr>
          <w:b/>
          <w:bCs/>
        </w:rPr>
        <w:t xml:space="preserve">LEADERSHIP EXPERIENCE</w:t>
      </w: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La Salle Computer Society</w:t>
      </w:r>
      <w:r>
        <w:tab/>
        <w:t xml:space="preserve">Manila, Philippines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Associate Vice President for Academics</w:t>
      </w:r>
      <w:r>
        <w:tab/>
        <w:t xml:space="preserve">Sep 2025 – Sep 2026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Directed pre-event operations for 10+ academic events: technical talks, exam reviews, publications and coding competitions.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Coordinated scheduling, documentation and stakeholder communication with faculty and partner departments.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Junior Officer, Research and Development</w:t>
      </w:r>
      <w:r>
        <w:tab/>
        <w:t xml:space="preserve">Oct 2024 – Sep 2025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Helped plan and run the Research and Development committee's events.</w:t>
      </w:r>
    </w:p>
    <w:p>
      <w:pPr>
        <w:spacing w:after="40"/>
      </w:pP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DLSU SPRINT</w:t>
      </w:r>
      <w:r>
        <w:tab/>
        <w:t xml:space="preserve">Manila, Philippines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Associate Vice President for Human Resource Development</w:t>
      </w:r>
      <w:r>
        <w:tab/>
        <w:t xml:space="preserve">Sep 2025 – Sep 2026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Led member engagement for 30+ members of an invite-only leadership organization through 3+ team-building and development initiatives.</w:t>
      </w:r>
    </w:p>
    <w:p>
      <w:pPr>
        <w:spacing w:after="40"/>
      </w:pP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Computer Studies Government, De La Salle University</w:t>
      </w:r>
      <w:r>
        <w:tab/>
        <w:t xml:space="preserve">Manila, Philippines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Executive for Internal Relations</w:t>
      </w:r>
      <w:r>
        <w:tab/>
        <w:t xml:space="preserve">Sep 2024 – Oct 2025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Point of contact between the student government, 10+ student organizations and the Dean's Office; ran internal communications.</w:t>
      </w:r>
    </w:p>
    <w:p>
      <w:pPr>
        <w:spacing w:after="40"/>
      </w:pPr>
    </w:p>
    <w:p>
      <w:pPr>
        <w:tabs>
          <w:tab w:val="right" w:pos="10512"/>
        </w:tabs>
        <w:spacing w:after="0"/>
      </w:pPr>
      <w:r>
        <w:rPr>
          <w:b/>
          <w:bCs/>
        </w:rPr>
        <w:t xml:space="preserve">DLSU ACM Student Chapter</w:t>
      </w:r>
      <w:r>
        <w:tab/>
        <w:t xml:space="preserve">Manila, Philippines</w:t>
      </w:r>
    </w:p>
    <w:p>
      <w:pPr>
        <w:tabs>
          <w:tab w:val="right" w:pos="10512"/>
        </w:tabs>
        <w:spacing w:after="0"/>
      </w:pPr>
      <w:r>
        <w:rPr>
          <w:i/>
          <w:iCs/>
        </w:rPr>
        <w:t xml:space="preserve">Associate for Activities</w:t>
      </w:r>
      <w:r>
        <w:tab/>
        <w:t xml:space="preserve">Oct 2024 – Oct 2025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Ran the chapter's general assemblies and lab orientations for members.</w:t>
      </w:r>
    </w:p>
    <w:p>
      <w:pPr>
        <w:spacing w:after="40"/>
      </w:pPr>
    </w:p>
    <w:p>
      <w:pPr>
        <w:pBdr>
          <w:bottom w:val="single" w:color="000000" w:sz="6" w:space="1"/>
        </w:pBdr>
        <w:spacing w:before="140" w:after="60"/>
      </w:pPr>
      <w:r>
        <w:rPr>
          <w:b/>
          <w:bCs/>
        </w:rPr>
        <w:t xml:space="preserve">RESEARCH</w:t>
      </w:r>
    </w:p>
    <w:p>
      <w:pPr>
        <w:spacing w:after="40"/>
      </w:pPr>
      <w:r>
        <w:rPr>
          <w:b/>
          <w:bCs/>
        </w:rPr>
        <w:t xml:space="preserve">Senior high research: </w:t>
      </w:r>
      <w:r>
        <w:t xml:space="preserve">Outstanding Research Award, Elizabeth Seton School; oral presenter, PAREF Southridge Research Congress</w:t>
      </w:r>
    </w:p>
    <w:p>
      <w:pPr>
        <w:pBdr>
          <w:bottom w:val="single" w:color="000000" w:sz="6" w:space="1"/>
        </w:pBdr>
        <w:spacing w:before="140" w:after="60"/>
      </w:pPr>
      <w:r>
        <w:rPr>
          <w:b/>
          <w:bCs/>
        </w:rPr>
        <w:t xml:space="preserve">SKILLS</w:t>
      </w:r>
    </w:p>
    <w:p>
      <w:pPr>
        <w:spacing w:after="40"/>
      </w:pPr>
      <w:r>
        <w:rPr>
          <w:b/>
          <w:bCs/>
        </w:rPr>
        <w:t xml:space="preserve">GRC and privacy: </w:t>
      </w:r>
      <w:r>
        <w:t xml:space="preserve">ISO/IEC 27001, NIST SP 800-53, CIS Benchmarks, PCI DSS, SOC 2, RA 10173 (Data Privacy Act), 5×5 risk scoring, risk registers, control mapping, policy and SOP drafting</w:t>
      </w:r>
    </w:p>
    <w:p>
      <w:pPr>
        <w:spacing w:after="40"/>
      </w:pPr>
      <w:r>
        <w:rPr>
          <w:b/>
          <w:bCs/>
        </w:rPr>
        <w:t xml:space="preserve">Cloud and AI: </w:t>
      </w:r>
      <w:r>
        <w:t xml:space="preserve">AWS core services, AWS IAM, shared responsibility model, GitHub Actions, Claude API</w:t>
      </w:r>
    </w:p>
    <w:p>
      <w:pPr>
        <w:spacing w:after="40"/>
      </w:pPr>
      <w:r>
        <w:rPr>
          <w:b/>
          <w:bCs/>
        </w:rPr>
        <w:t xml:space="preserve">Offensive security: </w:t>
      </w:r>
      <w:r>
        <w:t xml:space="preserve">Burp Suite, Nmap (NSE), Nessus, sqlmap, Nikto, Kali Linux, OWASP Top 10, CVSS 3.1</w:t>
      </w:r>
    </w:p>
    <w:p>
      <w:pPr>
        <w:spacing w:after="40"/>
      </w:pPr>
      <w:r>
        <w:rPr>
          <w:b/>
          <w:bCs/>
        </w:rPr>
        <w:t xml:space="preserve">Languages: </w:t>
      </w:r>
      <w:r>
        <w:t xml:space="preserve">Python, JavaScript, Java, C, SQL, PHP, Rust, Bash, HTML, CSS</w:t>
      </w:r>
    </w:p>
    <w:p>
      <w:pPr>
        <w:spacing w:after="40"/>
      </w:pPr>
      <w:r>
        <w:rPr>
          <w:b/>
          <w:bCs/>
        </w:rPr>
        <w:t xml:space="preserve">Tools and frameworks: </w:t>
      </w:r>
      <w:r>
        <w:t xml:space="preserve">Linux, Git, GitHub, Flask, Node.js, Express, Electron, Google Apps Script, Microsoft 365, Excel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Theodore Garcia</dc:title>
  <dc:creator>Theodore Garcia</dc:creator>
  <cp:lastModifiedBy>Un-named</cp:lastModifiedBy>
  <cp:revision>1</cp:revision>
  <dcterms:created xsi:type="dcterms:W3CDTF">2026-10-29T02:15:49.017Z</dcterms:created>
  <dcterms:modified xsi:type="dcterms:W3CDTF">2026-10-29T02:15:49.017Z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