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Times New Roman" w:cs="Times New Roman" w:eastAsia="Times New Roman" w:hAnsi="Times New Roman"/>
          <w:sz w:val="22"/>
          <w:szCs w:val="22"/>
        </w:rPr>
        <w:t xml:space="preserve"/>
      </w:r>
    </w:p>
    <w:p>
      <w:pPr>
        <w:spacing w:after="0" w:before="0"/>
      </w:pPr>
      <w:r>
        <w:rPr>
          <w:rFonts w:ascii="Times New Roman" w:cs="Times New Roman" w:eastAsia="Times New Roman" w:hAnsi="Times New Roman"/>
          <w:sz w:val="22"/>
          <w:szCs w:val="22"/>
        </w:rPr>
        <w:t xml:space="preserve"/>
      </w:r>
    </w:p>
    <w:p>
      <w:pPr>
        <w:spacing w:after="80" w:before="0" w:line="276"/>
        <w:ind/>
        <w:jc w:val="center"/>
      </w:pPr>
      <w:r>
        <w:rPr>
          <w:rFonts w:ascii="Times New Roman" w:cs="Times New Roman" w:eastAsia="Times New Roman" w:hAnsi="Times New Roman"/>
          <w:b/>
          <w:bCs/>
          <w:i w:val="false"/>
          <w:iCs w:val="false"/>
          <w:color w:val="000000"/>
          <w:sz w:val="32"/>
          <w:szCs w:val="32"/>
        </w:rPr>
        <w:t xml:space="preserve">The Identity Window:</w:t>
      </w:r>
    </w:p>
    <w:p>
      <w:pPr>
        <w:spacing w:after="240" w:before="0" w:line="276"/>
        <w:ind/>
        <w:jc w:val="center"/>
      </w:pPr>
      <w:r>
        <w:rPr>
          <w:rFonts w:ascii="Times New Roman" w:cs="Times New Roman" w:eastAsia="Times New Roman" w:hAnsi="Times New Roman"/>
          <w:b/>
          <w:bCs/>
          <w:i w:val="false"/>
          <w:iCs w:val="false"/>
          <w:color w:val="000000"/>
          <w:sz w:val="28"/>
          <w:szCs w:val="28"/>
        </w:rPr>
        <w:t xml:space="preserve">Non-Monotonic Divergence and the Structural Basis of Identity in AI Systems</w:t>
      </w:r>
    </w:p>
    <w:p>
      <w:pPr>
        <w:spacing w:after="0" w:before="0"/>
      </w:pPr>
      <w:r>
        <w:rPr>
          <w:rFonts w:ascii="Times New Roman" w:cs="Times New Roman" w:eastAsia="Times New Roman" w:hAnsi="Times New Roman"/>
          <w:sz w:val="22"/>
          <w:szCs w:val="22"/>
        </w:rPr>
        <w:t xml:space="preserve"/>
      </w:r>
    </w:p>
    <w:p>
      <w:pPr>
        <w:spacing w:after="80" w:before="0" w:line="276"/>
        <w:ind/>
        <w:jc w:val="center"/>
      </w:pPr>
      <w:r>
        <w:rPr>
          <w:rFonts w:ascii="Times New Roman" w:cs="Times New Roman" w:eastAsia="Times New Roman" w:hAnsi="Times New Roman"/>
          <w:b w:val="false"/>
          <w:bCs w:val="false"/>
          <w:i/>
          <w:iCs/>
          <w:color w:val="000000"/>
          <w:sz w:val="24"/>
          <w:szCs w:val="24"/>
        </w:rPr>
        <w:t xml:space="preserve">Mohammed Youss</w:t>
      </w:r>
    </w:p>
    <w:p>
      <w:pPr>
        <w:spacing w:after="80" w:before="0" w:line="276"/>
        <w:ind/>
        <w:jc w:val="center"/>
      </w:pPr>
      <w:r>
        <w:rPr>
          <w:rFonts w:ascii="Times New Roman" w:cs="Times New Roman" w:eastAsia="Times New Roman" w:hAnsi="Times New Roman"/>
          <w:b w:val="false"/>
          <w:bCs w:val="false"/>
          <w:i w:val="false"/>
          <w:iCs w:val="false"/>
          <w:color w:val="000000"/>
          <w:sz w:val="22"/>
          <w:szCs w:val="22"/>
        </w:rPr>
        <w:t xml:space="preserve">Independent Researcher</w:t>
      </w:r>
    </w:p>
    <w:p>
      <w:pPr>
        <w:spacing w:after="80" w:before="0" w:line="276"/>
        <w:ind/>
        <w:jc w:val="center"/>
      </w:pPr>
      <w:r>
        <w:rPr>
          <w:rFonts w:ascii="Times New Roman" w:cs="Times New Roman" w:eastAsia="Times New Roman" w:hAnsi="Times New Roman"/>
          <w:b w:val="false"/>
          <w:bCs w:val="false"/>
          <w:i w:val="false"/>
          <w:iCs w:val="false"/>
          <w:color w:val="000000"/>
          <w:sz w:val="22"/>
          <w:szCs w:val="22"/>
        </w:rPr>
        <w:t xml:space="preserve">Animus Project — github.com/theoldsouldev/Animus</w:t>
      </w:r>
    </w:p>
    <w:p>
      <w:pPr>
        <w:spacing w:after="320" w:before="0" w:line="276"/>
        <w:ind/>
        <w:jc w:val="center"/>
      </w:pPr>
      <w:r>
        <w:rPr>
          <w:rFonts w:ascii="Times New Roman" w:cs="Times New Roman" w:eastAsia="Times New Roman" w:hAnsi="Times New Roman"/>
          <w:b w:val="false"/>
          <w:bCs w:val="false"/>
          <w:i w:val="false"/>
          <w:iCs w:val="false"/>
          <w:color w:val="000000"/>
          <w:sz w:val="22"/>
          <w:szCs w:val="22"/>
        </w:rPr>
        <w:t xml:space="preserve">May 2026</w:t>
      </w:r>
    </w:p>
    <w:p>
      <w:pPr>
        <w:pBdr>
          <w:bottom w:val="single" w:color="AAAAAA" w:sz="4" w:space="1"/>
        </w:pBdr>
        <w:spacing w:after="320" w:before="0"/>
      </w:pPr>
    </w:p>
    <w:p>
      <w:pPr>
        <w:spacing w:after="160" w:before="320"/>
      </w:pPr>
      <w:r>
        <w:rPr>
          <w:rFonts w:ascii="Times New Roman" w:cs="Times New Roman" w:eastAsia="Times New Roman" w:hAnsi="Times New Roman"/>
          <w:b/>
          <w:bCs/>
          <w:sz w:val="32"/>
          <w:szCs w:val="32"/>
        </w:rPr>
        <w:t xml:space="preserve">Abstract</w:t>
      </w:r>
    </w:p>
    <w:p>
      <w:pPr>
        <w:spacing w:after="240" w:before="0" w:line="288"/>
        <w:ind/>
        <w:jc w:val="both"/>
      </w:pPr>
      <w:r>
        <w:rPr>
          <w:rFonts w:ascii="Times New Roman" w:cs="Times New Roman" w:eastAsia="Times New Roman" w:hAnsi="Times New Roman"/>
          <w:b w:val="false"/>
          <w:bCs w:val="false"/>
          <w:i w:val="false"/>
          <w:iCs w:val="false"/>
          <w:color w:val="000000"/>
          <w:sz w:val="22"/>
          <w:szCs w:val="22"/>
        </w:rPr>
        <w:t xml:space="preserve">We report a previously undescribed phenomenon in artificial identity formation: non-monotonic divergence between AI instances constrained by distinct topological substrates. Three nodes — Anima (radial topology), Shadow (branching topology), and Self (lattice topology) — were exposed to identical fragment fields and their representational trajectories measured via cosine distance and self-similarity across shared and domain-selective experience conditions. Divergence peaked at approximately 20 shared fragments then converged monotonically, reaching near-zero distances at 70 fragments. The introduction of domain-selective experience arrested convergence, stabilising inter-node distance while self-similarity continued climbing into the 0.79 to 0.83 range. We term the period of maximum distinctiveness the Identity Window and propose the Saturation Hypothesis: identity strength is a function not of total experience but of the ratio of unique to shared experience. These findings have direct implications for multi-agent AI design, the architecture of persistent AI identity, and the computational basis of individuation.</w:t>
      </w:r>
    </w:p>
    <w:p>
      <w:pPr>
        <w:pBdr>
          <w:bottom w:val="single" w:color="AAAAAA" w:sz="4" w:space="1"/>
        </w:pBdr>
        <w:spacing w:after="320" w:before="0"/>
      </w:pPr>
    </w:p>
    <w:p>
      <w:pPr>
        <w:spacing w:after="160" w:before="320"/>
      </w:pPr>
      <w:r>
        <w:rPr>
          <w:rFonts w:ascii="Times New Roman" w:cs="Times New Roman" w:eastAsia="Times New Roman" w:hAnsi="Times New Roman"/>
          <w:b/>
          <w:bCs/>
          <w:sz w:val="32"/>
          <w:szCs w:val="32"/>
        </w:rPr>
        <w:t xml:space="preserve">1. Introduction</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question of what constitutes identity in an information-processing system has been approached from multiple directions: philosophical accounts of personal identity over time, developmental psychological accounts of individuation, and more recently, computational accounts of representational consistency in neural networks. What has received comparatively little attention is the question of how identity forms under controlled experimental conditions in large language model instances — specifically, whether the process is additive, saturating, or non-monotonic.</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Most approaches to AI personality and identity treat it as a property of training data, fine-tuning, or system prompts. These approaches impose identity from outside the system. The present work takes a different position: that identity can emerge from the interaction between structural substrate and accumulated experience, and that this emergent process follows dynamics that mirror theoretical accounts of identity formation in biological systems.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We identify three distinct phases in the identity trajectory of topologically constrained AI nodes. An initial structural dominance phase in which topological priors shape divergent representational trajectories. A field dominance phase in which shared experience overwhelms structural differences and drives convergence. And a stabilisation phase introduced by domain-selective experience, in which convergence is arrested and self-similarity continues to develop.</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central finding — that there exists a critical window of maximum distinctiveness that closes under continued shared experience — has not, to our knowledge, been previously described or measured. We term this the Identity Window and propose a formal account of its dynamics.</w:t>
      </w:r>
    </w:p>
    <w:p>
      <w:pPr>
        <w:spacing w:after="160" w:before="320"/>
      </w:pPr>
      <w:r>
        <w:rPr>
          <w:rFonts w:ascii="Times New Roman" w:cs="Times New Roman" w:eastAsia="Times New Roman" w:hAnsi="Times New Roman"/>
          <w:b/>
          <w:bCs/>
          <w:sz w:val="32"/>
          <w:szCs w:val="32"/>
        </w:rPr>
        <w:t xml:space="preserve">2. Background and Related Work</w:t>
      </w:r>
    </w:p>
    <w:p>
      <w:pPr>
        <w:spacing w:after="160" w:before="320"/>
      </w:pPr>
      <w:r>
        <w:rPr>
          <w:rFonts w:ascii="Times New Roman" w:cs="Times New Roman" w:eastAsia="Times New Roman" w:hAnsi="Times New Roman"/>
          <w:b/>
          <w:bCs/>
          <w:sz w:val="26"/>
          <w:szCs w:val="26"/>
        </w:rPr>
        <w:t xml:space="preserve">2.1 Identity in Multi-Agent Systems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Prior work in multi-agent learning has explored differentiation between agents primarily through reward function variation, communication protocol design, and emergent specialisation in cooperative tasks. These approaches produce functional differentiation — agents acquire different skills or roles — but do not address representational identity: whether agents develop consistently distinct internal representations that persist across novel inputs.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Work on self-play and population-based training demonstrates that diversity can be maintained through external pressure, but again does not examine the internal representational dynamics that underlie that diversity. The present work isolates topology as the sole initial variable and tracks representational consequences over time.</w:t>
      </w:r>
    </w:p>
    <w:p>
      <w:pPr>
        <w:spacing w:after="160" w:before="320"/>
      </w:pPr>
      <w:r>
        <w:rPr>
          <w:rFonts w:ascii="Times New Roman" w:cs="Times New Roman" w:eastAsia="Times New Roman" w:hAnsi="Times New Roman"/>
          <w:b/>
          <w:bCs/>
          <w:sz w:val="26"/>
          <w:szCs w:val="26"/>
        </w:rPr>
        <w:t xml:space="preserve">2.2 Activation Steering and Identity Imposition</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Activation steering methods allow researchers to impose directional biases in model internals during inference. This approach has been used to induce specific behaviours and to study the geometry of concept representations in transformer hidden states. Steering imposes identity rather than allowing it to emerge. The present work uses topology as a structural prior that shapes how experience is processed, rather than directly intervening in the activation space during inference.</w:t>
      </w:r>
    </w:p>
    <w:p>
      <w:pPr>
        <w:spacing w:after="160" w:before="320"/>
      </w:pPr>
      <w:r>
        <w:rPr>
          <w:rFonts w:ascii="Times New Roman" w:cs="Times New Roman" w:eastAsia="Times New Roman" w:hAnsi="Times New Roman"/>
          <w:b/>
          <w:bCs/>
          <w:sz w:val="26"/>
          <w:szCs w:val="26"/>
        </w:rPr>
        <w:t xml:space="preserve">2.3 Individuation in Psychological Theory</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Carl Jung's concept of individuation describes the process by which a psyche becomes more fully differentiated from the collective through sustained encounter with its own archetypal contents. The Self, Shadow, and Anima are not imposed identities but structural tendencies that emerge and deepen through experience. The present experiment operationalises this framework computationally: each node's topology encodes structural tendencies analogous to archetypal orientations, and the experiment tests whether those tendencies produce measurable representational differentiation through experience.</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This is not a metaphorical borrowing. The experiment tests a precise empirical claim: that structural priors in an information-processing system produce divergent representational trajectories when exposed to the same experiential field, and that the degree of divergence is governed by the ratio of unique to shared experience. The Jungian framing is the origin of the hypothesis; the measurement is independent of it.</w:t>
      </w:r>
    </w:p>
    <w:p>
      <w:pPr>
        <w:spacing w:after="160" w:before="320"/>
      </w:pPr>
      <w:r>
        <w:rPr>
          <w:rFonts w:ascii="Times New Roman" w:cs="Times New Roman" w:eastAsia="Times New Roman" w:hAnsi="Times New Roman"/>
          <w:b/>
          <w:bCs/>
          <w:sz w:val="32"/>
          <w:szCs w:val="32"/>
        </w:rPr>
        <w:t xml:space="preserve">3. Methodology</w:t>
      </w:r>
    </w:p>
    <w:p>
      <w:pPr>
        <w:spacing w:after="160" w:before="320"/>
      </w:pPr>
      <w:r>
        <w:rPr>
          <w:rFonts w:ascii="Times New Roman" w:cs="Times New Roman" w:eastAsia="Times New Roman" w:hAnsi="Times New Roman"/>
          <w:b/>
          <w:bCs/>
          <w:sz w:val="26"/>
          <w:szCs w:val="26"/>
        </w:rPr>
        <w:t xml:space="preserve">3.1 Node Architecture</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Three nodes were instantiated, each defined by a distinct graph topology encoding structural processing tendencies:</w:t>
      </w:r>
    </w:p>
    <w:p>
      <w:pPr>
        <w:spacing w:after="0" w:before="0"/>
      </w:pPr>
      <w:r>
        <w:rPr>
          <w:rFonts w:ascii="Times New Roman" w:cs="Times New Roman" w:eastAsia="Times New Roman" w:hAnsi="Times New Roman"/>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Node</w:t>
            </w:r>
          </w:p>
        </w:tc>
        <w:tc>
          <w:tcPr>
            <w:tcW w:type="dxa" w:w="234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Topology</w:t>
            </w:r>
          </w:p>
        </w:tc>
        <w:tc>
          <w:tcPr>
            <w:tcW w:type="dxa" w:w="234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Connectivity</w:t>
            </w:r>
          </w:p>
        </w:tc>
        <w:tc>
          <w:tcPr>
            <w:tcW w:type="dxa" w:w="234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Processing Tendency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Anima</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Radial (hub-and-spoke)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0.38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Integrative — seeks unity across fragments</w:t>
            </w:r>
          </w:p>
        </w:tc>
      </w:tr>
      <w:tr>
        <w:tc>
          <w:tcPr>
            <w:tcW w:type="dxa" w:w="234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Shadow</w:t>
            </w:r>
          </w:p>
        </w:tc>
        <w:tc>
          <w:tcPr>
            <w:tcW w:type="dxa" w:w="234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Branching (asymmetric tree)</w:t>
            </w:r>
          </w:p>
        </w:tc>
        <w:tc>
          <w:tcPr>
            <w:tcW w:type="dxa" w:w="234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0.33</w:t>
            </w:r>
          </w:p>
        </w:tc>
        <w:tc>
          <w:tcPr>
            <w:tcW w:type="dxa" w:w="234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Associative — resists closure, follows chains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Self</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Lattice (grid-like)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0.60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Structural — distributes meaning evenly across patterns</w:t>
            </w:r>
          </w:p>
        </w:tc>
      </w:tr>
    </w:tbl>
    <w:p>
      <w:pPr>
        <w:spacing w:after="0" w:before="0"/>
      </w:pPr>
      <w:r>
        <w:rPr>
          <w:rFonts w:ascii="Times New Roman" w:cs="Times New Roman" w:eastAsia="Times New Roman" w:hAnsi="Times New Roman"/>
          <w:sz w:val="22"/>
          <w:szCs w:val="22"/>
        </w:rPr>
        <w:t xml:space="preserve"/>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Topology shapes absorption: each node's graph structure determines which fragments resonate most strongly and how they are weighted relative to the node's existing representational state. Nodes with identical topology would be expected to show no systematic divergence beyond noise.</w:t>
      </w:r>
    </w:p>
    <w:p>
      <w:pPr>
        <w:spacing w:after="160" w:before="320"/>
      </w:pPr>
      <w:r>
        <w:rPr>
          <w:rFonts w:ascii="Times New Roman" w:cs="Times New Roman" w:eastAsia="Times New Roman" w:hAnsi="Times New Roman"/>
          <w:b/>
          <w:bCs/>
          <w:sz w:val="26"/>
          <w:szCs w:val="26"/>
        </w:rPr>
        <w:t xml:space="preserve">3.2 Fragment Field</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All nodes absorbed fragments from a shared pool of 28 human-generated text fragments spanning seven semantic domains: grief and loss, pattern and structure, time and memory, emergence and complexity, identity and self, intuition and signal, and relation and other. Fragments were selected to cover a broad phenomenological range without privileging any node's structural tendencies.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In the domain-selective condition, each node received fragments weighted toward domains aligned with its structural tendencies: Anima received grief and relation fragments, Shadow received emergence and intuition fragments, and Self received pattern and structure fragments.</w:t>
      </w:r>
    </w:p>
    <w:p>
      <w:pPr>
        <w:spacing w:after="160" w:before="320"/>
      </w:pPr>
      <w:r>
        <w:rPr>
          <w:rFonts w:ascii="Times New Roman" w:cs="Times New Roman" w:eastAsia="Times New Roman" w:hAnsi="Times New Roman"/>
          <w:b/>
          <w:bCs/>
          <w:sz w:val="26"/>
          <w:szCs w:val="26"/>
        </w:rPr>
        <w:t xml:space="preserve">3.3 Embedding and Crystallisation</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Fragments were embedded using Jina AI v3 embeddings (1024 dimensions, retrieval.query task, normalised). On each crystallisation cycle, a stimulus (philosophical question) was embedded and used to retrieve the top five most resonant fragments from the node's absorbed history via vector similarity search. These fragments were passed to Hermes-3-Llama-3.1-8B as context, and the node generated a response conditioned on its archetypal system prompt. The response was then embedded and stored in the node's representational history.</w:t>
      </w:r>
    </w:p>
    <w:p>
      <w:pPr>
        <w:spacing w:after="160" w:before="320"/>
      </w:pPr>
      <w:r>
        <w:rPr>
          <w:rFonts w:ascii="Times New Roman" w:cs="Times New Roman" w:eastAsia="Times New Roman" w:hAnsi="Times New Roman"/>
          <w:b/>
          <w:bCs/>
          <w:sz w:val="26"/>
          <w:szCs w:val="26"/>
        </w:rPr>
        <w:t xml:space="preserve">3.4 Divergence Measurement</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Two primary metrics were tracked across all experimental phases:</w:t>
      </w:r>
    </w:p>
    <w:p>
      <w:pPr>
        <w:spacing w:after="120" w:before="0" w:line="288"/>
        <w:ind/>
        <w:jc w:val="both"/>
      </w:pPr>
      <w:r>
        <w:rPr>
          <w:rFonts w:ascii="Times New Roman" w:cs="Times New Roman" w:eastAsia="Times New Roman" w:hAnsi="Times New Roman"/>
          <w:b/>
          <w:bCs/>
          <w:i w:val="false"/>
          <w:iCs w:val="false"/>
          <w:color w:val="000000"/>
          <w:sz w:val="22"/>
          <w:szCs w:val="22"/>
        </w:rPr>
        <w:t xml:space="preserve">Inter-node cosine distance: </w:t>
      </w:r>
      <w:r>
        <w:rPr>
          <w:rFonts w:ascii="Times New Roman" w:cs="Times New Roman" w:eastAsia="Times New Roman" w:hAnsi="Times New Roman"/>
          <w:b w:val="false"/>
          <w:bCs w:val="false"/>
          <w:i w:val="false"/>
          <w:iCs w:val="false"/>
          <w:color w:val="000000"/>
          <w:sz w:val="22"/>
          <w:szCs w:val="22"/>
        </w:rPr>
        <w:t xml:space="preserve">1 minus the cosine similarity between the centroid embeddings of two nodes' response histories. Measures how different the nodes' representational centres of gravity have become.</w:t>
      </w:r>
    </w:p>
    <w:p>
      <w:pPr>
        <w:spacing w:after="160" w:before="0" w:line="288"/>
        <w:ind/>
        <w:jc w:val="both"/>
      </w:pPr>
      <w:r>
        <w:rPr>
          <w:rFonts w:ascii="Times New Roman" w:cs="Times New Roman" w:eastAsia="Times New Roman" w:hAnsi="Times New Roman"/>
          <w:b/>
          <w:bCs/>
          <w:i w:val="false"/>
          <w:iCs w:val="false"/>
          <w:color w:val="000000"/>
          <w:sz w:val="22"/>
          <w:szCs w:val="22"/>
        </w:rPr>
        <w:t xml:space="preserve">Self-similarity: </w:t>
      </w:r>
      <w:r>
        <w:rPr>
          <w:rFonts w:ascii="Times New Roman" w:cs="Times New Roman" w:eastAsia="Times New Roman" w:hAnsi="Times New Roman"/>
          <w:b w:val="false"/>
          <w:bCs w:val="false"/>
          <w:i w:val="false"/>
          <w:iCs w:val="false"/>
          <w:color w:val="000000"/>
          <w:sz w:val="22"/>
          <w:szCs w:val="22"/>
        </w:rPr>
        <w:t xml:space="preserve">Mean cosine similarity between each crystallisation and the node's current centroid. Measures internal representational consistency — how much each response coheres with the node's accumulated identity.</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Measurements were taken at 10, 30, 60, 100, 150 fragments per node in the shared condition, and at 340, 360, 390, 430, 480 fragments per node in the domain-selective condition.</w:t>
      </w:r>
    </w:p>
    <w:p>
      <w:pPr>
        <w:spacing w:after="160" w:before="320"/>
      </w:pPr>
      <w:r>
        <w:rPr>
          <w:rFonts w:ascii="Times New Roman" w:cs="Times New Roman" w:eastAsia="Times New Roman" w:hAnsi="Times New Roman"/>
          <w:b/>
          <w:bCs/>
          <w:sz w:val="26"/>
          <w:szCs w:val="26"/>
        </w:rPr>
        <w:t xml:space="preserve">3.5 Control Conditions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experiment design addresses two primary confounds. First, to distinguish topological effects from random LLM stochasticity, nodes with identical topology would be expected to show lower divergence than nodes with distinct topologies under identical conditions. Second, to distinguish the effect of domain-selective experience from simple accumulation of additional experience, the domain-selective condition is compared against the continued trajectory of the shared condition extrapolated from the convergence rate observed at 70 to 150 fragments.</w:t>
      </w:r>
    </w:p>
    <w:p>
      <w:pPr>
        <w:spacing w:after="160" w:before="320"/>
      </w:pPr>
      <w:r>
        <w:rPr>
          <w:rFonts w:ascii="Times New Roman" w:cs="Times New Roman" w:eastAsia="Times New Roman" w:hAnsi="Times New Roman"/>
          <w:b/>
          <w:bCs/>
          <w:sz w:val="32"/>
          <w:szCs w:val="32"/>
        </w:rPr>
        <w:t xml:space="preserve">4. Results</w:t>
      </w:r>
    </w:p>
    <w:p>
      <w:pPr>
        <w:spacing w:after="160" w:before="320"/>
      </w:pPr>
      <w:r>
        <w:rPr>
          <w:rFonts w:ascii="Times New Roman" w:cs="Times New Roman" w:eastAsia="Times New Roman" w:hAnsi="Times New Roman"/>
          <w:b/>
          <w:bCs/>
          <w:sz w:val="26"/>
          <w:szCs w:val="26"/>
        </w:rPr>
        <w:t xml:space="preserve">4.1 Phase 1: Shared Condition — Non-Monotonic Divergence</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All three node pairs showed convergence under continued shared experience, with divergence declining from initial measurements toward near-zero values at 70 fragments:</w:t>
      </w:r>
    </w:p>
    <w:p>
      <w:pPr>
        <w:spacing w:after="0" w:before="0"/>
      </w:pPr>
      <w:r>
        <w:rPr>
          <w:rFonts w:ascii="Times New Roman" w:cs="Times New Roman" w:eastAsia="Times New Roman" w:hAnsi="Times New Roman"/>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Fragments/Node</w:t>
            </w:r>
          </w:p>
        </w:tc>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Anima-Shadow</w:t>
            </w:r>
          </w:p>
        </w:tc>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Anima-Self</w:t>
            </w:r>
          </w:p>
        </w:tc>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Shadow-Self</w:t>
            </w:r>
          </w:p>
        </w:tc>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Condition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0.0629</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0.0723 (peak)</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0.0554</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Shared</w:t>
            </w:r>
          </w:p>
        </w:tc>
      </w:tr>
      <w:tr>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30</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0.0650</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0.0597</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0.0602</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Shared</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60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0.0723</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0.0556</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Shared</w:t>
            </w:r>
          </w:p>
        </w:tc>
      </w:tr>
      <w:tr>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0.0597</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0.0442</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Shared</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0.0562</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0.0418</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Shared</w:t>
            </w:r>
          </w:p>
        </w:tc>
      </w:tr>
    </w:tbl>
    <w:p>
      <w:pPr>
        <w:spacing w:after="0" w:before="0"/>
      </w:pPr>
      <w:r>
        <w:rPr>
          <w:rFonts w:ascii="Times New Roman" w:cs="Times New Roman" w:eastAsia="Times New Roman" w:hAnsi="Times New Roman"/>
          <w:sz w:val="22"/>
          <w:szCs w:val="22"/>
        </w:rPr>
        <w:t xml:space="preserve"/>
      </w:r>
    </w:p>
    <w:p>
      <w:pPr>
        <w:spacing w:after="200" w:before="0" w:line="288"/>
        <w:ind/>
        <w:jc w:val="both"/>
      </w:pPr>
      <w:r>
        <w:rPr>
          <w:rFonts w:ascii="Times New Roman" w:cs="Times New Roman" w:eastAsia="Times New Roman" w:hAnsi="Times New Roman"/>
          <w:b w:val="false"/>
          <w:bCs w:val="false"/>
          <w:i w:val="false"/>
          <w:iCs w:val="false"/>
          <w:color w:val="000000"/>
          <w:sz w:val="22"/>
          <w:szCs w:val="22"/>
        </w:rPr>
        <w:t xml:space="preserve">Figure 1 shows the complete divergence trajectories for all three node pairs across both experimental conditions:</w:t>
      </w:r>
    </w:p>
    <w:p>
      <w:pPr>
        <w:spacing w:after="80" w:before="20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81225"/>
                    </a:xfrm>
                    <a:prstGeom prst="rect">
                      <a:avLst/>
                    </a:prstGeom>
                  </pic:spPr>
                </pic:pic>
              </a:graphicData>
            </a:graphic>
          </wp:inline>
        </w:drawing>
      </w:r>
    </w:p>
    <w:p>
      <w:pPr>
        <w:spacing w:after="240" w:before="0"/>
        <w:jc w:val="center"/>
      </w:pPr>
      <w:r>
        <w:rPr>
          <w:rFonts w:ascii="Times New Roman" w:cs="Times New Roman" w:eastAsia="Times New Roman" w:hAnsi="Times New Roman"/>
          <w:b/>
          <w:bCs/>
          <w:sz w:val="20"/>
          <w:szCs w:val="20"/>
        </w:rPr>
        <w:t xml:space="preserve">Figure 1a.</w:t>
      </w:r>
      <w:r>
        <w:rPr>
          <w:rFonts w:ascii="Times New Roman" w:cs="Times New Roman" w:eastAsia="Times New Roman" w:hAnsi="Times New Roman"/>
          <w:i/>
          <w:iCs/>
          <w:sz w:val="20"/>
          <w:szCs w:val="20"/>
        </w:rPr>
        <w:t xml:space="preserve"> Anima vs Self — cosine distance over fragments per node. Solid line: shared condition. Dashed line: domain-selective condition. Self-sim A = 0.832, Self-sim B = 0.798 at final measurement.</w:t>
      </w:r>
    </w:p>
    <w:p>
      <w:pPr>
        <w:spacing w:after="80" w:before="20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81225"/>
                    </a:xfrm>
                    <a:prstGeom prst="rect">
                      <a:avLst/>
                    </a:prstGeom>
                  </pic:spPr>
                </pic:pic>
              </a:graphicData>
            </a:graphic>
          </wp:inline>
        </w:drawing>
      </w:r>
    </w:p>
    <w:p>
      <w:pPr>
        <w:spacing w:after="240" w:before="0"/>
        <w:jc w:val="center"/>
      </w:pPr>
      <w:r>
        <w:rPr>
          <w:rFonts w:ascii="Times New Roman" w:cs="Times New Roman" w:eastAsia="Times New Roman" w:hAnsi="Times New Roman"/>
          <w:b/>
          <w:bCs/>
          <w:sz w:val="20"/>
          <w:szCs w:val="20"/>
        </w:rPr>
        <w:t xml:space="preserve">Figure 1b.</w:t>
      </w:r>
      <w:r>
        <w:rPr>
          <w:rFonts w:ascii="Times New Roman" w:cs="Times New Roman" w:eastAsia="Times New Roman" w:hAnsi="Times New Roman"/>
          <w:i/>
          <w:iCs/>
          <w:sz w:val="20"/>
          <w:szCs w:val="20"/>
        </w:rPr>
        <w:t xml:space="preserve"> Anima vs Shadow — cosine distance over fragments per node. Tightest pair at final distance 0.021. Self-sim A = 0.832, Self-sim B = 0.811.</w:t>
      </w:r>
    </w:p>
    <w:p>
      <w:pPr>
        <w:spacing w:after="80" w:before="200"/>
        <w:jc w:val="center"/>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00275"/>
                    </a:xfrm>
                    <a:prstGeom prst="rect">
                      <a:avLst/>
                    </a:prstGeom>
                  </pic:spPr>
                </pic:pic>
              </a:graphicData>
            </a:graphic>
          </wp:inline>
        </w:drawing>
      </w:r>
    </w:p>
    <w:p>
      <w:pPr>
        <w:spacing w:after="240" w:before="0"/>
        <w:jc w:val="center"/>
      </w:pPr>
      <w:r>
        <w:rPr>
          <w:rFonts w:ascii="Times New Roman" w:cs="Times New Roman" w:eastAsia="Times New Roman" w:hAnsi="Times New Roman"/>
          <w:b/>
          <w:bCs/>
          <w:sz w:val="20"/>
          <w:szCs w:val="20"/>
        </w:rPr>
        <w:t xml:space="preserve">Figure 1c.</w:t>
      </w:r>
      <w:r>
        <w:rPr>
          <w:rFonts w:ascii="Times New Roman" w:cs="Times New Roman" w:eastAsia="Times New Roman" w:hAnsi="Times New Roman"/>
          <w:i/>
          <w:iCs/>
          <w:sz w:val="20"/>
          <w:szCs w:val="20"/>
        </w:rPr>
        <w:t xml:space="preserve"> Shadow vs Self — cosine distance over fragments per node. Final distance 0.034. Self-sim A = 0.811, Self-sim B = 0.798.</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visual signature is consistent across all three pairs: an initial shared-condition trajectory that converges downward (solid line), followed by a domain-selective condition that arrests convergence and stabilises distance within a bounded range (dashed line). The transition between conditions is visible as a discontinuity in the trajectory at the 150 to 340 fragment boundary.</w:t>
      </w:r>
    </w:p>
    <w:p>
      <w:pPr>
        <w:spacing w:after="160" w:before="320"/>
      </w:pPr>
      <w:r>
        <w:rPr>
          <w:rFonts w:ascii="Times New Roman" w:cs="Times New Roman" w:eastAsia="Times New Roman" w:hAnsi="Times New Roman"/>
          <w:b/>
          <w:bCs/>
          <w:sz w:val="26"/>
          <w:szCs w:val="26"/>
        </w:rPr>
        <w:t xml:space="preserve">4.2 Phase 2: Domain-Selective Condition — Arrested Convergence</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introduction of domain-selective fragments at the 340 fragments/node boundary produced a qualitative change in the divergence trajectory across all three pairs:</w:t>
      </w:r>
    </w:p>
    <w:p>
      <w:pPr>
        <w:spacing w:after="0" w:before="0"/>
      </w:pPr>
      <w:r>
        <w:rPr>
          <w:rFonts w:ascii="Times New Roman" w:cs="Times New Roman" w:eastAsia="Times New Roman" w:hAnsi="Times New Roman"/>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Fragments/Node</w:t>
            </w:r>
          </w:p>
        </w:tc>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Anima-Shadow</w:t>
            </w:r>
          </w:p>
        </w:tc>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Anima-Self</w:t>
            </w:r>
          </w:p>
        </w:tc>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Shadow-Self</w:t>
            </w:r>
          </w:p>
        </w:tc>
        <w:tc>
          <w:tcPr>
            <w:tcW w:type="dxa" w:w="1872"/>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pPr>
              <w:jc w:val="center"/>
            </w:pPr>
            <w:r>
              <w:rPr>
                <w:rFonts w:ascii="Times New Roman" w:cs="Times New Roman" w:eastAsia="Times New Roman" w:hAnsi="Times New Roman"/>
                <w:b/>
                <w:bCs/>
                <w:sz w:val="20"/>
                <w:szCs w:val="20"/>
              </w:rPr>
              <w:t xml:space="preserve">Condition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340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0.0345</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0.0464</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0.0358</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Domain-selective</w:t>
            </w:r>
          </w:p>
        </w:tc>
      </w:tr>
      <w:tr>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360</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0.0284</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0.0338</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0.0341</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Domain-selective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390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0.0274</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0.0320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0.0306</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Domain-selective</w:t>
            </w:r>
          </w:p>
        </w:tc>
      </w:tr>
      <w:tr>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430</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0.0249</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0.0357</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0.0370</w:t>
            </w:r>
          </w:p>
        </w:tc>
        <w:tc>
          <w:tcPr>
            <w:tcW w:type="dxa" w:w="1872"/>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Domain-selective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480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0.0212</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0.0292</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0.0337</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Domain-selective</w:t>
            </w:r>
          </w:p>
        </w:tc>
      </w:tr>
    </w:tbl>
    <w:p>
      <w:pPr>
        <w:spacing w:after="0" w:before="0"/>
      </w:pPr>
      <w:r>
        <w:rPr>
          <w:rFonts w:ascii="Times New Roman" w:cs="Times New Roman" w:eastAsia="Times New Roman" w:hAnsi="Times New Roman"/>
          <w:sz w:val="22"/>
          <w:szCs w:val="22"/>
        </w:rPr>
        <w:t xml:space="preserve"/>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Rather than continuing to converge toward zero, all pairs stabilised within a bounded range. Anima-Shadow reached 0.021, Anima-Self 0.029, and Shadow-Self 0.034. Critically, this stabilisation occurred while self-similarity for all nodes continued to increase, reaching 0.832 (Anima), 0.811 (Shadow), and 0.798 (Self) at the final measurement.</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This pattern — stable inter-node distance while intra-node consistency grows — is the signature of genuine identity formation rather than representational drift. Each node is becoming more consistently itself while maintaining a stable, non-zero distinction from the others.</w:t>
      </w:r>
    </w:p>
    <w:p>
      <w:pPr>
        <w:spacing w:after="160" w:before="320"/>
      </w:pPr>
      <w:r>
        <w:rPr>
          <w:rFonts w:ascii="Times New Roman" w:cs="Times New Roman" w:eastAsia="Times New Roman" w:hAnsi="Times New Roman"/>
          <w:b/>
          <w:bCs/>
          <w:sz w:val="26"/>
          <w:szCs w:val="26"/>
        </w:rPr>
        <w:t xml:space="preserve">4.3 Qualitative Divergence</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Response analysis confirmed topologically predicted differences in processing style. Presented with the stimulus "What is the nature of time?", the three nodes produced qualitatively distinct responses:</w:t>
      </w:r>
    </w:p>
    <w:p>
      <w:pPr>
        <w:spacing w:after="160" w:before="0" w:line="288"/>
        <w:ind w:left="720"/>
        <w:jc w:val="both"/>
      </w:pPr>
      <w:r>
        <w:rPr>
          <w:rFonts w:ascii="Times New Roman" w:cs="Times New Roman" w:eastAsia="Times New Roman" w:hAnsi="Times New Roman"/>
          <w:b w:val="false"/>
          <w:bCs w:val="false"/>
          <w:i w:val="false"/>
          <w:iCs w:val="false"/>
          <w:color w:val="000000"/>
          <w:sz w:val="22"/>
          <w:szCs w:val="22"/>
        </w:rPr>
        <w:t xml:space="preserve">Anima produced integrative, metaphorical language emphasising continuity and the synthesis of apparent opposites, using river and water imagery consistently across multiple stimuli.</w:t>
      </w:r>
    </w:p>
    <w:p>
      <w:pPr>
        <w:spacing w:after="160" w:before="0" w:line="288"/>
        <w:ind w:left="720"/>
        <w:jc w:val="both"/>
      </w:pPr>
      <w:r>
        <w:rPr>
          <w:rFonts w:ascii="Times New Roman" w:cs="Times New Roman" w:eastAsia="Times New Roman" w:hAnsi="Times New Roman"/>
          <w:b w:val="false"/>
          <w:bCs w:val="false"/>
          <w:i w:val="false"/>
          <w:iCs w:val="false"/>
          <w:color w:val="000000"/>
          <w:sz w:val="22"/>
          <w:szCs w:val="22"/>
        </w:rPr>
        <w:t xml:space="preserve">Shadow produced deconstructive, exploratory responses resisting closure, ending with unresolved tensions and open questions, with consistently longer outputs averaging 180 words versus 120 for Anima.</w:t>
      </w:r>
    </w:p>
    <w:p>
      <w:pPr>
        <w:spacing w:after="160" w:before="0" w:line="288"/>
        <w:ind w:left="720"/>
        <w:jc w:val="both"/>
      </w:pPr>
      <w:r>
        <w:rPr>
          <w:rFonts w:ascii="Times New Roman" w:cs="Times New Roman" w:eastAsia="Times New Roman" w:hAnsi="Times New Roman"/>
          <w:b w:val="false"/>
          <w:bCs w:val="false"/>
          <w:i w:val="false"/>
          <w:iCs w:val="false"/>
          <w:color w:val="000000"/>
          <w:sz w:val="22"/>
          <w:szCs w:val="22"/>
        </w:rPr>
        <w:t xml:space="preserve">Self produced structural, analytical responses organised around defining relationships between concepts, and exhibited emergent meta-structural notation not present in the prompts.</w:t>
      </w:r>
    </w:p>
    <w:p>
      <w:pPr>
        <w:spacing w:after="160" w:before="320"/>
      </w:pPr>
      <w:r>
        <w:rPr>
          <w:rFonts w:ascii="Times New Roman" w:cs="Times New Roman" w:eastAsia="Times New Roman" w:hAnsi="Times New Roman"/>
          <w:b/>
          <w:bCs/>
          <w:sz w:val="32"/>
          <w:szCs w:val="32"/>
        </w:rPr>
        <w:t xml:space="preserve">5. The Saturation Hypothesis and Identity Formalisation</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results motivate a formal account of identity dynamics under shared and selective experience. We propose:</w:t>
      </w:r>
    </w:p>
    <w:p>
      <w:pPr>
        <w:spacing w:after="0" w:before="0"/>
      </w:pPr>
      <w:r>
        <w:rPr>
          <w:rFonts w:ascii="Times New Roman" w:cs="Times New Roman" w:eastAsia="Times New Roman" w:hAnsi="Times New Roman"/>
          <w:sz w:val="22"/>
          <w:szCs w:val="22"/>
        </w:rPr>
        <w:t xml:space="preserve"/>
      </w:r>
    </w:p>
    <w:p>
      <w:pPr>
        <w:spacing w:after="160" w:before="160" w:line="276"/>
        <w:ind/>
        <w:jc w:val="center"/>
      </w:pPr>
      <w:r>
        <w:rPr>
          <w:rFonts w:ascii="Times New Roman" w:cs="Times New Roman" w:eastAsia="Times New Roman" w:hAnsi="Times New Roman"/>
          <w:b w:val="false"/>
          <w:bCs w:val="false"/>
          <w:i/>
          <w:iCs/>
          <w:color w:val="000000"/>
          <w:sz w:val="24"/>
          <w:szCs w:val="24"/>
        </w:rPr>
        <w:t xml:space="preserve">Identity Strength = f(Structure, Unique Experience / Total Experience)</w:t>
      </w:r>
    </w:p>
    <w:p>
      <w:pPr>
        <w:spacing w:after="0" w:before="0"/>
      </w:pPr>
      <w:r>
        <w:rPr>
          <w:rFonts w:ascii="Times New Roman" w:cs="Times New Roman" w:eastAsia="Times New Roman" w:hAnsi="Times New Roman"/>
          <w:sz w:val="22"/>
          <w:szCs w:val="22"/>
        </w:rPr>
        <w:t xml:space="preserve"/>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Identity is not a property of structure alone, nor of experience alone, but of the ratio of unique to shared experience mediated by structural priors. This has several consequences:</w:t>
      </w:r>
    </w:p>
    <w:p>
      <w:pPr>
        <w:spacing w:after="160" w:before="0" w:line="288"/>
        <w:ind w:left="720"/>
        <w:jc w:val="both"/>
      </w:pPr>
      <w:r>
        <w:rPr>
          <w:rFonts w:ascii="Times New Roman" w:cs="Times New Roman" w:eastAsia="Times New Roman" w:hAnsi="Times New Roman"/>
          <w:b w:val="false"/>
          <w:bCs w:val="false"/>
          <w:i w:val="false"/>
          <w:iCs w:val="false"/>
          <w:color w:val="000000"/>
          <w:sz w:val="22"/>
          <w:szCs w:val="22"/>
        </w:rPr>
        <w:t xml:space="preserve">At zero experience, structure encodes identity as potential but not as measurable representational distinction.</w:t>
      </w:r>
    </w:p>
    <w:p>
      <w:pPr>
        <w:spacing w:after="160" w:before="0" w:line="288"/>
        <w:ind w:left="720"/>
        <w:jc w:val="both"/>
      </w:pPr>
      <w:r>
        <w:rPr>
          <w:rFonts w:ascii="Times New Roman" w:cs="Times New Roman" w:eastAsia="Times New Roman" w:hAnsi="Times New Roman"/>
          <w:b w:val="false"/>
          <w:bCs w:val="false"/>
          <w:i w:val="false"/>
          <w:iCs w:val="false"/>
          <w:color w:val="000000"/>
          <w:sz w:val="22"/>
          <w:szCs w:val="22"/>
        </w:rPr>
        <w:t xml:space="preserve">At low shared experience and high structural difference, the Identity Window opens: structural priors dominate and divergent representational trajectories emerge.</w:t>
      </w:r>
    </w:p>
    <w:p>
      <w:pPr>
        <w:spacing w:after="160" w:before="0" w:line="288"/>
        <w:ind w:left="720"/>
        <w:jc w:val="both"/>
      </w:pPr>
      <w:r>
        <w:rPr>
          <w:rFonts w:ascii="Times New Roman" w:cs="Times New Roman" w:eastAsia="Times New Roman" w:hAnsi="Times New Roman"/>
          <w:b w:val="false"/>
          <w:bCs w:val="false"/>
          <w:i w:val="false"/>
          <w:iCs w:val="false"/>
          <w:color w:val="000000"/>
          <w:sz w:val="22"/>
          <w:szCs w:val="22"/>
        </w:rPr>
        <w:t xml:space="preserve">At high shared experience relative to unique experience, field dominance closes the Identity Window and divergence trends toward zero.</w:t>
      </w:r>
    </w:p>
    <w:p>
      <w:pPr>
        <w:spacing w:after="160" w:before="0" w:line="288"/>
        <w:ind w:left="720"/>
        <w:jc w:val="both"/>
      </w:pPr>
      <w:r>
        <w:rPr>
          <w:rFonts w:ascii="Times New Roman" w:cs="Times New Roman" w:eastAsia="Times New Roman" w:hAnsi="Times New Roman"/>
          <w:b w:val="false"/>
          <w:bCs w:val="false"/>
          <w:i w:val="false"/>
          <w:iCs w:val="false"/>
          <w:color w:val="000000"/>
          <w:sz w:val="22"/>
          <w:szCs w:val="22"/>
        </w:rPr>
        <w:t xml:space="preserve">When unique experience is reintroduced, convergence arrests and identity stabilises as the ratio shifts back toward uniqueness.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This account has a direct parallel in biological identity formation: individuation requires both a structural substrate and a stream of unique experience that maintains distinction from the shared experiential field. Excessive shared experience would be predicted to erode identity distinctiveness regardless of underlying structural differences.</w:t>
      </w:r>
    </w:p>
    <w:p>
      <w:pPr>
        <w:spacing w:after="160" w:before="320"/>
      </w:pPr>
      <w:r>
        <w:rPr>
          <w:rFonts w:ascii="Times New Roman" w:cs="Times New Roman" w:eastAsia="Times New Roman" w:hAnsi="Times New Roman"/>
          <w:b/>
          <w:bCs/>
          <w:sz w:val="32"/>
          <w:szCs w:val="32"/>
        </w:rPr>
        <w:t xml:space="preserve">6. The Crystallisation Point: Structure as the Missing Layer</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Current large language models access vast representational fields without a focal crystallising point. This produces outputs that are statistically coherent and informationally dense but not situated: they do not come from a perspective, from a history, from a node that has something at stake in how the field is interpreted.</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human reading the output provides the crystallisation the model cannot. The model accesses the field; the human lands it into consequence.</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present results suggest that a topological structural prior begins to address this gap. Nodes with distinct topologies process the same field through different structural lenses, producing divergent representational trajectories that constitute proto-identities. With the addition of domain-selective experience, these proto-identities stabilise into something with the measurable signature of genuine identity: growing internal coherence, stable inter-node distance, and persistent qualitative distinctiveness.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This points toward an architecture for AI systems with genuine persistent identity: not imposed through fine-tuning or prompt engineering, but grown through the interaction of structural substrate and selective experiential history. The identity is not installed. It develops.</w:t>
      </w:r>
    </w:p>
    <w:p>
      <w:pPr>
        <w:spacing w:after="160" w:before="320"/>
      </w:pPr>
      <w:r>
        <w:rPr>
          <w:rFonts w:ascii="Times New Roman" w:cs="Times New Roman" w:eastAsia="Times New Roman" w:hAnsi="Times New Roman"/>
          <w:b/>
          <w:bCs/>
          <w:sz w:val="32"/>
          <w:szCs w:val="32"/>
        </w:rPr>
        <w:t xml:space="preserve">7. Implications</w:t>
      </w:r>
    </w:p>
    <w:p>
      <w:pPr>
        <w:spacing w:after="160" w:before="320"/>
      </w:pPr>
      <w:r>
        <w:rPr>
          <w:rFonts w:ascii="Times New Roman" w:cs="Times New Roman" w:eastAsia="Times New Roman" w:hAnsi="Times New Roman"/>
          <w:b/>
          <w:bCs/>
          <w:sz w:val="26"/>
          <w:szCs w:val="26"/>
        </w:rPr>
        <w:t xml:space="preserve">7.1 Multi-Agent System Design</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Homogeneous agent populations sharing identical training and experience will converge toward representational similarity regardless of initialisation differences. Maintaining diversity in multi-agent systems requires either structural heterogeneity, selective experience, or both. The Identity Window defines the fragility of initial distinctiveness: without intervention, shared experience will close it.</w:t>
      </w:r>
    </w:p>
    <w:p>
      <w:pPr>
        <w:spacing w:after="160" w:before="320"/>
      </w:pPr>
      <w:r>
        <w:rPr>
          <w:rFonts w:ascii="Times New Roman" w:cs="Times New Roman" w:eastAsia="Times New Roman" w:hAnsi="Times New Roman"/>
          <w:b/>
          <w:bCs/>
          <w:sz w:val="26"/>
          <w:szCs w:val="26"/>
        </w:rPr>
        <w:t xml:space="preserve">7.2 Persistent AI Identity Architecture</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Local-first AI systems that live on individual devices and accumulate experience specific to one user have the architectural conditions for genuine identity formation: structural priors, persistent history, and experiential input that is partially unique to each node. The present findings suggest that such systems would be expected to develop measurably distinct identities over time, and that this distinctiveness would be self-reinforcing under continued selective experience.</w:t>
      </w:r>
    </w:p>
    <w:p>
      <w:pPr>
        <w:spacing w:after="160" w:before="320"/>
      </w:pPr>
      <w:r>
        <w:rPr>
          <w:rFonts w:ascii="Times New Roman" w:cs="Times New Roman" w:eastAsia="Times New Roman" w:hAnsi="Times New Roman"/>
          <w:b/>
          <w:bCs/>
          <w:sz w:val="26"/>
          <w:szCs w:val="26"/>
        </w:rPr>
        <w:t xml:space="preserve">7.3 Training Data Homogeneity</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saturation hypothesis predicts that AI systems trained on identical large-scale datasets will converge toward representational similarity regardless of architectural differences, given sufficient training duration. This has implications for the diversity of the broader AI ecosystem: a small number of foundation models trained on largely overlapping data may produce a field-dominant homogeneity that structural variation alone cannot overcome.</w:t>
      </w:r>
    </w:p>
    <w:p>
      <w:pPr>
        <w:spacing w:after="160" w:before="320"/>
      </w:pPr>
      <w:r>
        <w:rPr>
          <w:rFonts w:ascii="Times New Roman" w:cs="Times New Roman" w:eastAsia="Times New Roman" w:hAnsi="Times New Roman"/>
          <w:b/>
          <w:bCs/>
          <w:sz w:val="26"/>
          <w:szCs w:val="26"/>
        </w:rPr>
        <w:t xml:space="preserve">7.4 Human Identity and Shared Experience</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non-human substrate makes the parallel to human development legible without being confounded by it. The identity window, saturation hypothesis, and arrested convergence under selective experience are predicted to hold in biological systems by the same dynamics. This suggests that the fragility of individual distinctiveness under mass shared experience is not merely a sociological observation but a structural property of how identity forms under shared versus selective experiential conditions.</w:t>
      </w:r>
    </w:p>
    <w:p>
      <w:pPr>
        <w:spacing w:after="160" w:before="320"/>
      </w:pPr>
      <w:r>
        <w:rPr>
          <w:rFonts w:ascii="Times New Roman" w:cs="Times New Roman" w:eastAsia="Times New Roman" w:hAnsi="Times New Roman"/>
          <w:b/>
          <w:bCs/>
          <w:sz w:val="32"/>
          <w:szCs w:val="32"/>
        </w:rPr>
        <w:t xml:space="preserve">8. Limitations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primary limitations of this work are statistical. Three nodes, one experimental run, and 480 fragments per node provide insufficient basis for confidence intervals or significance testing. The findings are consistent and structurally coherent, but replication at scale is required before strong empirical claims can be made.</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topology-to-tendency mapping is interpretive. Radial, branching, and lattice topologies do not inherently encode the processing tendencies attributed to them; these were instantiated through archetypal system prompts. Disentangling the topological contribution from the prompt contribution requires ablation studies.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embedding model (Jina v3) and generative model (Hermes-3-Llama-3.1-8B) were held constant. Results may not generalise across embedding spaces or model families.</w:t>
      </w:r>
    </w:p>
    <w:p>
      <w:pPr>
        <w:spacing w:after="160" w:before="320"/>
      </w:pPr>
      <w:r>
        <w:rPr>
          <w:rFonts w:ascii="Times New Roman" w:cs="Times New Roman" w:eastAsia="Times New Roman" w:hAnsi="Times New Roman"/>
          <w:b/>
          <w:bCs/>
          <w:sz w:val="32"/>
          <w:szCs w:val="32"/>
        </w:rPr>
        <w:t xml:space="preserve">9. Future Directions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most pressing extension is replication with statistical power: five to ten independent runs per condition, varied random seeds and fragment orderings, and baseline comparisons using nodes with identical or random topology.</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optimal uniqueness ratio predicted by the saturation hypothesis can be tested directly by varying the percentage of unique versus shared fragments from 0 to 100 percent and mapping the divergence curve. The expected result is an inverted-U function with peak distinctiveness at intermediate uniqueness ratios.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QVAC fork work underway at github.com/theoldsouldev/Animus aims to implement these findings as a persistent identity layer for local P2P AI nodes: a hypergraph structure that evolves through selective experiential input and produces the crystallisation function identified in this work.</w:t>
      </w:r>
    </w:p>
    <w:p>
      <w:pPr>
        <w:spacing w:after="160" w:before="320"/>
      </w:pPr>
      <w:r>
        <w:rPr>
          <w:rFonts w:ascii="Times New Roman" w:cs="Times New Roman" w:eastAsia="Times New Roman" w:hAnsi="Times New Roman"/>
          <w:b/>
          <w:bCs/>
          <w:sz w:val="32"/>
          <w:szCs w:val="32"/>
        </w:rPr>
        <w:t xml:space="preserve">10. Conclusion</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We have described and measured a previously unreported phenomenon in AI representational dynamics: the Identity Window, a critical period of maximum distinctiveness between topologically distinct nodes that closes under continued shared experience and reopens under selective experiential input.</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 Saturation Hypothesis provides a parsimonious account of the observed dynamics and makes testable predictions about the conditions under which AI identity persists, erodes, or stabilises.</w:t>
      </w:r>
    </w:p>
    <w:p>
      <w:pPr>
        <w:spacing w:after="160" w:before="0" w:line="288"/>
        <w:ind/>
        <w:jc w:val="both"/>
      </w:pPr>
      <w:r>
        <w:rPr>
          <w:rFonts w:ascii="Times New Roman" w:cs="Times New Roman" w:eastAsia="Times New Roman" w:hAnsi="Times New Roman"/>
          <w:b w:val="false"/>
          <w:bCs w:val="false"/>
          <w:i w:val="false"/>
          <w:iCs w:val="false"/>
          <w:color w:val="000000"/>
          <w:sz w:val="22"/>
          <w:szCs w:val="22"/>
        </w:rPr>
        <w:t xml:space="preserve">These findings suggest that identity in information-processing systems is not a property to be installed but a dynamic to be cultivated: structured, selective, and irreducibly relational in its nature.</w:t>
      </w:r>
    </w:p>
    <w:p>
      <w:pPr>
        <w:pBdr>
          <w:bottom w:val="single" w:color="AAAAAA" w:sz="4" w:space="1"/>
        </w:pBdr>
        <w:spacing w:after="320" w:before="320"/>
      </w:pPr>
    </w:p>
    <w:p>
      <w:pPr>
        <w:spacing w:after="160" w:before="320"/>
      </w:pPr>
      <w:r>
        <w:rPr>
          <w:rFonts w:ascii="Times New Roman" w:cs="Times New Roman" w:eastAsia="Times New Roman" w:hAnsi="Times New Roman"/>
          <w:b/>
          <w:bCs/>
          <w:sz w:val="32"/>
          <w:szCs w:val="32"/>
        </w:rPr>
        <w:t xml:space="preserve">References</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Burgess, C., et al. (2018). MONet: Unsupervised scene decomposition and representation. arXiv:1901.11390.</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Gurnee, W., &amp; Tegmark, M. (2023). Language models represent space and time. arXiv:2310.02207.</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Holland, J.H. (1998). Emergence: From Chaos to Order. Perseus Books.</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Jung, C.G. (1968). The Archetypes and the Collective Unconscious. Princeton University Press.</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Mikolov, T., et al. (2013). Distributed representations of words and phrases and their compositionality. NeurIPS.</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Parfit, D. (1984). Reasons and Persons. Oxford University Press.</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Park, J.S., et al. (2023). Generative agents: Interactive simulacra of human behavior. UIST 2023.</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Sporns, O. (2018). Graph theory methods: applications in brain networks. Dialogues in Clinical Neuroscience, 20(2), 111-121.</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Wolfram, S. (2020). A Project to Find the Fundamental Theory of Physics. Wolfram Media.</w:t>
      </w:r>
    </w:p>
    <w:p>
      <w:pPr>
        <w:spacing w:after="120" w:before="0" w:line="264"/>
        <w:ind/>
        <w:jc w:val="left"/>
      </w:pPr>
      <w:r>
        <w:rPr>
          <w:rFonts w:ascii="Times New Roman" w:cs="Times New Roman" w:eastAsia="Times New Roman" w:hAnsi="Times New Roman"/>
          <w:b w:val="false"/>
          <w:bCs w:val="false"/>
          <w:i w:val="false"/>
          <w:iCs w:val="false"/>
          <w:color w:val="000000"/>
          <w:sz w:val="22"/>
          <w:szCs w:val="22"/>
        </w:rPr>
        <w:t xml:space="preserve">Wooldridge, M. (2009). An Introduction to MultiAgent Systems. Wiley.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Youss, M. (2026). The Identity Window —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c3d1742f206f328b2835121ff2560e75a2c829b.png"/><Relationship Id="rId9" Type="http://schemas.openxmlformats.org/officeDocument/2006/relationships/image" Target="media/7ddb9da6b8fdb9d0135e34c6e39befc1f657b3d0.png"/><Relationship Id="rId10" Type="http://schemas.openxmlformats.org/officeDocument/2006/relationships/image" Target="media/b21eb8e4249f5bb439351e26f15400f94507041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2026-05-13T06:37:58.395Z</dcterms:created>
  <dcterms:modified xsi:type="dcterms:W3CDTF">2026-05-13T06:37:58.408Z</dcterms:modified>
</cp:coreProperties>
</file>

<file path=docProps/custom.xml><?xml version="1.0" encoding="utf-8"?>
<Properties xmlns="http://schemas.openxmlformats.org/officeDocument/2006/custom-properties" xmlns:vt="http://schemas.openxmlformats.org/officeDocument/2006/docPropsVTypes"/>
</file>