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Je vais parcourir votre nouveau site (/fr), lister l’arborescence actuelle et les manques, puis vous proposer une structure de pages + du contenu prêt à coller (titres, sections, CTA, textes) aligné sur votre focus “agents &amp; multi-agents d’abord, dev web ensuite”.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 xml:space="preserve">Oui — et ton nouveau site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/fr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montre déjà la direction “agents IA”, mais il faut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corriger le discours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(démo/ROI/promesses chiffrées) et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ajouter des pages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qui remplacent la démo par de la crédibilité (méthode, intégration, sécurité, livrables, cas d’usage).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Je me base sur ce que j’ai vu sur la page actuelle. (</w:t>
      </w:r>
      <w:hyperlink r:id="rId5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>1) Ce qu’il faut enlever tout de suite (car non défendable)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Sur la home actuelle, tu as :</w:t>
      </w:r>
    </w:p>
    <w:p w:rsidR="00B248C5" w:rsidRPr="00B248C5" w:rsidRDefault="00B248C5" w:rsidP="00B248C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“Voir une démo (15 min)” + “Calculer mon ROI” (</w:t>
      </w:r>
      <w:hyperlink r:id="rId6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“Go-live en 30 jours avec ROI garanti”, “résout 85%…”, “Économisez jusqu’à 77%…”, et un témoignage avec “ROI positif en 2.1 mois” répété en boucle (</w:t>
      </w:r>
      <w:hyperlink r:id="rId7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Segoe UI Symbol" w:eastAsia="Times New Roman" w:hAnsi="Segoe UI Symbol" w:cs="Segoe UI Symbol"/>
          <w:color w:val="000000"/>
          <w:lang w:eastAsia="fr-FR"/>
        </w:rPr>
        <w:t>👉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À supprimer / remplacer</w:t>
      </w:r>
      <w:r w:rsidRPr="00B248C5">
        <w:rPr>
          <w:rFonts w:ascii="Arial" w:eastAsia="Times New Roman" w:hAnsi="Arial" w:cs="Arial"/>
          <w:color w:val="000000"/>
          <w:lang w:eastAsia="fr-FR"/>
        </w:rPr>
        <w:t>, parce que vous venez de dire : pas de démo, pas de ROI mesurable, pas de chiffres inventés.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>2) Nouvelle structure recommandée du site (simple et crédible)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Menu principal (7 items max)</w:t>
      </w:r>
    </w:p>
    <w:p w:rsidR="00B248C5" w:rsidRPr="00B248C5" w:rsidRDefault="00B248C5" w:rsidP="00B248C5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Solutions</w:t>
      </w:r>
    </w:p>
    <w:p w:rsidR="00B248C5" w:rsidRPr="00B248C5" w:rsidRDefault="00B248C5" w:rsidP="00B248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Expertise</w:t>
      </w:r>
    </w:p>
    <w:p w:rsidR="00B248C5" w:rsidRPr="00B248C5" w:rsidRDefault="00B248C5" w:rsidP="00B248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Intégration</w:t>
      </w:r>
    </w:p>
    <w:p w:rsidR="00B248C5" w:rsidRPr="00B248C5" w:rsidRDefault="00B248C5" w:rsidP="00B248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Méthodologie</w:t>
      </w:r>
    </w:p>
    <w:p w:rsidR="00B248C5" w:rsidRPr="00B248C5" w:rsidRDefault="00B248C5" w:rsidP="00B248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Ressources</w:t>
      </w:r>
    </w:p>
    <w:p w:rsidR="00B248C5" w:rsidRPr="00B248C5" w:rsidRDefault="00B248C5" w:rsidP="00B248C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À propos</w:t>
      </w:r>
    </w:p>
    <w:p w:rsidR="00B248C5" w:rsidRPr="00B248C5" w:rsidRDefault="00B248C5" w:rsidP="00B248C5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Contact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Pages à créer (priorité)</w:t>
      </w:r>
    </w:p>
    <w:p w:rsidR="00B248C5" w:rsidRPr="00B248C5" w:rsidRDefault="00B248C5" w:rsidP="00B248C5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/fr/solutions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(hub)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/fr/solutions/agents-conversationnels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/fr/solutions/agents-operationnels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/fr/solutions/systemes-multi-agents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/fr/integration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(apps + APIs + SI)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/fr/methodologie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(votre “preuve” à la place d’une démo)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/fr/ressources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+ </w:t>
      </w:r>
      <w:r w:rsidRPr="00B248C5">
        <w:rPr>
          <w:rFonts w:ascii="Courier New" w:eastAsia="Times New Roman" w:hAnsi="Courier New" w:cs="Courier New"/>
          <w:color w:val="188038"/>
          <w:lang w:eastAsia="fr-FR"/>
        </w:rPr>
        <w:t>/fr/blog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/fr/a-propos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t>/fr/contact</w:t>
      </w:r>
    </w:p>
    <w:p w:rsidR="00B248C5" w:rsidRPr="00B248C5" w:rsidRDefault="00B248C5" w:rsidP="00B248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Courier New" w:eastAsia="Times New Roman" w:hAnsi="Courier New" w:cs="Courier New"/>
          <w:color w:val="188038"/>
          <w:lang w:eastAsia="fr-FR"/>
        </w:rPr>
        <w:lastRenderedPageBreak/>
        <w:t>/fr/securite-rgpd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(page très rassurante B2B)</w:t>
      </w:r>
    </w:p>
    <w:p w:rsidR="00B248C5" w:rsidRPr="00B248C5" w:rsidRDefault="00B248C5" w:rsidP="00B248C5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Mentions légales + Confidentialité</w:t>
      </w:r>
    </w:p>
    <w:p w:rsidR="00B248C5" w:rsidRPr="00B248C5" w:rsidRDefault="00B248C5" w:rsidP="00B248C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Note : aujourd’hui “Tarifications/Blog/Aides” semblent casser (erreur côté site).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>3) Philosophie “leads” sans démo (avec données de marché)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 xml:space="preserve">Les acheteurs B2B veulent avancer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seuls et en digital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avant de parler à quelqu’un. Gartner indique que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80% des interactions B2B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se font via des canaux digitaux, et qu’une part significative des acheteurs préfère une expérience “seller-free”. (</w:t>
      </w:r>
      <w:hyperlink r:id="rId8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Gartner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  <w:r w:rsidRPr="00B248C5">
        <w:rPr>
          <w:rFonts w:ascii="Arial" w:eastAsia="Times New Roman" w:hAnsi="Arial" w:cs="Arial"/>
          <w:color w:val="000000"/>
          <w:lang w:eastAsia="fr-FR"/>
        </w:rPr>
        <w:br/>
        <w:t xml:space="preserve">6sense montre aussi que beaucoup de buyers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choisissent un fournisseur préféré avant contact</w:t>
      </w:r>
      <w:r w:rsidRPr="00B248C5">
        <w:rPr>
          <w:rFonts w:ascii="Arial" w:eastAsia="Times New Roman" w:hAnsi="Arial" w:cs="Arial"/>
          <w:color w:val="000000"/>
          <w:lang w:eastAsia="fr-FR"/>
        </w:rPr>
        <w:t>. (</w:t>
      </w:r>
      <w:hyperlink r:id="rId9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6sense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Segoe UI Symbol" w:eastAsia="Times New Roman" w:hAnsi="Segoe UI Symbol" w:cs="Segoe UI Symbol"/>
          <w:color w:val="000000"/>
          <w:lang w:eastAsia="fr-FR"/>
        </w:rPr>
        <w:t>👉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Donc votre site doit vendre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sans démo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grâce à :</w:t>
      </w:r>
    </w:p>
    <w:p w:rsidR="00B248C5" w:rsidRPr="00B248C5" w:rsidRDefault="00B248C5" w:rsidP="00B248C5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pages “expertise” très claires,</w:t>
      </w:r>
    </w:p>
    <w:p w:rsidR="00B248C5" w:rsidRPr="00B248C5" w:rsidRDefault="00B248C5" w:rsidP="00B248C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pages “intégration” concrètes,</w:t>
      </w:r>
    </w:p>
    <w:p w:rsidR="00B248C5" w:rsidRPr="00B248C5" w:rsidRDefault="00B248C5" w:rsidP="00B248C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“pack procurement” (livrables, sécurité, contractualisation),</w:t>
      </w:r>
    </w:p>
    <w:p w:rsidR="00B248C5" w:rsidRPr="00B248C5" w:rsidRDefault="00B248C5" w:rsidP="00B248C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cas d’usage réels (même anonymisés),</w:t>
      </w:r>
    </w:p>
    <w:p w:rsidR="00B248C5" w:rsidRPr="00B248C5" w:rsidRDefault="00B248C5" w:rsidP="00B248C5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ressources (guides, checklists) = lead magnets.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</w:rPr>
        <w:t>4) Contenu prêt à coller — Page par page</w: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A) HOME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</w:t>
      </w: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 (texte complet à remplacer)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HERO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Des agents IA et systèmes multi-agents conçus pour des environnements réels.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Sous-titre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Novalitix conçoit, intègre et opère des agents IA (mono-agent et multi-agents) pour automatiser des tâches, assister les équipes et orchestrer des processus — avec une approche d’ingénierie, pas des promesses marketing.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CTA (2 max, sans démo)</w:t>
      </w:r>
    </w:p>
    <w:p w:rsidR="00B248C5" w:rsidRPr="00B248C5" w:rsidRDefault="00B248C5" w:rsidP="00B248C5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Nous contacter</w:t>
      </w:r>
    </w:p>
    <w:p w:rsidR="00B248C5" w:rsidRPr="00B248C5" w:rsidRDefault="00B248C5" w:rsidP="00B248C5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Décrire votre besoin</w:t>
      </w:r>
    </w:p>
    <w:p w:rsidR="00B248C5" w:rsidRPr="00B248C5" w:rsidRDefault="00B248C5" w:rsidP="00B248C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On remplace “démo/ROI”. (</w:t>
      </w:r>
      <w:hyperlink r:id="rId10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SECTION 1 — Ce que nous livrons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Agents IA prêts à intégrer</w:t>
      </w:r>
    </w:p>
    <w:p w:rsidR="00B248C5" w:rsidRPr="00B248C5" w:rsidRDefault="00B248C5" w:rsidP="00B248C5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lastRenderedPageBreak/>
        <w:t>Agents conversationnels (support interne/externe, assistants métiers)</w:t>
      </w:r>
    </w:p>
    <w:p w:rsidR="00B248C5" w:rsidRPr="00B248C5" w:rsidRDefault="00B248C5" w:rsidP="00B248C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Agents d’analyse (synthèse, détection, reporting, alertes)</w:t>
      </w:r>
    </w:p>
    <w:p w:rsidR="00B248C5" w:rsidRPr="00B248C5" w:rsidRDefault="00B248C5" w:rsidP="00B248C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Agents opérationnels (workflows, exécution d’actions, back-office)</w:t>
      </w:r>
    </w:p>
    <w:p w:rsidR="00B248C5" w:rsidRPr="00B248C5" w:rsidRDefault="00B248C5" w:rsidP="00B248C5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Systèmes multi-agents (rôles séparés + coordination + garde-fous)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SECTION 2 — Pourquoi “agents &amp; multi-agents”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Parce que le B2B est digital-first.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Les décisions se préparent avant le premier échange : votre solution doit être lisible et crédible en ligne. (</w:t>
      </w:r>
      <w:hyperlink r:id="rId11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Gartner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SECTION 3 — Stack (à garder, mais mieux)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Un socle technologique agnostique, adapté à vos contraintes.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Texte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Nous sélectionnons les modèles et frameworks en fonction de votre contexte : confidentialité, coût, latence, intégration SI, exigences RGPD.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Segoe UI Symbol" w:eastAsia="Times New Roman" w:hAnsi="Segoe UI Symbol" w:cs="Segoe UI Symbol"/>
          <w:color w:val="000000"/>
          <w:lang w:eastAsia="fr-FR"/>
        </w:rPr>
        <w:t>👉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IMPORTANT : sur ta page, les logos sont beaucoup répétés. Il faut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1 ligne de logos max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+ éventuellement “voir toute la stack”. (</w:t>
      </w:r>
      <w:hyperlink r:id="rId12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SECTION 4 — Solutions (sans chiffres)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Des solutions agentiques, du cadrage au déploiement.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Cartes (4) :</w:t>
      </w:r>
    </w:p>
    <w:p w:rsidR="00B248C5" w:rsidRPr="00B248C5" w:rsidRDefault="00B248C5" w:rsidP="00B248C5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Agents conversationnels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— répondre, guider, qualifier, assister</w:t>
      </w:r>
    </w:p>
    <w:p w:rsidR="00B248C5" w:rsidRPr="00B248C5" w:rsidRDefault="00B248C5" w:rsidP="00B248C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Agents d’analyse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— connecter, analyser, alerter, synthétiser</w:t>
      </w:r>
    </w:p>
    <w:p w:rsidR="00B248C5" w:rsidRPr="00B248C5" w:rsidRDefault="00B248C5" w:rsidP="00B248C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Systèmes multi-agents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— décomposer un problème complexe, coordonner, contrôler</w:t>
      </w:r>
    </w:p>
    <w:p w:rsidR="00B248C5" w:rsidRPr="00B248C5" w:rsidRDefault="00B248C5" w:rsidP="00B248C5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Agents sur mesure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— pour vos processus spécifiques et vos outils internes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Chaque carte = 2 lignes + CTA “Découvrir”.</w:t>
      </w:r>
    </w:p>
    <w:p w:rsidR="00B248C5" w:rsidRPr="00B248C5" w:rsidRDefault="00B248C5" w:rsidP="00B248C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Remplacer “85% / ROI garanti / 77%” etc. (</w:t>
      </w:r>
      <w:hyperlink r:id="rId13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SECTION 5 — Preuve (sans faux témoignages)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Ce que vous obtenez avec Novalitix</w:t>
      </w:r>
    </w:p>
    <w:p w:rsidR="00B248C5" w:rsidRPr="00B248C5" w:rsidRDefault="00B248C5" w:rsidP="00B248C5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Une architecture claire et documentée</w:t>
      </w:r>
    </w:p>
    <w:p w:rsidR="00B248C5" w:rsidRPr="00B248C5" w:rsidRDefault="00B248C5" w:rsidP="00B248C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Une intégration testée dans votre environnement</w:t>
      </w:r>
    </w:p>
    <w:p w:rsidR="00B248C5" w:rsidRPr="00B248C5" w:rsidRDefault="00B248C5" w:rsidP="00B248C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Des garde-fous (traçabilité, limites, validation)</w:t>
      </w:r>
    </w:p>
    <w:p w:rsidR="00B248C5" w:rsidRPr="00B248C5" w:rsidRDefault="00B248C5" w:rsidP="00B248C5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Un plan d’exploitation (monitoring, logs, amélioration continue)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CTA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Parler à un expert → Contact</w:t>
      </w:r>
    </w:p>
    <w:p w:rsidR="00B248C5" w:rsidRPr="00B248C5" w:rsidRDefault="00B248C5" w:rsidP="00B248C5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Et surtout : supprimer le témoignage “Marie Dupont” répété + ROI 2.1 mois. (</w:t>
      </w:r>
      <w:hyperlink r:id="rId14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B) Page “Solutions”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/fr/solutions</w:t>
      </w: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 (hub)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Solutions agentiques adaptées à vos cas d’usage.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Intro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Nous n’installons pas une “IA générique”. Nous concevons des agents adaptés à vos règles, vos données et vos outils.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Sections</w:t>
      </w:r>
    </w:p>
    <w:p w:rsidR="00B248C5" w:rsidRPr="00B248C5" w:rsidRDefault="00B248C5" w:rsidP="00B248C5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Agents conversationnels</w:t>
      </w:r>
    </w:p>
    <w:p w:rsidR="00B248C5" w:rsidRPr="00B248C5" w:rsidRDefault="00B248C5" w:rsidP="00B248C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Agents d’analyse</w:t>
      </w:r>
    </w:p>
    <w:p w:rsidR="00B248C5" w:rsidRPr="00B248C5" w:rsidRDefault="00B248C5" w:rsidP="00B248C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Systèmes multi-agents</w:t>
      </w:r>
    </w:p>
    <w:p w:rsidR="00B248C5" w:rsidRPr="00B248C5" w:rsidRDefault="00B248C5" w:rsidP="00B248C5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Agents opérationnels &amp; sur mesure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Bloc “à qui c’est destiné”</w:t>
      </w:r>
    </w:p>
    <w:p w:rsidR="00B248C5" w:rsidRPr="00B248C5" w:rsidRDefault="00B248C5" w:rsidP="00B248C5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Equipes support / ops / sales</w:t>
      </w:r>
    </w:p>
    <w:p w:rsidR="00B248C5" w:rsidRPr="00B248C5" w:rsidRDefault="00B248C5" w:rsidP="00B248C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DSI / CTO / innovation</w:t>
      </w:r>
    </w:p>
    <w:p w:rsidR="00B248C5" w:rsidRPr="00B248C5" w:rsidRDefault="00B248C5" w:rsidP="00B248C5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Startups deep tech / produits data-driven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CTA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Décrire votre cas d’usage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C) Page “Systèmes multi-agents”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/fr/solutions/systemes-multi-agents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Systèmes multi-agents : quand un seul agent ne suffit pas.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Quand c’est utile</w:t>
      </w:r>
    </w:p>
    <w:p w:rsidR="00B248C5" w:rsidRPr="00B248C5" w:rsidRDefault="00B248C5" w:rsidP="00B248C5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Processus longs et multi-étapes</w:t>
      </w:r>
    </w:p>
    <w:p w:rsidR="00B248C5" w:rsidRPr="00B248C5" w:rsidRDefault="00B248C5" w:rsidP="00B248C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Décisions à partir de sources multiples</w:t>
      </w:r>
    </w:p>
    <w:p w:rsidR="00B248C5" w:rsidRPr="00B248C5" w:rsidRDefault="00B248C5" w:rsidP="00B248C5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Tâches qui exigent séparation des rôles (analyse / action / validation)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Comment on les conçoit (simple)</w:t>
      </w:r>
    </w:p>
    <w:p w:rsidR="00B248C5" w:rsidRPr="00B248C5" w:rsidRDefault="00B248C5" w:rsidP="00B248C5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Rôles : Planner / Executor / Reviewer / Guardrails</w:t>
      </w:r>
    </w:p>
    <w:p w:rsidR="00B248C5" w:rsidRPr="00B248C5" w:rsidRDefault="00B248C5" w:rsidP="00B248C5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Coordination : orchestration, mémoire, état, reprises</w:t>
      </w:r>
    </w:p>
    <w:p w:rsidR="00B248C5" w:rsidRPr="00B248C5" w:rsidRDefault="00B248C5" w:rsidP="00B248C5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Contrôle : validations, limites, journalisation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Livrables</w:t>
      </w:r>
    </w:p>
    <w:p w:rsidR="00B248C5" w:rsidRPr="00B248C5" w:rsidRDefault="00B248C5" w:rsidP="00B248C5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Schéma d’architecture</w:t>
      </w:r>
    </w:p>
    <w:p w:rsidR="00B248C5" w:rsidRPr="00B248C5" w:rsidRDefault="00B248C5" w:rsidP="00B248C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Spécification des agents (rôle, outils, politiques)</w:t>
      </w:r>
    </w:p>
    <w:p w:rsidR="00B248C5" w:rsidRPr="00B248C5" w:rsidRDefault="00B248C5" w:rsidP="00B248C5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Stratégie d’intégration (API, app, SI)</w:t>
      </w:r>
    </w:p>
    <w:p w:rsidR="00B248C5" w:rsidRPr="00B248C5" w:rsidRDefault="00B248C5" w:rsidP="00B248C5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lastRenderedPageBreak/>
        <w:t>Tests + documentation d’exploitation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D) Page “Intégration”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/fr/integration</w:t>
      </w: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 (ta logique “agents d’abord, apps ensuite”)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Intégrer des agents IA dans vos applications et systèmes existants.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Texte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Le développement web n’est pas notre produit principal. Il sert à intégrer vos agents : interfaces, APIs, dashboards, connecteurs, workflows.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Ce qu’on intègre</w:t>
      </w:r>
    </w:p>
    <w:p w:rsidR="00B248C5" w:rsidRPr="00B248C5" w:rsidRDefault="00B248C5" w:rsidP="00B248C5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Web apps / admin tools</w:t>
      </w:r>
    </w:p>
    <w:p w:rsidR="00B248C5" w:rsidRPr="00B248C5" w:rsidRDefault="00B248C5" w:rsidP="00B248C5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APIs internes</w:t>
      </w:r>
    </w:p>
    <w:p w:rsidR="00B248C5" w:rsidRPr="00B248C5" w:rsidRDefault="00B248C5" w:rsidP="00B248C5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CRM / ERP / outils métiers</w:t>
      </w:r>
    </w:p>
    <w:p w:rsidR="00B248C5" w:rsidRPr="00B248C5" w:rsidRDefault="00B248C5" w:rsidP="00B248C5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Workflows n8n / scripts / automatisations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CTA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Parler intégration → Contact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E) Page “Méthodologie”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/fr/methodologie</w:t>
      </w: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 (remplace la démo)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Une méthode d’ingénierie pour livrer des agents fiables.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Étapes</w:t>
      </w:r>
    </w:p>
    <w:p w:rsidR="00B248C5" w:rsidRPr="00B248C5" w:rsidRDefault="00B248C5" w:rsidP="00B248C5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Cadrage (objectif, contraintes, risques)</w:t>
      </w:r>
    </w:p>
    <w:p w:rsidR="00B248C5" w:rsidRPr="00B248C5" w:rsidRDefault="00B248C5" w:rsidP="00B248C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Design agentique (rôles, outils, limites)</w:t>
      </w:r>
    </w:p>
    <w:p w:rsidR="00B248C5" w:rsidRPr="00B248C5" w:rsidRDefault="00B248C5" w:rsidP="00B248C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Prototype contrôlé (sur données représentatives)</w:t>
      </w:r>
    </w:p>
    <w:p w:rsidR="00B248C5" w:rsidRPr="00B248C5" w:rsidRDefault="00B248C5" w:rsidP="00B248C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Intégration (API/app)</w:t>
      </w:r>
    </w:p>
    <w:p w:rsidR="00B248C5" w:rsidRPr="00B248C5" w:rsidRDefault="00B248C5" w:rsidP="00B248C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Tests (comportement, sécurité, qualité)</w:t>
      </w:r>
    </w:p>
    <w:p w:rsidR="00B248C5" w:rsidRPr="00B248C5" w:rsidRDefault="00B248C5" w:rsidP="00B248C5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Déploiement + exploitation (logs, monitoring, itérations)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Bloc “ce qu’on ne vend pas” (hyper crédible)</w:t>
      </w:r>
    </w:p>
    <w:p w:rsidR="00B248C5" w:rsidRPr="00B248C5" w:rsidRDefault="00B248C5" w:rsidP="00B248C5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Pas de promesses chiffrées non vérifiées</w:t>
      </w:r>
    </w:p>
    <w:p w:rsidR="00B248C5" w:rsidRPr="00B248C5" w:rsidRDefault="00B248C5" w:rsidP="00B248C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Pas de “remplacement total”</w:t>
      </w:r>
    </w:p>
    <w:p w:rsidR="00B248C5" w:rsidRPr="00B248C5" w:rsidRDefault="00B248C5" w:rsidP="00B248C5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Pas de magie : on travaille sur vos contraintes réelles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>F) Page “Ressources / Blog” (lead magnet sans démo)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lastRenderedPageBreak/>
        <w:t>Ressources à publier (10 idées)</w:t>
      </w:r>
    </w:p>
    <w:p w:rsidR="00B248C5" w:rsidRPr="00B248C5" w:rsidRDefault="00B248C5" w:rsidP="00B248C5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Guide : “Choisir entre mono-agent et multi-agents”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Checklist : “Agent IA en production : 20 points de contrôle”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Fiche : “RGPD &amp; agents IA : ce qu’il faut prévoir”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Article : “Pourquoi 80% des interactions B2B sont devenues digitales” (</w:t>
      </w:r>
      <w:hyperlink r:id="rId15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Gartner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Article : “Acheteurs B2B : pourquoi le site doit convaincre avant le contact” (</w:t>
      </w:r>
      <w:hyperlink r:id="rId16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6sense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Guide : “Design d’un agent outillé (RAG, tools, policies)”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Guide : “Logs &amp; observabilité (Langfuse, etc.)”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Cas d’usage : “Support interne”</w:t>
      </w:r>
    </w:p>
    <w:p w:rsidR="00B248C5" w:rsidRPr="00B248C5" w:rsidRDefault="00B248C5" w:rsidP="00B248C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Cas d’usage : “Analyse &amp; reporting”</w:t>
      </w:r>
    </w:p>
    <w:p w:rsidR="00B248C5" w:rsidRPr="00B248C5" w:rsidRDefault="00B248C5" w:rsidP="00B248C5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Cas d’usage : “Automatisation ops”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G) Page “À propos”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/fr/a-propos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Novalitix évolue : de l’IA &amp; data vers l’ingénierie agentique.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Texte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Novalitix a d’abord accompagné des projets de data et d’intégration IA. Aujourd’hui, nous concentrons notre savoir-faire sur les agents IA et les systèmes multi-agents : conception, intégration, exploitation.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Valeurs</w:t>
      </w:r>
    </w:p>
    <w:p w:rsidR="00B248C5" w:rsidRPr="00B248C5" w:rsidRDefault="00B248C5" w:rsidP="00B248C5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Clarté technique</w:t>
      </w:r>
    </w:p>
    <w:p w:rsidR="00B248C5" w:rsidRPr="00B248C5" w:rsidRDefault="00B248C5" w:rsidP="00B248C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Fiabilité</w:t>
      </w:r>
    </w:p>
    <w:p w:rsidR="00B248C5" w:rsidRPr="00B248C5" w:rsidRDefault="00B248C5" w:rsidP="00B248C5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Sobriété (pas de promesses invérifiables)</w:t>
      </w:r>
    </w:p>
    <w:p w:rsidR="00B248C5" w:rsidRPr="00B248C5" w:rsidRDefault="00B248C5" w:rsidP="00B248C5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Sécurité &amp; conformité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 xml:space="preserve">H) Page “Contact” </w:t>
      </w:r>
      <w:r w:rsidRPr="00B248C5">
        <w:rPr>
          <w:rFonts w:ascii="Courier New" w:eastAsia="Times New Roman" w:hAnsi="Courier New" w:cs="Courier New"/>
          <w:b/>
          <w:bCs/>
          <w:color w:val="188038"/>
          <w:sz w:val="34"/>
          <w:szCs w:val="34"/>
          <w:lang w:eastAsia="fr-FR"/>
        </w:rPr>
        <w:t>/fr/contact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Titre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Parlez-nous de votre besoin.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Texte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Nous répondons mieux avec du contexte. Décrivez :</w:t>
      </w:r>
    </w:p>
    <w:p w:rsidR="00B248C5" w:rsidRPr="00B248C5" w:rsidRDefault="00B248C5" w:rsidP="00B248C5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votre activité</w:t>
      </w:r>
    </w:p>
    <w:p w:rsidR="00B248C5" w:rsidRPr="00B248C5" w:rsidRDefault="00B248C5" w:rsidP="00B248C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votre processus à automatiser</w:t>
      </w:r>
    </w:p>
    <w:p w:rsidR="00B248C5" w:rsidRPr="00B248C5" w:rsidRDefault="00B248C5" w:rsidP="00B248C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vos outils (CRM/ERP/app)</w:t>
      </w:r>
    </w:p>
    <w:p w:rsidR="00B248C5" w:rsidRPr="00B248C5" w:rsidRDefault="00B248C5" w:rsidP="00B248C5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vos contraintes (données, RGPD, délais)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CTA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br/>
      </w:r>
      <w:r w:rsidRPr="00B248C5">
        <w:rPr>
          <w:rFonts w:ascii="Arial" w:eastAsia="Times New Roman" w:hAnsi="Arial" w:cs="Arial"/>
          <w:color w:val="000000"/>
          <w:lang w:eastAsia="fr-FR"/>
        </w:rPr>
        <w:t>Envoyer une demande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</w:rPr>
        <w:lastRenderedPageBreak/>
        <w:t>5) Remplacement de vos “preuves” (sans mensonge)</w:t>
      </w:r>
    </w:p>
    <w:p w:rsidR="00B248C5" w:rsidRPr="00B248C5" w:rsidRDefault="00B248C5" w:rsidP="00B248C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t>À la place des témoignages inventés :</w:t>
      </w:r>
      <w:bookmarkStart w:id="0" w:name="_GoBack"/>
      <w:bookmarkEnd w:id="0"/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Choisis une option :</w:t>
      </w:r>
    </w:p>
    <w:p w:rsidR="00B248C5" w:rsidRPr="00B248C5" w:rsidRDefault="00B248C5" w:rsidP="00B248C5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Études de cas anonymisées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(“secteur X, contexte, ce qui a été fait, résultats qualitatifs”)</w:t>
      </w:r>
    </w:p>
    <w:p w:rsidR="00B248C5" w:rsidRPr="00B248C5" w:rsidRDefault="00B248C5" w:rsidP="00B248C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Exemples de missions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(sans dire “client”, sans chiffre)</w:t>
      </w:r>
    </w:p>
    <w:p w:rsidR="00B248C5" w:rsidRPr="00B248C5" w:rsidRDefault="00B248C5" w:rsidP="00B248C5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Logos des secteurs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(si autorisé)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Et surtout supprimer le bloc répétitif actuel. (</w:t>
      </w:r>
      <w:hyperlink r:id="rId17" w:history="1">
        <w:r w:rsidRPr="00B248C5">
          <w:rPr>
            <w:rFonts w:ascii="Arial" w:eastAsia="Times New Roman" w:hAnsi="Arial" w:cs="Arial"/>
            <w:color w:val="1155CC"/>
            <w:u w:val="single"/>
            <w:lang w:eastAsia="fr-FR"/>
          </w:rPr>
          <w:t>Novalitix</w:t>
        </w:r>
      </w:hyperlink>
      <w:r w:rsidRPr="00B248C5">
        <w:rPr>
          <w:rFonts w:ascii="Arial" w:eastAsia="Times New Roman" w:hAnsi="Arial" w:cs="Arial"/>
          <w:color w:val="000000"/>
          <w:lang w:eastAsia="fr-FR"/>
        </w:rPr>
        <w:t>)</w:t>
      </w:r>
    </w:p>
    <w:p w:rsidR="00B248C5" w:rsidRPr="00B248C5" w:rsidRDefault="00B248C5" w:rsidP="00B2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B248C5" w:rsidRPr="00B248C5" w:rsidRDefault="00B248C5" w:rsidP="00B248C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48C5">
        <w:rPr>
          <w:rFonts w:ascii="Arial" w:eastAsia="Times New Roman" w:hAnsi="Arial" w:cs="Arial"/>
          <w:b/>
          <w:bCs/>
          <w:color w:val="000000"/>
          <w:sz w:val="34"/>
          <w:szCs w:val="34"/>
          <w:lang w:eastAsia="fr-FR"/>
        </w:rPr>
        <w:t>Si tu veux, on avance en mode concret</w:t>
      </w:r>
    </w:p>
    <w:p w:rsidR="00B248C5" w:rsidRPr="00B248C5" w:rsidRDefault="00B248C5" w:rsidP="00B248C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 xml:space="preserve">Dis-moi juste : tu veux que je te livre </w:t>
      </w:r>
      <w:r w:rsidRPr="00B248C5">
        <w:rPr>
          <w:rFonts w:ascii="Arial" w:eastAsia="Times New Roman" w:hAnsi="Arial" w:cs="Arial"/>
          <w:b/>
          <w:bCs/>
          <w:color w:val="000000"/>
          <w:lang w:eastAsia="fr-FR"/>
        </w:rPr>
        <w:t>en premier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le contenu complet de quelle page (copier-coller) ?</w:t>
      </w:r>
    </w:p>
    <w:p w:rsidR="00B248C5" w:rsidRPr="00B248C5" w:rsidRDefault="00B248C5" w:rsidP="00B248C5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 xml:space="preserve">Home </w:t>
      </w:r>
      <w:r w:rsidRPr="00B248C5">
        <w:rPr>
          <w:rFonts w:ascii="Courier New" w:eastAsia="Times New Roman" w:hAnsi="Courier New" w:cs="Courier New"/>
          <w:color w:val="188038"/>
          <w:lang w:eastAsia="fr-FR"/>
        </w:rPr>
        <w:t>/fr</w:t>
      </w:r>
      <w:r w:rsidRPr="00B248C5">
        <w:rPr>
          <w:rFonts w:ascii="Arial" w:eastAsia="Times New Roman" w:hAnsi="Arial" w:cs="Arial"/>
          <w:color w:val="000000"/>
          <w:lang w:eastAsia="fr-FR"/>
        </w:rPr>
        <w:t xml:space="preserve"> (la plus urgente)</w:t>
      </w:r>
    </w:p>
    <w:p w:rsidR="00B248C5" w:rsidRPr="00B248C5" w:rsidRDefault="00B248C5" w:rsidP="00B248C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Solutions hub + 4 sous-pages</w:t>
      </w:r>
    </w:p>
    <w:p w:rsidR="00B248C5" w:rsidRPr="00B248C5" w:rsidRDefault="00B248C5" w:rsidP="00B248C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Méthodologie + Intégration</w:t>
      </w:r>
    </w:p>
    <w:p w:rsidR="00B248C5" w:rsidRPr="00B248C5" w:rsidRDefault="00B248C5" w:rsidP="00B248C5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fr-FR"/>
        </w:rPr>
      </w:pPr>
      <w:r w:rsidRPr="00B248C5">
        <w:rPr>
          <w:rFonts w:ascii="Arial" w:eastAsia="Times New Roman" w:hAnsi="Arial" w:cs="Arial"/>
          <w:color w:val="000000"/>
          <w:lang w:eastAsia="fr-FR"/>
        </w:rPr>
        <w:t>À propos + Contact + Sécurité/RGPD</w:t>
      </w:r>
    </w:p>
    <w:p w:rsidR="00DB2CD1" w:rsidRDefault="00DB2CD1"/>
    <w:sectPr w:rsidR="00DB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3312F"/>
    <w:multiLevelType w:val="multilevel"/>
    <w:tmpl w:val="3896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706B9"/>
    <w:multiLevelType w:val="multilevel"/>
    <w:tmpl w:val="179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7328"/>
    <w:multiLevelType w:val="multilevel"/>
    <w:tmpl w:val="1C2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25A81"/>
    <w:multiLevelType w:val="multilevel"/>
    <w:tmpl w:val="854A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9696B"/>
    <w:multiLevelType w:val="multilevel"/>
    <w:tmpl w:val="1A9E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055BC"/>
    <w:multiLevelType w:val="multilevel"/>
    <w:tmpl w:val="9F8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0675F"/>
    <w:multiLevelType w:val="multilevel"/>
    <w:tmpl w:val="ECB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03737"/>
    <w:multiLevelType w:val="multilevel"/>
    <w:tmpl w:val="D704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C4C69"/>
    <w:multiLevelType w:val="multilevel"/>
    <w:tmpl w:val="2CE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8590C"/>
    <w:multiLevelType w:val="multilevel"/>
    <w:tmpl w:val="CD0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E1387"/>
    <w:multiLevelType w:val="multilevel"/>
    <w:tmpl w:val="92E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B2E74"/>
    <w:multiLevelType w:val="multilevel"/>
    <w:tmpl w:val="B142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C0E1E"/>
    <w:multiLevelType w:val="multilevel"/>
    <w:tmpl w:val="982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27672"/>
    <w:multiLevelType w:val="multilevel"/>
    <w:tmpl w:val="9DF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3455F"/>
    <w:multiLevelType w:val="multilevel"/>
    <w:tmpl w:val="07B8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52570"/>
    <w:multiLevelType w:val="multilevel"/>
    <w:tmpl w:val="D96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31F5A"/>
    <w:multiLevelType w:val="multilevel"/>
    <w:tmpl w:val="D0B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76325"/>
    <w:multiLevelType w:val="multilevel"/>
    <w:tmpl w:val="87F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6437B"/>
    <w:multiLevelType w:val="multilevel"/>
    <w:tmpl w:val="F55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B6DD7"/>
    <w:multiLevelType w:val="multilevel"/>
    <w:tmpl w:val="527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A7931"/>
    <w:multiLevelType w:val="multilevel"/>
    <w:tmpl w:val="41B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9"/>
  </w:num>
  <w:num w:numId="4">
    <w:abstractNumId w:val="5"/>
  </w:num>
  <w:num w:numId="5">
    <w:abstractNumId w:val="6"/>
  </w:num>
  <w:num w:numId="6">
    <w:abstractNumId w:val="18"/>
  </w:num>
  <w:num w:numId="7">
    <w:abstractNumId w:val="0"/>
  </w:num>
  <w:num w:numId="8">
    <w:abstractNumId w:val="16"/>
  </w:num>
  <w:num w:numId="9">
    <w:abstractNumId w:val="4"/>
  </w:num>
  <w:num w:numId="10">
    <w:abstractNumId w:val="17"/>
  </w:num>
  <w:num w:numId="11">
    <w:abstractNumId w:val="2"/>
  </w:num>
  <w:num w:numId="12">
    <w:abstractNumId w:val="13"/>
  </w:num>
  <w:num w:numId="13">
    <w:abstractNumId w:val="20"/>
  </w:num>
  <w:num w:numId="14">
    <w:abstractNumId w:val="15"/>
  </w:num>
  <w:num w:numId="15">
    <w:abstractNumId w:val="11"/>
  </w:num>
  <w:num w:numId="16">
    <w:abstractNumId w:val="10"/>
  </w:num>
  <w:num w:numId="17">
    <w:abstractNumId w:val="7"/>
  </w:num>
  <w:num w:numId="18">
    <w:abstractNumId w:val="12"/>
  </w:num>
  <w:num w:numId="19">
    <w:abstractNumId w:val="1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42D"/>
    <w:rsid w:val="004816B2"/>
    <w:rsid w:val="00B248C5"/>
    <w:rsid w:val="00BA342D"/>
    <w:rsid w:val="00D8021B"/>
    <w:rsid w:val="00DB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DF4FAA-F35A-45E7-9240-B308140D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24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248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24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48C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248C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248C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248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tner.com/en/newsroom/press-releases/2020-09-15-gartner-says-80--of-b2b-sales-interactions-between-su?utm_source=chatgpt.com" TargetMode="External"/><Relationship Id="rId13" Type="http://schemas.openxmlformats.org/officeDocument/2006/relationships/hyperlink" Target="https://novalitix-website.vercel.app/f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valitix-website.vercel.app/fr" TargetMode="External"/><Relationship Id="rId12" Type="http://schemas.openxmlformats.org/officeDocument/2006/relationships/hyperlink" Target="https://novalitix-website.vercel.app/fr" TargetMode="External"/><Relationship Id="rId17" Type="http://schemas.openxmlformats.org/officeDocument/2006/relationships/hyperlink" Target="https://novalitix-website.vercel.app/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6sense.com/science-of-b2b/2024-buyer-experience-report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valitix-website.vercel.app/fr" TargetMode="External"/><Relationship Id="rId11" Type="http://schemas.openxmlformats.org/officeDocument/2006/relationships/hyperlink" Target="https://www.gartner.com/en/newsroom/press-releases/2020-09-15-gartner-says-80--of-b2b-sales-interactions-between-su?utm_source=chatgpt.com" TargetMode="External"/><Relationship Id="rId5" Type="http://schemas.openxmlformats.org/officeDocument/2006/relationships/hyperlink" Target="https://novalitix-website.vercel.app/fr" TargetMode="External"/><Relationship Id="rId15" Type="http://schemas.openxmlformats.org/officeDocument/2006/relationships/hyperlink" Target="https://www.gartner.com/en/newsroom/press-releases/2020-09-15-gartner-says-80--of-b2b-sales-interactions-between-su?utm_source=chatgpt.com" TargetMode="External"/><Relationship Id="rId10" Type="http://schemas.openxmlformats.org/officeDocument/2006/relationships/hyperlink" Target="https://novalitix-website.vercel.app/f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6sense.com/science-of-b2b/2024-buyer-experience-report/?utm_source=chatgpt.com" TargetMode="External"/><Relationship Id="rId14" Type="http://schemas.openxmlformats.org/officeDocument/2006/relationships/hyperlink" Target="https://novalitix-website.vercel.app/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1505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Theophane</dc:creator>
  <cp:keywords/>
  <dc:description/>
  <cp:lastModifiedBy>Theophane</cp:lastModifiedBy>
  <cp:revision>2</cp:revision>
  <dcterms:created xsi:type="dcterms:W3CDTF">2026-01-03T23:49:00Z</dcterms:created>
  <dcterms:modified xsi:type="dcterms:W3CDTF">2026-01-03T23:50:00Z</dcterms:modified>
</cp:coreProperties>
</file>