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790" w:type="dxa"/>
        <w:tblInd w:w="0" w:type="dxa"/>
        <w:tblLayout w:type="autofit"/>
        <w:tblCellMar>
          <w:top w:w="15" w:type="dxa"/>
          <w:left w:w="15" w:type="dxa"/>
          <w:bottom w:w="15" w:type="dxa"/>
          <w:right w:w="15" w:type="dxa"/>
        </w:tblCellMar>
      </w:tblPr>
      <w:tblGrid>
        <w:gridCol w:w="10790"/>
      </w:tblGrid>
      <w:tr w14:paraId="65AEC1F8">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14:paraId="252E685A">
            <w:pPr>
              <w:jc w:val="center"/>
              <w:rPr>
                <w:rFonts w:ascii="Times New Roman" w:hAnsi="Times New Roman" w:eastAsia="Times New Roman" w:cs="Times New Roman"/>
                <w:kern w:val="0"/>
                <w14:ligatures w14:val="none"/>
              </w:rPr>
            </w:pPr>
            <w:r>
              <w:rPr>
                <w:rFonts w:ascii="Times New Roman" w:hAnsi="Times New Roman" w:eastAsia="Times New Roman" w:cs="Times New Roman"/>
                <w:b/>
                <w:bCs/>
                <w:color w:val="000000"/>
                <w:kern w:val="0"/>
                <w14:ligatures w14:val="none"/>
              </w:rPr>
              <w:t>Lesson Plan</w:t>
            </w:r>
          </w:p>
          <w:p w14:paraId="00660A88">
            <w:pPr>
              <w:numPr>
                <w:ilvl w:val="0"/>
                <w:numId w:val="1"/>
              </w:numPr>
              <w:textAlignment w:val="baseline"/>
              <w:rPr>
                <w:rFonts w:ascii="Times New Roman" w:hAnsi="Times New Roman" w:eastAsia="Times New Roman" w:cs="Times New Roman"/>
                <w:color w:val="000000"/>
                <w:kern w:val="0"/>
                <w14:ligatures w14:val="none"/>
              </w:rPr>
            </w:pPr>
            <w:r>
              <w:rPr>
                <w:rFonts w:ascii="Times New Roman" w:hAnsi="Times New Roman" w:eastAsia="Times New Roman" w:cs="Times New Roman"/>
                <w:color w:val="000000"/>
                <w:kern w:val="0"/>
                <w14:ligatures w14:val="none"/>
              </w:rPr>
              <w:t>The purpose of lesson plans is to provide a structure to guide your teaching. A good lesson plan is concise and does not spell out every detail, yet provides sufficient detail so key concepts, resources, questions, activities, and methods are captured. </w:t>
            </w:r>
          </w:p>
        </w:tc>
      </w:tr>
      <w:tr w14:paraId="465A4486">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F71A4C">
            <w:pPr>
              <w:pStyle w:val="2"/>
              <w:jc w:val="center"/>
              <w:rPr>
                <w:rFonts w:hint="default" w:ascii="Arial" w:hAnsi="Arial" w:cs="Arial"/>
                <w:b/>
                <w:bCs/>
                <w:color w:val="000000"/>
                <w:sz w:val="22"/>
                <w:szCs w:val="22"/>
              </w:rPr>
            </w:pPr>
            <w:r>
              <w:rPr>
                <w:rFonts w:ascii="Arial" w:hAnsi="Arial" w:eastAsia="Times New Roman" w:cs="Arial"/>
                <w:b/>
                <w:bCs/>
                <w:color w:val="000000"/>
                <w:kern w:val="0"/>
                <w:sz w:val="22"/>
                <w:szCs w:val="22"/>
                <w14:ligatures w14:val="none"/>
              </w:rPr>
              <w:t>Lesson Plan Title</w:t>
            </w:r>
            <w:r>
              <w:rPr>
                <w:rFonts w:hint="default" w:ascii="Arial" w:hAnsi="Arial" w:eastAsia="Times New Roman" w:cs="Arial"/>
                <w:b/>
                <w:bCs/>
                <w:color w:val="000000"/>
                <w:kern w:val="0"/>
                <w:sz w:val="22"/>
                <w:szCs w:val="22"/>
                <w14:ligatures w14:val="none"/>
              </w:rPr>
              <w:t>:</w:t>
            </w:r>
            <w:r>
              <w:rPr>
                <w:rFonts w:hint="default" w:ascii="Arial" w:hAnsi="Arial" w:eastAsia="Times New Roman" w:cs="Arial"/>
                <w:b/>
                <w:bCs/>
                <w:color w:val="000000"/>
                <w:kern w:val="0"/>
                <w:sz w:val="22"/>
                <w:szCs w:val="22"/>
                <w:lang w:val="en-US"/>
                <w14:ligatures w14:val="none"/>
              </w:rPr>
              <w:t xml:space="preserve"> </w:t>
            </w:r>
            <w:r>
              <w:rPr>
                <w:rFonts w:hint="default" w:ascii="Arial" w:hAnsi="Arial" w:cs="Arial"/>
                <w:b/>
                <w:bCs/>
                <w:color w:val="000000"/>
                <w:sz w:val="22"/>
                <w:szCs w:val="22"/>
              </w:rPr>
              <w:t xml:space="preserve"> Strengthening Family Resilience Through Intentional Connection</w:t>
            </w:r>
          </w:p>
          <w:p w14:paraId="0EC14FB1">
            <w:pPr>
              <w:pStyle w:val="3"/>
              <w:rPr>
                <w:rFonts w:hint="default" w:ascii="Arial" w:hAnsi="Arial" w:cs="Arial"/>
                <w:b/>
                <w:bCs/>
                <w:sz w:val="22"/>
                <w:szCs w:val="22"/>
              </w:rPr>
            </w:pPr>
            <w:r>
              <w:rPr>
                <w:rFonts w:hint="default" w:ascii="Arial" w:hAnsi="Arial" w:cs="Arial"/>
                <w:b/>
                <w:bCs/>
                <w:color w:val="000000"/>
                <w:sz w:val="22"/>
                <w:szCs w:val="22"/>
              </w:rPr>
              <w:t>Target Population</w:t>
            </w:r>
          </w:p>
          <w:p w14:paraId="0E671073">
            <w:pPr>
              <w:rPr>
                <w:b/>
                <w:bCs/>
              </w:rPr>
            </w:pPr>
            <w:r>
              <w:rPr>
                <w:rFonts w:hint="default" w:ascii="Arial" w:hAnsi="Arial" w:cs="Arial"/>
                <w:b/>
                <w:bCs/>
                <w:color w:val="000000"/>
                <w:sz w:val="22"/>
                <w:szCs w:val="22"/>
              </w:rPr>
              <w:t xml:space="preserve">This lesson is designed for married couples and parents </w:t>
            </w:r>
            <w:r>
              <w:rPr>
                <w:rFonts w:hint="default" w:ascii="Arial" w:hAnsi="Arial" w:cs="Arial"/>
                <w:b/>
                <w:bCs/>
                <w:color w:val="000000"/>
                <w:sz w:val="22"/>
                <w:szCs w:val="22"/>
                <w:lang w:val="en-US"/>
              </w:rPr>
              <w:t xml:space="preserve">from </w:t>
            </w:r>
            <w:r>
              <w:rPr>
                <w:rFonts w:hint="default" w:ascii="Arial" w:hAnsi="Arial" w:cs="Arial"/>
                <w:b/>
                <w:bCs/>
                <w:color w:val="000000"/>
                <w:sz w:val="22"/>
                <w:szCs w:val="22"/>
              </w:rPr>
              <w:t>ages 25</w:t>
            </w:r>
            <w:r>
              <w:rPr>
                <w:rFonts w:hint="default" w:ascii="Arial" w:hAnsi="Arial" w:cs="Arial"/>
                <w:b/>
                <w:bCs/>
                <w:color w:val="000000"/>
                <w:sz w:val="22"/>
                <w:szCs w:val="22"/>
                <w:lang w:val="en-US"/>
              </w:rPr>
              <w:t xml:space="preserve"> to </w:t>
            </w:r>
            <w:r>
              <w:rPr>
                <w:rFonts w:hint="default" w:ascii="Arial" w:hAnsi="Arial" w:cs="Arial"/>
                <w:b/>
                <w:bCs/>
                <w:color w:val="000000"/>
                <w:sz w:val="22"/>
                <w:szCs w:val="22"/>
              </w:rPr>
              <w:t>55 who are participating in a community-based Family Relations Workshop. Participants typically have school-age or adolescent children and are seeking practical tools to strengthen family bonds, improve communication during stress, and build long-term resili</w:t>
            </w:r>
            <w:r>
              <w:rPr>
                <w:b/>
                <w:bCs/>
                <w:color w:val="000000"/>
              </w:rPr>
              <w:t>ence.</w:t>
            </w:r>
          </w:p>
          <w:p w14:paraId="4ECF1625">
            <w:pPr>
              <w:rPr>
                <w:rFonts w:hint="default" w:ascii="Times New Roman" w:hAnsi="Times New Roman" w:eastAsia="Times New Roman" w:cs="Times New Roman"/>
                <w:kern w:val="0"/>
                <w:lang w:val="en-US"/>
                <w14:ligatures w14:val="none"/>
              </w:rPr>
            </w:pPr>
          </w:p>
        </w:tc>
      </w:tr>
      <w:tr w14:paraId="40A67B35">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D9983A">
            <w:pPr>
              <w:spacing w:after="80"/>
            </w:pPr>
            <w:r>
              <w:rPr>
                <w:rFonts w:ascii="Arial" w:hAnsi="Arial" w:eastAsia="Times New Roman" w:cs="Arial"/>
                <w:b/>
                <w:bCs/>
                <w:color w:val="000000"/>
                <w:kern w:val="0"/>
                <w:sz w:val="22"/>
                <w:szCs w:val="22"/>
                <w14:ligatures w14:val="none"/>
              </w:rPr>
              <w:t>Learning Goals of this lesson:</w:t>
            </w:r>
            <w:r>
              <w:rPr>
                <w:rFonts w:hint="default" w:ascii="Arial" w:hAnsi="Arial" w:eastAsia="Times New Roman" w:cs="Arial"/>
                <w:b/>
                <w:bCs/>
                <w:color w:val="000000"/>
                <w:kern w:val="0"/>
                <w:sz w:val="22"/>
                <w:szCs w:val="22"/>
                <w:lang w:val="en-US"/>
                <w14:ligatures w14:val="none"/>
              </w:rPr>
              <w:t xml:space="preserve"> </w:t>
            </w:r>
            <w:r>
              <w:rPr>
                <w:color w:val="000000"/>
              </w:rPr>
              <w:t>By the end of this 90-minute session, participants will be able to:</w:t>
            </w:r>
          </w:p>
          <w:p w14:paraId="0CC4E846">
            <w:pPr>
              <w:pStyle w:val="29"/>
              <w:numPr>
                <w:ilvl w:val="0"/>
                <w:numId w:val="2"/>
              </w:numPr>
            </w:pPr>
            <w:r>
              <w:rPr>
                <w:b/>
                <w:bCs/>
                <w:color w:val="000000"/>
              </w:rPr>
              <w:t xml:space="preserve">Apply </w:t>
            </w:r>
            <w:r>
              <w:rPr>
                <w:color w:val="000000"/>
              </w:rPr>
              <w:t xml:space="preserve">at least three evidence-based connection practices daily check-ins, shared rituals, and repair conversations to a current family </w:t>
            </w:r>
            <w:r>
              <w:rPr>
                <w:color w:val="000000"/>
                <w:lang w:val="en-US"/>
              </w:rPr>
              <w:t>stressors</w:t>
            </w:r>
            <w:r>
              <w:rPr>
                <w:color w:val="000000"/>
              </w:rPr>
              <w:t>.</w:t>
            </w:r>
          </w:p>
          <w:p w14:paraId="6FDE9B9C">
            <w:pPr>
              <w:pStyle w:val="29"/>
              <w:numPr>
                <w:ilvl w:val="0"/>
                <w:numId w:val="2"/>
              </w:numPr>
            </w:pPr>
            <w:r>
              <w:rPr>
                <w:b/>
                <w:bCs/>
                <w:color w:val="000000"/>
              </w:rPr>
              <w:t xml:space="preserve">Analyze </w:t>
            </w:r>
            <w:r>
              <w:rPr>
                <w:color w:val="000000"/>
              </w:rPr>
              <w:t>how emotional regulation and intentional presence influence family resilience during conflict or transition.</w:t>
            </w:r>
          </w:p>
          <w:p w14:paraId="56A93E7E">
            <w:pPr>
              <w:pStyle w:val="29"/>
              <w:numPr>
                <w:ilvl w:val="0"/>
                <w:numId w:val="2"/>
              </w:numPr>
            </w:pPr>
            <w:r>
              <w:rPr>
                <w:b/>
                <w:bCs/>
                <w:color w:val="000000"/>
              </w:rPr>
              <w:t xml:space="preserve">Design </w:t>
            </w:r>
            <w:r>
              <w:rPr>
                <w:color w:val="000000"/>
              </w:rPr>
              <w:t>a personalized 30-day Family Resilience Action Plan that integrates communication skills from prior lessons with new resilience strategies.</w:t>
            </w:r>
          </w:p>
          <w:p w14:paraId="63D9789A">
            <w:pPr>
              <w:pStyle w:val="29"/>
              <w:numPr>
                <w:ilvl w:val="0"/>
                <w:numId w:val="2"/>
              </w:numPr>
              <w:spacing w:after="200"/>
            </w:pPr>
            <w:r>
              <w:rPr>
                <w:b/>
                <w:bCs/>
                <w:color w:val="000000"/>
              </w:rPr>
              <w:t xml:space="preserve">Evaluate </w:t>
            </w:r>
            <w:r>
              <w:rPr>
                <w:color w:val="000000"/>
              </w:rPr>
              <w:t>the potential impact of consistent family rituals on long-term relationship satisfaction and child well-being.</w:t>
            </w:r>
          </w:p>
          <w:p w14:paraId="05B58A25">
            <w:pPr>
              <w:rPr>
                <w:rFonts w:hint="default" w:ascii="Times New Roman" w:hAnsi="Times New Roman" w:eastAsia="Times New Roman" w:cs="Times New Roman"/>
                <w:kern w:val="0"/>
                <w:lang w:val="en-US"/>
                <w14:ligatures w14:val="none"/>
              </w:rPr>
            </w:pPr>
          </w:p>
          <w:p w14:paraId="769B58B1">
            <w:pPr>
              <w:spacing w:after="240"/>
              <w:rPr>
                <w:rFonts w:ascii="Times New Roman" w:hAnsi="Times New Roman" w:eastAsia="Times New Roman" w:cs="Times New Roman"/>
                <w:kern w:val="0"/>
                <w14:ligatures w14:val="none"/>
              </w:rPr>
            </w:pPr>
          </w:p>
        </w:tc>
      </w:tr>
      <w:tr w14:paraId="6D6EC90E">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14:paraId="4DD1724D">
            <w:pPr>
              <w:jc w:val="center"/>
              <w:rPr>
                <w:rFonts w:ascii="Times New Roman" w:hAnsi="Times New Roman" w:eastAsia="Times New Roman" w:cs="Times New Roman"/>
                <w:kern w:val="0"/>
                <w14:ligatures w14:val="none"/>
              </w:rPr>
            </w:pPr>
            <w:r>
              <w:rPr>
                <w:rFonts w:ascii="Arial" w:hAnsi="Arial" w:eastAsia="Times New Roman" w:cs="Arial"/>
                <w:b/>
                <w:bCs/>
                <w:color w:val="000000"/>
                <w:kern w:val="0"/>
                <w:sz w:val="22"/>
                <w:szCs w:val="22"/>
                <w14:ligatures w14:val="none"/>
              </w:rPr>
              <w:t>Principles and Learning Activities (main body of the lesson)</w:t>
            </w:r>
          </w:p>
          <w:p w14:paraId="771AC9D6">
            <w:pPr>
              <w:numPr>
                <w:ilvl w:val="0"/>
                <w:numId w:val="3"/>
              </w:numPr>
              <w:textAlignment w:val="baseline"/>
              <w:rPr>
                <w:rFonts w:ascii="Arial" w:hAnsi="Arial" w:eastAsia="Times New Roman" w:cs="Arial"/>
                <w:color w:val="000000"/>
                <w:kern w:val="0"/>
                <w:sz w:val="22"/>
                <w:szCs w:val="22"/>
                <w14:ligatures w14:val="none"/>
              </w:rPr>
            </w:pPr>
            <w:r>
              <w:rPr>
                <w:rFonts w:ascii="Arial" w:hAnsi="Arial" w:eastAsia="Times New Roman" w:cs="Arial"/>
                <w:color w:val="000000"/>
                <w:kern w:val="0"/>
                <w:sz w:val="22"/>
                <w:szCs w:val="22"/>
                <w14:ligatures w14:val="none"/>
              </w:rPr>
              <w:t>List the concepts and principles you will be teaching with enough detail and clarity so the reader understands what is being taught. </w:t>
            </w:r>
          </w:p>
          <w:p w14:paraId="59BE1D16">
            <w:pPr>
              <w:numPr>
                <w:ilvl w:val="0"/>
                <w:numId w:val="3"/>
              </w:numPr>
              <w:textAlignment w:val="baseline"/>
              <w:rPr>
                <w:rFonts w:ascii="Arial" w:hAnsi="Arial" w:eastAsia="Times New Roman" w:cs="Arial"/>
                <w:color w:val="000000"/>
                <w:kern w:val="0"/>
                <w:sz w:val="22"/>
                <w:szCs w:val="22"/>
                <w14:ligatures w14:val="none"/>
              </w:rPr>
            </w:pPr>
            <w:r>
              <w:rPr>
                <w:rFonts w:ascii="Arial" w:hAnsi="Arial" w:eastAsia="Times New Roman" w:cs="Arial"/>
                <w:color w:val="000000"/>
                <w:kern w:val="0"/>
                <w:sz w:val="22"/>
                <w:szCs w:val="22"/>
                <w14:ligatures w14:val="none"/>
              </w:rPr>
              <w:t>Describe the “pastures” you will utilize to keep the participants engaged and interested in the learning process (i.e., examples, stories, activities, quotes, video clips, powerpoints, handouts, humor, examples, stories, observations, discussion questions, etc.). Detail why you chose this “pasture” for the specific information being taught and how it adds to the learning process.</w:t>
            </w:r>
          </w:p>
        </w:tc>
      </w:tr>
      <w:tr w14:paraId="56FED8D8">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FBBC4C">
            <w:pPr>
              <w:spacing w:after="120"/>
            </w:pPr>
            <w:r>
              <w:rPr>
                <w:b/>
                <w:bCs/>
                <w:color w:val="000000"/>
              </w:rPr>
              <w:t>Total Session Time: 90 minutes</w:t>
            </w:r>
          </w:p>
          <w:p w14:paraId="0C69C89A">
            <w:pPr>
              <w:pStyle w:val="4"/>
            </w:pPr>
            <w:r>
              <w:rPr>
                <w:color w:val="000000"/>
              </w:rPr>
              <w:t>1. Welcome, Review &amp; Hook (10 minutes)</w:t>
            </w:r>
          </w:p>
          <w:p w14:paraId="3BCFF608">
            <w:pPr>
              <w:spacing w:after="80"/>
            </w:pPr>
            <w:r>
              <w:rPr>
                <w:b/>
                <w:bCs/>
                <w:color w:val="000000"/>
              </w:rPr>
              <w:t xml:space="preserve">Principle: </w:t>
            </w:r>
            <w:r>
              <w:rPr>
                <w:color w:val="000000"/>
              </w:rPr>
              <w:t>Family resilience is built through consistent, intentional connection rather than the absence of problems.</w:t>
            </w:r>
          </w:p>
          <w:p w14:paraId="05A25B3B">
            <w:pPr>
              <w:spacing w:after="80"/>
            </w:pPr>
            <w:r>
              <w:rPr>
                <w:b/>
                <w:bCs/>
                <w:color w:val="000000"/>
              </w:rPr>
              <w:t xml:space="preserve">Activity: </w:t>
            </w:r>
            <w:r>
              <w:rPr>
                <w:color w:val="000000"/>
              </w:rPr>
              <w:t>Brief review of key takeaways from Lessons</w:t>
            </w:r>
            <w:r>
              <w:rPr>
                <w:rFonts w:hint="default"/>
                <w:color w:val="000000"/>
                <w:lang w:val="en-US"/>
              </w:rPr>
              <w:t xml:space="preserve">; </w:t>
            </w:r>
            <w:r>
              <w:rPr>
                <w:color w:val="000000"/>
              </w:rPr>
              <w:t xml:space="preserve">Communication Foundations and 2 </w:t>
            </w:r>
            <w:r>
              <w:rPr>
                <w:rFonts w:hint="default"/>
                <w:color w:val="000000"/>
                <w:lang w:val="en-US"/>
              </w:rPr>
              <w:t>;</w:t>
            </w:r>
            <w:r>
              <w:rPr>
                <w:color w:val="000000"/>
              </w:rPr>
              <w:t>Conflict Navigation. Participants pair up and share one successful application of a previous skill. Facilitator then presents a short real-life scenario of a family facing overlapping stressors</w:t>
            </w:r>
            <w:r>
              <w:rPr>
                <w:rFonts w:hint="default"/>
                <w:color w:val="000000"/>
                <w:lang w:val="en-US"/>
              </w:rPr>
              <w:t xml:space="preserve"> </w:t>
            </w:r>
            <w:r>
              <w:rPr>
                <w:color w:val="000000"/>
              </w:rPr>
              <w:t>job change, teen challenges, aging parents and asks: “What keeps some families steady while others fracture under similar pressure?”</w:t>
            </w:r>
          </w:p>
          <w:p w14:paraId="65E013D7">
            <w:pPr>
              <w:spacing w:after="80"/>
            </w:pPr>
            <w:r>
              <w:rPr>
                <w:b/>
                <w:bCs/>
                <w:color w:val="000000"/>
              </w:rPr>
              <w:t xml:space="preserve">Pasture / Engagement Method: </w:t>
            </w:r>
            <w:r>
              <w:rPr>
                <w:color w:val="000000"/>
              </w:rPr>
              <w:t>Story-based hook + pair-and-share. Chosen because personal success stories increase self-efficacy and the scenario creates immediate relevance, preparing minds for deeper content.</w:t>
            </w:r>
          </w:p>
          <w:p w14:paraId="3908B69E">
            <w:pPr>
              <w:spacing w:after="160"/>
            </w:pPr>
            <w:r>
              <w:rPr>
                <w:b/>
                <w:bCs/>
                <w:color w:val="000000"/>
              </w:rPr>
              <w:t xml:space="preserve">Materials: </w:t>
            </w:r>
            <w:r>
              <w:rPr>
                <w:color w:val="000000"/>
              </w:rPr>
              <w:t>PowerPoint slide with scenario; whiteboard for capturing themes.</w:t>
            </w:r>
          </w:p>
          <w:p w14:paraId="2E94E872">
            <w:pPr>
              <w:pStyle w:val="4"/>
            </w:pPr>
            <w:r>
              <w:rPr>
                <w:color w:val="000000"/>
              </w:rPr>
              <w:t>2. Teaching Core Principles</w:t>
            </w:r>
            <w:r>
              <w:rPr>
                <w:rFonts w:hint="default"/>
                <w:color w:val="000000"/>
                <w:lang w:val="en-US"/>
              </w:rPr>
              <w:t>:</w:t>
            </w:r>
            <w:r>
              <w:rPr>
                <w:color w:val="000000"/>
              </w:rPr>
              <w:t xml:space="preserve"> The Resilience Framework (20 minutes)</w:t>
            </w:r>
          </w:p>
          <w:p w14:paraId="4F5722FC">
            <w:pPr>
              <w:spacing w:after="80"/>
            </w:pPr>
            <w:r>
              <w:rPr>
                <w:b/>
                <w:bCs/>
                <w:color w:val="000000"/>
              </w:rPr>
              <w:t>Principles taught:</w:t>
            </w:r>
          </w:p>
          <w:p w14:paraId="2116B47E">
            <w:pPr>
              <w:pStyle w:val="29"/>
              <w:numPr>
                <w:ilvl w:val="0"/>
                <w:numId w:val="4"/>
              </w:numPr>
            </w:pPr>
            <w:r>
              <w:rPr>
                <w:color w:val="000000"/>
              </w:rPr>
              <w:t>Emotional regulation as the foundation of constructive family interaction</w:t>
            </w:r>
          </w:p>
          <w:p w14:paraId="49667998">
            <w:pPr>
              <w:pStyle w:val="29"/>
              <w:numPr>
                <w:ilvl w:val="0"/>
                <w:numId w:val="4"/>
              </w:numPr>
            </w:pPr>
            <w:r>
              <w:rPr>
                <w:color w:val="000000"/>
              </w:rPr>
              <w:t>The power of daily micro-connections (Gottman’s “bids for connection”)</w:t>
            </w:r>
          </w:p>
          <w:p w14:paraId="6506893A">
            <w:pPr>
              <w:pStyle w:val="29"/>
              <w:numPr>
                <w:ilvl w:val="0"/>
                <w:numId w:val="4"/>
              </w:numPr>
            </w:pPr>
            <w:r>
              <w:rPr>
                <w:color w:val="000000"/>
              </w:rPr>
              <w:t>Shared family rituals as protective factors</w:t>
            </w:r>
          </w:p>
          <w:p w14:paraId="12429E99">
            <w:pPr>
              <w:pStyle w:val="29"/>
              <w:numPr>
                <w:ilvl w:val="0"/>
                <w:numId w:val="4"/>
              </w:numPr>
              <w:spacing w:after="80"/>
            </w:pPr>
            <w:r>
              <w:rPr>
                <w:color w:val="000000"/>
              </w:rPr>
              <w:t>Repair conversations that restore safety after rupture</w:t>
            </w:r>
          </w:p>
          <w:p w14:paraId="1092C22A">
            <w:pPr>
              <w:spacing w:after="80"/>
            </w:pPr>
            <w:r>
              <w:rPr>
                <w:b/>
                <w:bCs/>
                <w:color w:val="000000"/>
              </w:rPr>
              <w:t xml:space="preserve">Activity: </w:t>
            </w:r>
            <w:r>
              <w:rPr>
                <w:color w:val="000000"/>
              </w:rPr>
              <w:t xml:space="preserve">Interactive mini-lecture with three short video clips </w:t>
            </w:r>
            <w:r>
              <w:rPr>
                <w:rFonts w:hint="default"/>
                <w:color w:val="000000"/>
                <w:lang w:val="en-US"/>
              </w:rPr>
              <w:t xml:space="preserve">for </w:t>
            </w:r>
            <w:r>
              <w:rPr>
                <w:color w:val="000000"/>
              </w:rPr>
              <w:t>2</w:t>
            </w:r>
            <w:r>
              <w:rPr>
                <w:rFonts w:hint="default"/>
                <w:color w:val="000000"/>
                <w:lang w:val="en-US"/>
              </w:rPr>
              <w:t xml:space="preserve"> to </w:t>
            </w:r>
            <w:r>
              <w:rPr>
                <w:color w:val="000000"/>
              </w:rPr>
              <w:t>3 minutes each illustrating successful vs. unsuccessful bids for connection and a positive repair sequence. After each clip, participants identify what worked or failed using a simple handout checklist.</w:t>
            </w:r>
          </w:p>
          <w:p w14:paraId="37F84DF8">
            <w:pPr>
              <w:spacing w:after="80"/>
            </w:pPr>
            <w:r>
              <w:rPr>
                <w:b/>
                <w:bCs/>
                <w:color w:val="000000"/>
              </w:rPr>
              <w:t xml:space="preserve">Pasture / Engagement Method: </w:t>
            </w:r>
            <w:r>
              <w:rPr>
                <w:color w:val="000000"/>
              </w:rPr>
              <w:t xml:space="preserve">Video examples </w:t>
            </w:r>
            <w:r>
              <w:rPr>
                <w:rFonts w:hint="default"/>
                <w:color w:val="000000"/>
                <w:lang w:val="en-US"/>
              </w:rPr>
              <w:t>and</w:t>
            </w:r>
            <w:r>
              <w:rPr>
                <w:color w:val="000000"/>
              </w:rPr>
              <w:t xml:space="preserve"> guided observation checklist. Visual modeling accelerates skill acquisition and keeps energy high; the checklist moves participants from passive viewing to active analysis.</w:t>
            </w:r>
          </w:p>
          <w:p w14:paraId="75CEDC25">
            <w:pPr>
              <w:spacing w:after="160"/>
            </w:pPr>
            <w:r>
              <w:rPr>
                <w:b/>
                <w:bCs/>
                <w:color w:val="000000"/>
              </w:rPr>
              <w:t xml:space="preserve">Materials: </w:t>
            </w:r>
            <w:r>
              <w:rPr>
                <w:color w:val="000000"/>
              </w:rPr>
              <w:t xml:space="preserve">PowerPoint; three short video clips; “Connection &amp; Repair Observation” </w:t>
            </w:r>
            <w:r>
              <w:rPr>
                <w:rFonts w:hint="default"/>
                <w:color w:val="000000"/>
                <w:lang w:val="en-US"/>
              </w:rPr>
              <w:t xml:space="preserve">one page </w:t>
            </w:r>
            <w:r>
              <w:rPr>
                <w:color w:val="000000"/>
              </w:rPr>
              <w:t>handout.</w:t>
            </w:r>
          </w:p>
          <w:p w14:paraId="0736B710">
            <w:pPr>
              <w:pStyle w:val="4"/>
            </w:pPr>
            <w:r>
              <w:rPr>
                <w:color w:val="000000"/>
              </w:rPr>
              <w:t>3. Skill Practice</w:t>
            </w:r>
            <w:r>
              <w:rPr>
                <w:rFonts w:hint="default"/>
                <w:color w:val="000000"/>
                <w:lang w:val="en-US"/>
              </w:rPr>
              <w:t xml:space="preserve">: </w:t>
            </w:r>
            <w:r>
              <w:rPr>
                <w:color w:val="000000"/>
              </w:rPr>
              <w:t>Repair Conversations &amp; Ritual Design (25 minutes)</w:t>
            </w:r>
          </w:p>
          <w:p w14:paraId="6FBDD53B">
            <w:pPr>
              <w:spacing w:after="80"/>
            </w:pPr>
            <w:r>
              <w:rPr>
                <w:b/>
                <w:bCs/>
                <w:color w:val="000000"/>
              </w:rPr>
              <w:t xml:space="preserve">Principle: </w:t>
            </w:r>
            <w:r>
              <w:rPr>
                <w:color w:val="000000"/>
              </w:rPr>
              <w:t>Resilience is practiced, not merely understood. Families who regularly repair and ritualize connection recover faster from setbacks.</w:t>
            </w:r>
          </w:p>
          <w:p w14:paraId="5D4415EC">
            <w:pPr>
              <w:spacing w:after="80"/>
            </w:pPr>
            <w:r>
              <w:rPr>
                <w:b/>
                <w:bCs/>
                <w:color w:val="000000"/>
              </w:rPr>
              <w:t xml:space="preserve">Activity: </w:t>
            </w:r>
            <w:r>
              <w:rPr>
                <w:color w:val="000000"/>
              </w:rPr>
              <w:t xml:space="preserve">Participants work in pairs preferably with their partner or a peer. Part A (12 min): Practice a structured repair conversation using a provided script framework (Acknowledge </w:t>
            </w:r>
            <w:r>
              <w:rPr>
                <w:rFonts w:hint="default"/>
                <w:color w:val="000000"/>
                <w:lang w:val="en-US"/>
              </w:rPr>
              <w:t>to</w:t>
            </w:r>
            <w:r>
              <w:rPr>
                <w:color w:val="000000"/>
              </w:rPr>
              <w:t xml:space="preserve"> Own </w:t>
            </w:r>
            <w:r>
              <w:rPr>
                <w:rFonts w:hint="default"/>
                <w:color w:val="000000"/>
                <w:lang w:val="en-US"/>
              </w:rPr>
              <w:t>to</w:t>
            </w:r>
            <w:r>
              <w:rPr>
                <w:color w:val="000000"/>
              </w:rPr>
              <w:t xml:space="preserve"> Invite </w:t>
            </w:r>
            <w:r>
              <w:rPr>
                <w:rFonts w:hint="default"/>
                <w:color w:val="000000"/>
                <w:lang w:val="en-US"/>
              </w:rPr>
              <w:t>to</w:t>
            </w:r>
            <w:r>
              <w:rPr>
                <w:color w:val="000000"/>
              </w:rPr>
              <w:t xml:space="preserve"> Plan). Part B (10 min): Design one weekly family ritual and one daily micro-connection practice. Facilitator circulates, coaches, and highlights strong examples.</w:t>
            </w:r>
          </w:p>
          <w:p w14:paraId="47CD612D">
            <w:pPr>
              <w:spacing w:after="80"/>
            </w:pPr>
            <w:r>
              <w:rPr>
                <w:b/>
                <w:bCs/>
                <w:color w:val="000000"/>
              </w:rPr>
              <w:t xml:space="preserve">Pasture / Engagement Method: </w:t>
            </w:r>
            <w:r>
              <w:rPr>
                <w:color w:val="000000"/>
              </w:rPr>
              <w:t xml:space="preserve">Role-play practice </w:t>
            </w:r>
            <w:r>
              <w:rPr>
                <w:rFonts w:hint="default"/>
                <w:color w:val="000000"/>
                <w:lang w:val="en-US"/>
              </w:rPr>
              <w:t>and</w:t>
            </w:r>
            <w:r>
              <w:rPr>
                <w:color w:val="000000"/>
              </w:rPr>
              <w:t xml:space="preserve"> collaborative design. Active rehearsal builds muscle memory; designing a personal r</w:t>
            </w:r>
            <w:bookmarkStart w:id="0" w:name="_GoBack"/>
            <w:bookmarkEnd w:id="0"/>
            <w:r>
              <w:rPr>
                <w:color w:val="000000"/>
              </w:rPr>
              <w:t>itual creates ownership and increases likelihood of follow-through at home.</w:t>
            </w:r>
          </w:p>
          <w:p w14:paraId="0F7C4157">
            <w:pPr>
              <w:spacing w:after="160"/>
            </w:pPr>
            <w:r>
              <w:rPr>
                <w:b/>
                <w:bCs/>
                <w:color w:val="000000"/>
              </w:rPr>
              <w:t xml:space="preserve">Materials: </w:t>
            </w:r>
            <w:r>
              <w:rPr>
                <w:color w:val="000000"/>
              </w:rPr>
              <w:t>“Repair Conversation Framework” handout; “Family Ritual Design” worksheet; timer.</w:t>
            </w:r>
          </w:p>
          <w:p w14:paraId="0058D76C">
            <w:pPr>
              <w:pStyle w:val="4"/>
            </w:pPr>
            <w:r>
              <w:rPr>
                <w:color w:val="000000"/>
              </w:rPr>
              <w:t>4. Synthesis &amp; 30-Day Action Plan (20 minutes)</w:t>
            </w:r>
          </w:p>
          <w:p w14:paraId="5AB59045">
            <w:pPr>
              <w:spacing w:after="80"/>
            </w:pPr>
            <w:r>
              <w:rPr>
                <w:b/>
                <w:bCs/>
                <w:color w:val="000000"/>
              </w:rPr>
              <w:t xml:space="preserve">Principle: </w:t>
            </w:r>
            <w:r>
              <w:rPr>
                <w:color w:val="000000"/>
              </w:rPr>
              <w:t>Lasting change requires concrete, realistic commitments tied to existing family rhythms.</w:t>
            </w:r>
          </w:p>
          <w:p w14:paraId="6514E66B">
            <w:pPr>
              <w:spacing w:after="80"/>
            </w:pPr>
            <w:r>
              <w:rPr>
                <w:b/>
                <w:bCs/>
                <w:color w:val="000000"/>
              </w:rPr>
              <w:t xml:space="preserve">Activity: </w:t>
            </w:r>
            <w:r>
              <w:rPr>
                <w:color w:val="000000"/>
              </w:rPr>
              <w:t>Individuals complete a one-page 30-Day Family Resilience Action Plan that integrates skills from all three lessons. They identify: (1) one daily connection practice, (2) one weekly ritual, (3) a repair strategy to use when tension rises, and (4) a simple accountability method (calendar reminder, partner check-in, or journal). Voluntary sharing of one commitment with the group.</w:t>
            </w:r>
          </w:p>
          <w:p w14:paraId="6CCDC10C">
            <w:pPr>
              <w:spacing w:after="80"/>
            </w:pPr>
            <w:r>
              <w:rPr>
                <w:b/>
                <w:bCs/>
                <w:color w:val="000000"/>
              </w:rPr>
              <w:t xml:space="preserve">Pasture / Engagement Method: </w:t>
            </w:r>
            <w:r>
              <w:rPr>
                <w:color w:val="000000"/>
              </w:rPr>
              <w:t xml:space="preserve">Written planning </w:t>
            </w:r>
            <w:r>
              <w:rPr>
                <w:rFonts w:hint="default"/>
                <w:color w:val="000000"/>
                <w:lang w:val="en-US"/>
              </w:rPr>
              <w:t xml:space="preserve">and </w:t>
            </w:r>
            <w:r>
              <w:rPr>
                <w:color w:val="000000"/>
              </w:rPr>
              <w:t xml:space="preserve"> optional public commitment. Writing solidifies intention; brief public sharing leverages social accountability and allows peer learning.</w:t>
            </w:r>
          </w:p>
          <w:p w14:paraId="417CB7DF">
            <w:pPr>
              <w:spacing w:after="160"/>
            </w:pPr>
            <w:r>
              <w:rPr>
                <w:b/>
                <w:bCs/>
                <w:color w:val="000000"/>
              </w:rPr>
              <w:t xml:space="preserve">Materials: </w:t>
            </w:r>
            <w:r>
              <w:rPr>
                <w:color w:val="000000"/>
              </w:rPr>
              <w:t>“30-Day Family Resilience Action Plan” worksheet; pens.</w:t>
            </w:r>
          </w:p>
          <w:p w14:paraId="184383F8">
            <w:pPr>
              <w:pStyle w:val="4"/>
            </w:pPr>
            <w:r>
              <w:rPr>
                <w:color w:val="000000"/>
              </w:rPr>
              <w:t>5. Closing Reflection &amp; Resources (15 minutes)</w:t>
            </w:r>
          </w:p>
          <w:p w14:paraId="0FD5FC51">
            <w:pPr>
              <w:spacing w:after="80"/>
            </w:pPr>
            <w:r>
              <w:rPr>
                <w:b/>
                <w:bCs/>
                <w:color w:val="000000"/>
              </w:rPr>
              <w:t xml:space="preserve">Activity: </w:t>
            </w:r>
            <w:r>
              <w:rPr>
                <w:color w:val="000000"/>
              </w:rPr>
              <w:t xml:space="preserve">Guided reflection question: “What is one way you have already seen strength in your family that you can build upon?” Brief sharing. Facilitator distributes a one-page resource list </w:t>
            </w:r>
            <w:r>
              <w:rPr>
                <w:rFonts w:hint="default"/>
                <w:color w:val="000000"/>
                <w:lang w:val="en-US"/>
              </w:rPr>
              <w:t xml:space="preserve">such as </w:t>
            </w:r>
            <w:r>
              <w:rPr>
                <w:color w:val="000000"/>
              </w:rPr>
              <w:t>books, apps, local supports and expresses confidence in the group’s capacity. Optional invitation to continue informal peer support.</w:t>
            </w:r>
          </w:p>
          <w:p w14:paraId="12F28FF9">
            <w:pPr>
              <w:spacing w:after="80"/>
            </w:pPr>
            <w:r>
              <w:rPr>
                <w:b/>
                <w:bCs/>
                <w:color w:val="000000"/>
              </w:rPr>
              <w:t xml:space="preserve">Pasture / Engagement Method: </w:t>
            </w:r>
            <w:r>
              <w:rPr>
                <w:color w:val="000000"/>
              </w:rPr>
              <w:t>Strengths-based closing reflection. Ending on existing strengths increases hope and counters deficit thinking.</w:t>
            </w:r>
          </w:p>
          <w:p w14:paraId="57B663EA">
            <w:pPr>
              <w:spacing w:after="200"/>
            </w:pPr>
            <w:r>
              <w:rPr>
                <w:b/>
                <w:bCs/>
                <w:color w:val="000000"/>
              </w:rPr>
              <w:t xml:space="preserve">Materials: </w:t>
            </w:r>
            <w:r>
              <w:rPr>
                <w:color w:val="000000"/>
              </w:rPr>
              <w:t>Resource list handout; optional evaluation form.</w:t>
            </w:r>
          </w:p>
          <w:p w14:paraId="4D7D0168">
            <w:pPr>
              <w:pStyle w:val="3"/>
            </w:pPr>
            <w:r>
              <w:rPr>
                <w:color w:val="000000"/>
              </w:rPr>
              <w:t>Instructional Materials Summary</w:t>
            </w:r>
          </w:p>
          <w:p w14:paraId="13216E23">
            <w:pPr>
              <w:pStyle w:val="29"/>
              <w:numPr>
                <w:ilvl w:val="0"/>
                <w:numId w:val="4"/>
              </w:numPr>
            </w:pPr>
            <w:r>
              <w:rPr>
                <w:color w:val="000000"/>
              </w:rPr>
              <w:t>PowerPoint presentation (12–15 slides) covering resilience framework, video discussion prompts, and action-plan guidance</w:t>
            </w:r>
          </w:p>
          <w:p w14:paraId="2E869BA5">
            <w:pPr>
              <w:pStyle w:val="29"/>
              <w:numPr>
                <w:ilvl w:val="0"/>
                <w:numId w:val="4"/>
              </w:numPr>
            </w:pPr>
            <w:r>
              <w:rPr>
                <w:color w:val="000000"/>
              </w:rPr>
              <w:t>Three short video clips (bids for connection examples and a repair conversation model)</w:t>
            </w:r>
          </w:p>
          <w:p w14:paraId="719051F8">
            <w:pPr>
              <w:pStyle w:val="29"/>
              <w:numPr>
                <w:ilvl w:val="0"/>
                <w:numId w:val="4"/>
              </w:numPr>
            </w:pPr>
            <w:r>
              <w:rPr>
                <w:color w:val="000000"/>
              </w:rPr>
              <w:t>Handout 1: Connection &amp; Repair Observation Checklist</w:t>
            </w:r>
          </w:p>
          <w:p w14:paraId="416E43FA">
            <w:pPr>
              <w:pStyle w:val="29"/>
              <w:numPr>
                <w:ilvl w:val="0"/>
                <w:numId w:val="4"/>
              </w:numPr>
            </w:pPr>
            <w:r>
              <w:rPr>
                <w:color w:val="000000"/>
              </w:rPr>
              <w:t>Handout 2: Repair Conversation Framework</w:t>
            </w:r>
          </w:p>
          <w:p w14:paraId="5DEE3F3F">
            <w:pPr>
              <w:pStyle w:val="29"/>
              <w:numPr>
                <w:ilvl w:val="0"/>
                <w:numId w:val="4"/>
              </w:numPr>
            </w:pPr>
            <w:r>
              <w:rPr>
                <w:color w:val="000000"/>
              </w:rPr>
              <w:t>Handout 3: Family Ritual Design Worksheet</w:t>
            </w:r>
          </w:p>
          <w:p w14:paraId="2D6797C9">
            <w:pPr>
              <w:pStyle w:val="29"/>
              <w:numPr>
                <w:ilvl w:val="0"/>
                <w:numId w:val="4"/>
              </w:numPr>
            </w:pPr>
            <w:r>
              <w:rPr>
                <w:color w:val="000000"/>
              </w:rPr>
              <w:t>Handout 4: 30-Day Family Resilience Action Plan</w:t>
            </w:r>
          </w:p>
          <w:p w14:paraId="402AEF27">
            <w:pPr>
              <w:pStyle w:val="29"/>
              <w:numPr>
                <w:ilvl w:val="0"/>
                <w:numId w:val="4"/>
              </w:numPr>
              <w:spacing w:after="200"/>
            </w:pPr>
            <w:r>
              <w:rPr>
                <w:color w:val="000000"/>
              </w:rPr>
              <w:t>One-page Resource List (books, apps, websites, local supports)</w:t>
            </w:r>
          </w:p>
          <w:p w14:paraId="4E2405C9">
            <w:pPr>
              <w:spacing w:after="24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p>
        </w:tc>
      </w:tr>
      <w:tr w14:paraId="20B6E11C">
        <w:tblPrEx>
          <w:tblCellMar>
            <w:top w:w="15" w:type="dxa"/>
            <w:left w:w="15" w:type="dxa"/>
            <w:bottom w:w="15" w:type="dxa"/>
            <w:right w:w="15" w:type="dxa"/>
          </w:tblCellMar>
        </w:tblPrEx>
        <w:tc>
          <w:tcPr>
            <w:tcW w:w="1079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D1B4BB">
            <w:pPr>
              <w:rPr>
                <w:rFonts w:ascii="Times New Roman" w:hAnsi="Times New Roman" w:eastAsia="Times New Roman" w:cs="Times New Roman"/>
                <w:kern w:val="0"/>
                <w14:ligatures w14:val="none"/>
              </w:rPr>
            </w:pPr>
            <w:r>
              <w:rPr>
                <w:rFonts w:ascii="Arial" w:hAnsi="Arial" w:eastAsia="Times New Roman" w:cs="Arial"/>
                <w:b/>
                <w:bCs/>
                <w:color w:val="000000"/>
                <w:kern w:val="0"/>
                <w:sz w:val="22"/>
                <w:szCs w:val="22"/>
                <w14:ligatures w14:val="none"/>
              </w:rPr>
              <w:t>Resources:</w:t>
            </w:r>
          </w:p>
          <w:p w14:paraId="4D0F30BE">
            <w:pPr>
              <w:numPr>
                <w:ilvl w:val="0"/>
                <w:numId w:val="5"/>
              </w:numPr>
              <w:textAlignment w:val="baseline"/>
              <w:rPr>
                <w:rFonts w:ascii="Arial" w:hAnsi="Arial" w:eastAsia="Times New Roman" w:cs="Arial"/>
                <w:color w:val="000000"/>
                <w:kern w:val="0"/>
                <w:sz w:val="22"/>
                <w:szCs w:val="22"/>
                <w14:ligatures w14:val="none"/>
              </w:rPr>
            </w:pPr>
            <w:r>
              <w:rPr>
                <w:rFonts w:ascii="Arial" w:hAnsi="Arial" w:eastAsia="Times New Roman" w:cs="Arial"/>
                <w:color w:val="000000"/>
                <w:kern w:val="0"/>
                <w:sz w:val="22"/>
                <w:szCs w:val="22"/>
                <w14:ligatures w14:val="none"/>
              </w:rPr>
              <w:t>List the learning resources you used to create this lesson in APA style.</w:t>
            </w:r>
          </w:p>
          <w:p w14:paraId="01AAFDF5">
            <w:pPr>
              <w:spacing w:after="80"/>
            </w:pPr>
            <w:r>
              <w:rPr>
                <w:rFonts w:ascii="Times New Roman" w:hAnsi="Times New Roman" w:eastAsia="Times New Roman" w:cs="Times New Roman"/>
                <w:kern w:val="0"/>
                <w14:ligatures w14:val="none"/>
              </w:rPr>
              <w:br w:type="textWrapping"/>
            </w:r>
            <w:r>
              <w:rPr>
                <w:color w:val="000000"/>
              </w:rPr>
              <w:t xml:space="preserve">Gottman, J. M., &amp; Silver, N. (2015). </w:t>
            </w:r>
            <w:r>
              <w:rPr>
                <w:i/>
                <w:iCs/>
                <w:color w:val="000000"/>
              </w:rPr>
              <w:t>The seven principles for making marriage work</w:t>
            </w:r>
            <w:r>
              <w:rPr>
                <w:color w:val="000000"/>
              </w:rPr>
              <w:t xml:space="preserve"> (Rev. ed.). Harmony Books.</w:t>
            </w:r>
          </w:p>
          <w:p w14:paraId="1DE4FC1B">
            <w:pPr>
              <w:spacing w:after="80"/>
            </w:pPr>
            <w:r>
              <w:rPr>
                <w:color w:val="000000"/>
              </w:rPr>
              <w:t xml:space="preserve">Walsh, F. (2016). </w:t>
            </w:r>
            <w:r>
              <w:rPr>
                <w:i/>
                <w:iCs/>
                <w:color w:val="000000"/>
              </w:rPr>
              <w:t>Strengthening family resilience</w:t>
            </w:r>
            <w:r>
              <w:rPr>
                <w:color w:val="000000"/>
              </w:rPr>
              <w:t xml:space="preserve"> (3rd ed.). Guilford Press.</w:t>
            </w:r>
          </w:p>
          <w:p w14:paraId="71878416">
            <w:pPr>
              <w:spacing w:after="80"/>
            </w:pPr>
            <w:r>
              <w:rPr>
                <w:color w:val="000000"/>
              </w:rPr>
              <w:t xml:space="preserve">Markman, H. J., Stanley, S. M., &amp; Blumberg, S. L. (2010). </w:t>
            </w:r>
            <w:r>
              <w:rPr>
                <w:i/>
                <w:iCs/>
                <w:color w:val="000000"/>
              </w:rPr>
              <w:t>Fighting for your marriage</w:t>
            </w:r>
            <w:r>
              <w:rPr>
                <w:color w:val="000000"/>
              </w:rPr>
              <w:t xml:space="preserve"> (3rd ed.). Jossey-Bass.</w:t>
            </w:r>
          </w:p>
          <w:p w14:paraId="1353108A">
            <w:pPr>
              <w:spacing w:after="80"/>
            </w:pPr>
            <w:r>
              <w:rPr>
                <w:color w:val="000000"/>
              </w:rPr>
              <w:t xml:space="preserve">Siegel, D. J., &amp; Bryson, T. P. (2012). </w:t>
            </w:r>
            <w:r>
              <w:rPr>
                <w:i/>
                <w:iCs/>
                <w:color w:val="000000"/>
              </w:rPr>
              <w:t>The whole-brain child</w:t>
            </w:r>
            <w:r>
              <w:rPr>
                <w:color w:val="000000"/>
              </w:rPr>
              <w:t>. Bantam Books.</w:t>
            </w:r>
          </w:p>
          <w:p w14:paraId="069A8CB9">
            <w:pPr>
              <w:spacing w:after="80"/>
            </w:pPr>
            <w:r>
              <w:rPr>
                <w:color w:val="000000"/>
              </w:rPr>
              <w:t xml:space="preserve">Fiese, B. H. (2006). </w:t>
            </w:r>
            <w:r>
              <w:rPr>
                <w:i/>
                <w:iCs/>
                <w:color w:val="000000"/>
              </w:rPr>
              <w:t>Family routines and rituals</w:t>
            </w:r>
            <w:r>
              <w:rPr>
                <w:color w:val="000000"/>
              </w:rPr>
              <w:t>. Yale University Press.</w:t>
            </w:r>
          </w:p>
          <w:p w14:paraId="3ECD19C9">
            <w:pPr>
              <w:spacing w:after="200"/>
            </w:pPr>
            <w:r>
              <w:rPr>
                <w:color w:val="000000"/>
              </w:rPr>
              <w:t xml:space="preserve">American Psychological Association. (2020). </w:t>
            </w:r>
            <w:r>
              <w:rPr>
                <w:i/>
                <w:iCs/>
                <w:color w:val="000000"/>
              </w:rPr>
              <w:t>Publication manual of the American Psychological Association</w:t>
            </w:r>
            <w:r>
              <w:rPr>
                <w:color w:val="000000"/>
              </w:rPr>
              <w:t xml:space="preserve"> (7th ed.). https://doi.org/10.1037/0000165-000</w:t>
            </w:r>
          </w:p>
          <w:p w14:paraId="5ACDB573">
            <w:pPr>
              <w:spacing w:after="24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br w:type="textWrapping"/>
            </w:r>
          </w:p>
        </w:tc>
      </w:tr>
    </w:tbl>
    <w:p w14:paraId="53C2B8F5"/>
    <w:p w14:paraId="30A7DEBD">
      <w:r>
        <w:br w:type="page"/>
      </w:r>
    </w:p>
    <w:p w14:paraId="6DACC90F">
      <w:pPr>
        <w:jc w:val="center"/>
      </w:pPr>
      <w:r>
        <w:t>AI Adaptation</w:t>
      </w:r>
    </w:p>
    <w:p w14:paraId="711A54CB">
      <w:pPr>
        <w:jc w:val="center"/>
      </w:pPr>
    </w:p>
    <w:p w14:paraId="067DB7B8">
      <w:pPr>
        <w:spacing w:after="120"/>
      </w:pPr>
      <w:r>
        <w:rPr>
          <w:color w:val="000000"/>
        </w:rPr>
        <w:t>The following adaptation converts the in-person 90-minute lesson into a fully online synchronous (or hybrid) experience suitable for Zoom, Microsoft Teams, or similar platforms. It preserves all learning outcomes while leveraging digital tools for engagement.</w:t>
      </w:r>
    </w:p>
    <w:p w14:paraId="7B46915E">
      <w:pPr>
        <w:pStyle w:val="3"/>
      </w:pPr>
      <w:r>
        <w:rPr>
          <w:color w:val="000000"/>
        </w:rPr>
        <w:t>Online Session Structure (90 minutes)</w:t>
      </w:r>
    </w:p>
    <w:p w14:paraId="79E41A0D">
      <w:pPr>
        <w:pStyle w:val="4"/>
      </w:pPr>
      <w:r>
        <w:rPr>
          <w:color w:val="000000"/>
        </w:rPr>
        <w:t>1. Welcome, Review &amp; Hook (10 minutes)  Virtual</w:t>
      </w:r>
    </w:p>
    <w:p w14:paraId="6A00D214">
      <w:pPr>
        <w:pStyle w:val="29"/>
        <w:numPr>
          <w:ilvl w:val="0"/>
          <w:numId w:val="6"/>
        </w:numPr>
      </w:pPr>
      <w:r>
        <w:rPr>
          <w:color w:val="000000"/>
        </w:rPr>
        <w:t>Use breakout rooms (pairs) for the success-story share.</w:t>
      </w:r>
    </w:p>
    <w:p w14:paraId="46D565DD">
      <w:pPr>
        <w:pStyle w:val="29"/>
        <w:numPr>
          <w:ilvl w:val="0"/>
          <w:numId w:val="6"/>
        </w:numPr>
      </w:pPr>
      <w:r>
        <w:rPr>
          <w:color w:val="000000"/>
        </w:rPr>
        <w:t xml:space="preserve">Display the </w:t>
      </w:r>
      <w:r>
        <w:rPr>
          <w:color w:val="000000"/>
          <w:lang w:val="en-US"/>
        </w:rPr>
        <w:t>family-stressors</w:t>
      </w:r>
      <w:r>
        <w:rPr>
          <w:color w:val="000000"/>
        </w:rPr>
        <w:t xml:space="preserve"> scenario on a shared screen or in the chat.</w:t>
      </w:r>
    </w:p>
    <w:p w14:paraId="550520D7">
      <w:pPr>
        <w:pStyle w:val="29"/>
        <w:numPr>
          <w:ilvl w:val="0"/>
          <w:numId w:val="6"/>
        </w:numPr>
        <w:spacing w:after="120"/>
      </w:pPr>
      <w:r>
        <w:rPr>
          <w:color w:val="000000"/>
        </w:rPr>
        <w:t>Collect themes via Zoom whiteboard, Mentimeter, or chat responses.</w:t>
      </w:r>
    </w:p>
    <w:p w14:paraId="434FE404">
      <w:pPr>
        <w:pStyle w:val="4"/>
      </w:pPr>
      <w:r>
        <w:rPr>
          <w:color w:val="000000"/>
        </w:rPr>
        <w:t>2. Teaching Core Principles (20 minutes)  Virtual</w:t>
      </w:r>
    </w:p>
    <w:p w14:paraId="309B971D">
      <w:pPr>
        <w:pStyle w:val="29"/>
        <w:numPr>
          <w:ilvl w:val="0"/>
          <w:numId w:val="6"/>
        </w:numPr>
      </w:pPr>
      <w:r>
        <w:rPr>
          <w:color w:val="000000"/>
        </w:rPr>
        <w:t>Share PowerPoint via screen share.</w:t>
      </w:r>
    </w:p>
    <w:p w14:paraId="2C64F976">
      <w:pPr>
        <w:pStyle w:val="29"/>
        <w:numPr>
          <w:ilvl w:val="0"/>
          <w:numId w:val="6"/>
        </w:numPr>
      </w:pPr>
      <w:r>
        <w:rPr>
          <w:color w:val="000000"/>
        </w:rPr>
        <w:t>Play the three short video clips directly in the meeting or via shared YouTube/Vimeo links.</w:t>
      </w:r>
    </w:p>
    <w:p w14:paraId="3585F81D">
      <w:pPr>
        <w:pStyle w:val="29"/>
        <w:numPr>
          <w:ilvl w:val="0"/>
          <w:numId w:val="6"/>
        </w:numPr>
      </w:pPr>
      <w:r>
        <w:rPr>
          <w:color w:val="000000"/>
        </w:rPr>
        <w:t>Distribute the Observation Checklist as a downloadable PDF or Google Doc before the session.</w:t>
      </w:r>
    </w:p>
    <w:p w14:paraId="5DDCAE12">
      <w:pPr>
        <w:pStyle w:val="29"/>
        <w:numPr>
          <w:ilvl w:val="0"/>
          <w:numId w:val="6"/>
        </w:numPr>
        <w:spacing w:after="120"/>
      </w:pPr>
      <w:r>
        <w:rPr>
          <w:color w:val="000000"/>
        </w:rPr>
        <w:t>Use the Reactions feature or a quick poll after each clip to keep participation high.</w:t>
      </w:r>
    </w:p>
    <w:p w14:paraId="0720FAFD">
      <w:pPr>
        <w:pStyle w:val="4"/>
      </w:pPr>
      <w:r>
        <w:rPr>
          <w:color w:val="000000"/>
        </w:rPr>
        <w:t>3. Skill Practice (25 minutes)  Virtual</w:t>
      </w:r>
    </w:p>
    <w:p w14:paraId="1AC7CD7C">
      <w:pPr>
        <w:pStyle w:val="29"/>
        <w:numPr>
          <w:ilvl w:val="0"/>
          <w:numId w:val="6"/>
        </w:numPr>
      </w:pPr>
      <w:r>
        <w:rPr>
          <w:color w:val="000000"/>
        </w:rPr>
        <w:t>Create breakout rooms of 2 partners or peer pairs.</w:t>
      </w:r>
    </w:p>
    <w:p w14:paraId="18356B7C">
      <w:pPr>
        <w:pStyle w:val="29"/>
        <w:numPr>
          <w:ilvl w:val="0"/>
          <w:numId w:val="6"/>
        </w:numPr>
      </w:pPr>
      <w:r>
        <w:rPr>
          <w:color w:val="000000"/>
        </w:rPr>
        <w:t>Share the Repair Conversation Framework and Ritual Design worksheets as fillable Google Docs or PDFs.</w:t>
      </w:r>
    </w:p>
    <w:p w14:paraId="3BC5A784">
      <w:pPr>
        <w:pStyle w:val="29"/>
        <w:numPr>
          <w:ilvl w:val="0"/>
          <w:numId w:val="6"/>
        </w:numPr>
      </w:pPr>
      <w:r>
        <w:rPr>
          <w:color w:val="000000"/>
        </w:rPr>
        <w:t>Facilitator and any co-facilitators rotate through breakout rooms to coach.</w:t>
      </w:r>
    </w:p>
    <w:p w14:paraId="04C529DC">
      <w:pPr>
        <w:pStyle w:val="29"/>
        <w:numPr>
          <w:ilvl w:val="0"/>
          <w:numId w:val="6"/>
        </w:numPr>
        <w:spacing w:after="120"/>
      </w:pPr>
      <w:r>
        <w:rPr>
          <w:color w:val="000000"/>
        </w:rPr>
        <w:t>Use a visible timer (e.g., Zoom timer or shared screen countdown) for the two practice segments.</w:t>
      </w:r>
    </w:p>
    <w:p w14:paraId="6ED9E5AA">
      <w:pPr>
        <w:pStyle w:val="4"/>
      </w:pPr>
      <w:r>
        <w:rPr>
          <w:color w:val="000000"/>
        </w:rPr>
        <w:t>4. Synthesis &amp; Action Plan (20 minutes)  Virtual</w:t>
      </w:r>
    </w:p>
    <w:p w14:paraId="4AA9457D">
      <w:pPr>
        <w:pStyle w:val="29"/>
        <w:numPr>
          <w:ilvl w:val="0"/>
          <w:numId w:val="6"/>
        </w:numPr>
      </w:pPr>
      <w:r>
        <w:rPr>
          <w:color w:val="000000"/>
        </w:rPr>
        <w:t>Participants complete the 30-Day Action Plan digitally (Google Doc or fillable PDF).</w:t>
      </w:r>
    </w:p>
    <w:p w14:paraId="531DD847">
      <w:pPr>
        <w:pStyle w:val="29"/>
        <w:numPr>
          <w:ilvl w:val="0"/>
          <w:numId w:val="6"/>
        </w:numPr>
      </w:pPr>
      <w:r>
        <w:rPr>
          <w:color w:val="000000"/>
        </w:rPr>
        <w:t>Optional: invite 3–4 volunteers to unmute and share one commitment.</w:t>
      </w:r>
    </w:p>
    <w:p w14:paraId="60958B41">
      <w:pPr>
        <w:pStyle w:val="29"/>
        <w:numPr>
          <w:ilvl w:val="0"/>
          <w:numId w:val="6"/>
        </w:numPr>
        <w:spacing w:after="120"/>
      </w:pPr>
      <w:r>
        <w:rPr>
          <w:color w:val="000000"/>
        </w:rPr>
        <w:t>Collect completed plans via a shared folder or email if desired for follow-up.</w:t>
      </w:r>
    </w:p>
    <w:p w14:paraId="4DD3059C">
      <w:pPr>
        <w:pStyle w:val="4"/>
      </w:pPr>
      <w:r>
        <w:rPr>
          <w:color w:val="000000"/>
        </w:rPr>
        <w:t>5. Closing Reflection &amp; Resources (15 minutes)  Virtual</w:t>
      </w:r>
    </w:p>
    <w:p w14:paraId="3609D259">
      <w:pPr>
        <w:pStyle w:val="29"/>
        <w:numPr>
          <w:ilvl w:val="0"/>
          <w:numId w:val="6"/>
        </w:numPr>
      </w:pPr>
      <w:r>
        <w:rPr>
          <w:color w:val="000000"/>
        </w:rPr>
        <w:t>Pose the strengths-based reflection question; collect responses in chat or Mentimeter.</w:t>
      </w:r>
    </w:p>
    <w:p w14:paraId="43F0C497">
      <w:pPr>
        <w:pStyle w:val="29"/>
        <w:numPr>
          <w:ilvl w:val="0"/>
          <w:numId w:val="6"/>
        </w:numPr>
      </w:pPr>
      <w:r>
        <w:rPr>
          <w:color w:val="000000"/>
        </w:rPr>
        <w:t>Share the Resource List as a downloadable PDF and post the link in chat.</w:t>
      </w:r>
    </w:p>
    <w:p w14:paraId="02DAE45A">
      <w:pPr>
        <w:pStyle w:val="29"/>
        <w:numPr>
          <w:ilvl w:val="0"/>
          <w:numId w:val="6"/>
        </w:numPr>
        <w:spacing w:after="200"/>
      </w:pPr>
      <w:r>
        <w:rPr>
          <w:color w:val="000000"/>
        </w:rPr>
        <w:t>End with a brief verbal encouragement and optional invitation to join a post-workshop peer-support group (WhatsApp, Facebook, or email list).</w:t>
      </w:r>
    </w:p>
    <w:p w14:paraId="46E808C2">
      <w:pPr>
        <w:pStyle w:val="3"/>
      </w:pPr>
      <w:r>
        <w:rPr>
          <w:color w:val="000000"/>
        </w:rPr>
        <w:t>Additional Online Enhancements</w:t>
      </w:r>
    </w:p>
    <w:p w14:paraId="50EF9236">
      <w:pPr>
        <w:pStyle w:val="29"/>
        <w:numPr>
          <w:ilvl w:val="0"/>
          <w:numId w:val="6"/>
        </w:numPr>
      </w:pPr>
      <w:r>
        <w:rPr>
          <w:b/>
          <w:bCs/>
          <w:color w:val="000000"/>
        </w:rPr>
        <w:t xml:space="preserve">Pre-session: </w:t>
      </w:r>
      <w:r>
        <w:rPr>
          <w:color w:val="000000"/>
        </w:rPr>
        <w:t>Email participants the handouts and a short “tech check” reminder 48 hours before.</w:t>
      </w:r>
    </w:p>
    <w:p w14:paraId="0E327BA2">
      <w:pPr>
        <w:pStyle w:val="29"/>
        <w:numPr>
          <w:ilvl w:val="0"/>
          <w:numId w:val="6"/>
        </w:numPr>
      </w:pPr>
      <w:r>
        <w:rPr>
          <w:b/>
          <w:bCs/>
          <w:color w:val="000000"/>
        </w:rPr>
        <w:t xml:space="preserve">Engagement tools: </w:t>
      </w:r>
      <w:r>
        <w:rPr>
          <w:color w:val="000000"/>
        </w:rPr>
        <w:t>Mentimeter or Poll Everywhere for live polls; Google Jamboard or Zoom whiteboard for collaborative idea capture.</w:t>
      </w:r>
    </w:p>
    <w:p w14:paraId="21468390">
      <w:pPr>
        <w:pStyle w:val="29"/>
        <w:numPr>
          <w:ilvl w:val="0"/>
          <w:numId w:val="6"/>
        </w:numPr>
      </w:pPr>
      <w:r>
        <w:rPr>
          <w:b/>
          <w:bCs/>
          <w:color w:val="000000"/>
        </w:rPr>
        <w:t xml:space="preserve">Accessibility: </w:t>
      </w:r>
      <w:r>
        <w:rPr>
          <w:color w:val="000000"/>
        </w:rPr>
        <w:t>Enable live captions; provide transcripts of video clips when possible; ensure all documents are screen-reader friendly.</w:t>
      </w:r>
    </w:p>
    <w:p w14:paraId="20CBAB8A">
      <w:pPr>
        <w:pStyle w:val="29"/>
        <w:numPr>
          <w:ilvl w:val="0"/>
          <w:numId w:val="6"/>
        </w:numPr>
      </w:pPr>
      <w:r>
        <w:rPr>
          <w:b/>
          <w:bCs/>
          <w:color w:val="000000"/>
        </w:rPr>
        <w:t xml:space="preserve">Follow-up: </w:t>
      </w:r>
      <w:r>
        <w:rPr>
          <w:color w:val="000000"/>
        </w:rPr>
        <w:t>Send a thank-you email within 24 hours containing the Resource List, a recording link (if recorded with consent), and an optional short evaluation survey.</w:t>
      </w:r>
    </w:p>
    <w:p w14:paraId="51AA107D">
      <w:pPr>
        <w:pStyle w:val="29"/>
        <w:numPr>
          <w:ilvl w:val="0"/>
          <w:numId w:val="6"/>
        </w:numPr>
        <w:spacing w:after="200"/>
      </w:pPr>
      <w:r>
        <w:rPr>
          <w:b/>
          <w:bCs/>
          <w:color w:val="000000"/>
        </w:rPr>
        <w:t xml:space="preserve">Asynchronous option: </w:t>
      </w:r>
      <w:r>
        <w:rPr>
          <w:color w:val="000000"/>
        </w:rPr>
        <w:t>For participants who cannot attend live, provide a narrated PowerPoint or short video modules of the teaching segments plus downloadable worksheets, with a discussion board prompt for reflection.</w:t>
      </w:r>
    </w:p>
    <w:p w14:paraId="0BE625DC">
      <w:pPr>
        <w:jc w:val="center"/>
      </w:pP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86"/>
    <w:family w:val="swiss"/>
    <w:pitch w:val="default"/>
    <w:sig w:usb0="E0002EFF" w:usb1="C000785B"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272B6977"/>
    <w:multiLevelType w:val="multilevel"/>
    <w:tmpl w:val="272B69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505289"/>
    <w:multiLevelType w:val="multilevel"/>
    <w:tmpl w:val="455052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A1C64E2"/>
    <w:multiLevelType w:val="multilevel"/>
    <w:tmpl w:val="4A1C64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9ADCABA"/>
    <w:multiLevelType w:val="singleLevel"/>
    <w:tmpl w:val="59ADCABA"/>
    <w:lvl w:ilvl="0" w:tentative="0">
      <w:start w:val="1"/>
      <w:numFmt w:val="bullet"/>
      <w:lvlText w:val="•"/>
      <w:lvlJc w:val="left"/>
      <w:pPr>
        <w:ind w:left="720" w:hanging="360"/>
      </w:pPr>
    </w:lvl>
  </w:abstractNum>
  <w:num w:numId="1">
    <w:abstractNumId w:val="3"/>
  </w:num>
  <w:num w:numId="2">
    <w:abstractNumId w:val="1"/>
    <w:lvlOverride w:ilvl="0">
      <w:startOverride w:val="1"/>
    </w:lvlOverride>
  </w:num>
  <w:num w:numId="3">
    <w:abstractNumId w:val="4"/>
  </w:num>
  <w:num w:numId="4">
    <w:abstractNumId w:val="5"/>
    <w:lvlOverride w:ilvl="0">
      <w:startOverride w:val="1"/>
    </w:lvlOverride>
  </w:num>
  <w:num w:numId="5">
    <w:abstractNumId w:val="2"/>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6AC"/>
    <w:rsid w:val="000C09E6"/>
    <w:rsid w:val="000D26AC"/>
    <w:rsid w:val="00105AC5"/>
    <w:rsid w:val="00616DD6"/>
    <w:rsid w:val="006A5472"/>
    <w:rsid w:val="008765AE"/>
    <w:rsid w:val="00953460"/>
    <w:rsid w:val="00AB41ED"/>
    <w:rsid w:val="00D57143"/>
    <w:rsid w:val="00FE16F6"/>
    <w:rsid w:val="3E44473D"/>
    <w:rsid w:val="69184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14:ligatures w14:val="none"/>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162</Words>
  <Characters>893</Characters>
  <Lines>7</Lines>
  <Paragraphs>2</Paragraphs>
  <TotalTime>15</TotalTime>
  <ScaleCrop>false</ScaleCrop>
  <LinksUpToDate>false</LinksUpToDate>
  <CharactersWithSpaces>1046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2025-02-04T16:53:00Z</dcterms:created>
  <dc:creator>Egan, Heidi</dc:creator>
  <cp:lastModifiedBy>DELL</cp:lastModifiedBy>
  <dcterms:modified xsi:type="dcterms:W3CDTF">2026-09-30T11:01:57Z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eyJoZGlkIjoiNTU5NTg0OTg2Mjc5MmYwZTI2ZjY5ZGRkYzEzYzk4ZWMifQ==</vt:lpwstr>
  </property>
  <property fmtid="{D5CDD505-2E9C-101B-9397-08002B2CF9AE}" pid="3" name="KSOProductBuildVer">
    <vt:lpwstr>1033-12.1.0.28485</vt:lpwstr>
  </property>
  <property fmtid="{D5CDD505-2E9C-101B-9397-08002B2CF9AE}" pid="4" name="ICV">
    <vt:lpwstr>C4643441043742CF9BB22596F1730755_13</vt:lpwstr>
  </property>
</Properties>
</file>