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60" w:type="dxa"/>
          <w:left w:w="420" w:type="dxa"/>
          <w:bottom w:w="300" w:type="dxa"/>
          <w:right w:w="420" w:type="dxa"/>
        </w:tblCellMar>
      </w:tblPr>
      <w:tblGrid>
        <w:gridCol w:w="10080"/>
      </w:tblGrid>
      <w:tr>
        <w:tc>
          <w:tcPr>
            <w:tcW w:w="10080" w:type="dxa"/>
            <w:shd w:val="clear" w:color="auto" w:fill="12365A"/>
            <w:vAlign w:val="top"/>
          </w:tcPr>
          <w:p>
            <w:pPr>
              <w:pStyle w:val="TableText"/>
              <w:spacing w:before="0" w:after="120"/>
            </w:pPr>
            <w:r>
              <w:rPr>
                <w:b/>
                <w:color w:val="8FC1EE"/>
                <w:spacing w:val="40"/>
                <w:sz w:val="16"/>
                <w:szCs w:val="16"/>
              </w:rPr>
              <w:t xml:space="preserve">MIGRATION GOVERNANCE  ·  ROLE GUIDE</w:t>
            </w:r>
          </w:p>
          <w:p>
            <w:pPr>
              <w:pStyle w:val="Heading1"/>
              <w:pBdr>
                <w:bottom w:val="single" w:sz="12" w:space="0" w:color="5FA8E8"/>
              </w:pBdr>
              <w:spacing w:before="0" w:after="60"/>
              <w:outlineLvl w:val="0"/>
            </w:pPr>
            <w:r>
              <w:rPr>
                <w:b/>
                <w:color w:val="FFFFFF"/>
                <w:sz w:val="56"/>
                <w:szCs w:val="56"/>
              </w:rPr>
              <w:t xml:space="preserve">Sysadmin Guide</w:t>
            </w:r>
          </w:p>
          <w:p>
            <w:pPr>
              <w:pStyle w:val="TableText"/>
              <w:spacing w:before="120" w:after="160"/>
            </w:pPr>
            <w:r>
              <w:rPr>
                <w:color w:val="D6E6F5"/>
                <w:sz w:val="24"/>
                <w:szCs w:val="24"/>
              </w:rPr>
              <w:t xml:space="preserve">Windows Server 2003 – 2025  ·  servers, files, network, protocols</w:t>
            </w:r>
          </w:p>
          <w:p>
            <w:pPr>
              <w:pStyle w:val="TableText"/>
              <w:spacing w:before="0" w:after="40"/>
            </w:pPr>
            <w:r>
              <w:rPr>
                <w:color w:val="5FA8E8"/>
                <w:sz w:val="16"/>
                <w:szCs w:val="16"/>
              </w:rPr>
              <w:t xml:space="preserve">● </w:t>
            </w:r>
            <w:r>
              <w:rPr>
                <w:b/>
                <w:color w:val="FFFFFF"/>
                <w:spacing w:val="20"/>
                <w:sz w:val="16"/>
                <w:szCs w:val="16"/>
              </w:rPr>
              <w:t xml:space="preserve">DISCOVERY</w:t>
            </w:r>
            <w:r>
              <w:rPr>
                <w:color w:val="5FA8E8"/>
                <w:sz w:val="16"/>
                <w:szCs w:val="16"/>
              </w:rPr>
              <w:t xml:space="preserve">   —   </w:t>
            </w:r>
            <w:r>
              <w:rPr>
                <w:color w:val="5FA8E8"/>
                <w:sz w:val="16"/>
                <w:szCs w:val="16"/>
              </w:rPr>
              <w:t xml:space="preserve">● </w:t>
            </w:r>
            <w:r>
              <w:rPr>
                <w:b/>
                <w:color w:val="FFFFFF"/>
                <w:spacing w:val="20"/>
                <w:sz w:val="16"/>
                <w:szCs w:val="16"/>
              </w:rPr>
              <w:t xml:space="preserve">INSTALL &amp; CONFIGURE</w:t>
            </w:r>
            <w:r>
              <w:rPr>
                <w:color w:val="5FA8E8"/>
                <w:sz w:val="16"/>
                <w:szCs w:val="16"/>
              </w:rPr>
              <w:t xml:space="preserve">   —   </w:t>
            </w:r>
            <w:r>
              <w:rPr>
                <w:color w:val="5FA8E8"/>
                <w:sz w:val="16"/>
                <w:szCs w:val="16"/>
              </w:rPr>
              <w:t xml:space="preserve">● </w:t>
            </w:r>
            <w:r>
              <w:rPr>
                <w:b/>
                <w:color w:val="FFFFFF"/>
                <w:spacing w:val="20"/>
                <w:sz w:val="16"/>
                <w:szCs w:val="16"/>
              </w:rPr>
              <w:t xml:space="preserve">MIGRATION</w:t>
            </w:r>
            <w:r>
              <w:rPr>
                <w:color w:val="5FA8E8"/>
                <w:sz w:val="16"/>
                <w:szCs w:val="16"/>
              </w:rPr>
              <w:t xml:space="preserve">   —   </w:t>
            </w:r>
            <w:r>
              <w:rPr>
                <w:color w:val="5FA8E8"/>
                <w:sz w:val="16"/>
                <w:szCs w:val="16"/>
              </w:rPr>
              <w:t xml:space="preserve">● </w:t>
            </w:r>
            <w:r>
              <w:rPr>
                <w:b/>
                <w:color w:val="FFFFFF"/>
                <w:spacing w:val="20"/>
                <w:sz w:val="16"/>
                <w:szCs w:val="16"/>
              </w:rPr>
              <w:t xml:space="preserve">DECOMMISSIONING</w:t>
            </w:r>
          </w:p>
        </w:tc>
      </w:tr>
    </w:tbl>
    <w:p>
      <w:pPr>
        <w:pStyle w:val="Spacer"/>
      </w:pPr>
    </w:p>
    <w:p>
      <w:pPr>
        <w:spacing w:before="0" w:after="120"/>
        <w:jc w:val="center"/>
      </w:pPr>
      <w:r>
        <w:rPr>
          <w:color w:val="6B7785"/>
          <w:sz w:val="16"/>
          <w:szCs w:val="16"/>
        </w:rPr>
        <w:t xml:space="preserve">Role guide for sysadmins · the </w:t>
      </w:r>
      <w:r>
        <w:rPr>
          <w:color w:val="6B7785"/>
          <w:sz w:val="16"/>
          <w:szCs w:val="16"/>
          <w:u w:val="single"/>
        </w:rPr>
        <w:t xml:space="preserve">governance guide</w:t>
      </w:r>
      <w:r>
        <w:rPr>
          <w:color w:val="6B7785"/>
          <w:sz w:val="16"/>
          <w:szCs w:val="16"/>
        </w:rPr>
        <w:t xml:space="preserve"> is the big picture; this page is </w:t>
      </w:r>
      <w:r>
        <w:rPr>
          <w:b/>
          <w:color w:val="6B7785"/>
          <w:sz w:val="16"/>
          <w:szCs w:val="16"/>
        </w:rPr>
        <w:t xml:space="preserve">what the sysadmin owns</w:t>
      </w:r>
      <w:r>
        <w:rPr>
          <w:color w:val="6B7785"/>
          <w:sz w:val="16"/>
          <w:szCs w:val="16"/>
        </w:rPr>
        <w:t xml:space="preserve"> · the SQL side is in the </w:t>
      </w:r>
      <w:r>
        <w:rPr>
          <w:color w:val="6B7785"/>
          <w:sz w:val="16"/>
          <w:szCs w:val="16"/>
          <w:u w:val="single"/>
        </w:rPr>
        <w:t xml:space="preserve">DBA guide</w:t>
      </w: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10080"/>
      </w:tblGrid>
      <w:tr>
        <w:tc>
          <w:tcPr>
            <w:tcW w:w="10080" w:type="dxa"/>
            <w:tcBorders>
              <w:top w:val="single" w:sz="4" w:space="0" w:color="FBEFFF"/>
              <w:left w:val="single" w:sz="24" w:space="0" w:color="8250DF"/>
              <w:bottom w:val="single" w:sz="4" w:space="0" w:color="FBEFFF"/>
              <w:right w:val="single" w:sz="4" w:space="0" w:color="FBEFFF"/>
            </w:tcBorders>
            <w:shd w:val="clear" w:color="auto" w:fill="FBEFFF"/>
            <w:vAlign w:val="top"/>
          </w:tcPr>
          <w:p>
            <w:pPr>
              <w:pStyle w:val="TableText"/>
              <w:spacing w:before="0" w:after="40"/>
            </w:pPr>
            <w:r>
              <w:rPr>
                <w:b/>
                <w:caps/>
                <w:color w:val="8250DF"/>
                <w:spacing w:val="20"/>
                <w:sz w:val="17"/>
                <w:szCs w:val="17"/>
              </w:rPr>
              <w:t xml:space="preserve">Important</w:t>
            </w:r>
          </w:p>
          <w:p>
            <w:pPr>
              <w:pStyle w:val="TableText"/>
            </w:pPr>
            <w:r>
              <w:rPr>
                <w:b/>
              </w:rPr>
              <w:t xml:space="preserve">The sysadmin owns everything around SQL Server:</w:t>
            </w:r>
            <w:r>
              <w:rPr/>
              <w:t xml:space="preserve"> the server, the OS, disks, network, DNS, firewall, certificates, file shares, FTP flows and legacy protocols.</w:t>
            </w:r>
          </w:p>
          <w:p>
            <w:pPr>
              <w:pStyle w:val="TableText"/>
            </w:pPr>
            <w:r>
              <w:rPr>
                <w:b/>
              </w:rPr>
              <w:t xml:space="preserve">The DBA owns everything inside the instance.</w:t>
            </w:r>
            <w:r>
              <w:rPr/>
              <w:t xml:space="preserve"> You work together, but each side signs for its own part.</w:t>
            </w:r>
          </w:p>
        </w:tc>
      </w:tr>
    </w:tbl>
    <w:p>
      <w:pPr>
        <w:pStyle w:val="Spacer"/>
      </w:pPr>
    </w:p>
    <w:p>
      <w:pPr>
        <w:spacing w:before="160" w:after="160"/>
        <w:jc w:val="center"/>
      </w:pPr>
      <w:r>
        <w:rPr>
          <w:color w:val="5FA8E8"/>
          <w:sz w:val="18"/>
          <w:szCs w:val="18"/>
        </w:rPr>
        <w:t xml:space="preserve">———   ◆   ———</w:t>
      </w:r>
    </w:p>
    <w:p>
      <w:pPr>
        <w:pStyle w:val="Heading2"/>
      </w:pPr>
      <w:r>
        <w:rPr/>
        <w:t xml:space="preserve">1. Supported vs works but not supported</w:t>
      </w:r>
    </w:p>
    <w:p>
      <w:pPr/>
      <w:r>
        <w:rPr/>
        <w:t xml:space="preserve">These two words tell you who carries the risk. Whether a clone is needed depends on something else: </w:t>
      </w:r>
      <w:r>
        <w:rPr>
          <w:b/>
        </w:rPr>
        <w:t xml:space="preserve">how certain the path is</w:t>
      </w:r>
      <w:r>
        <w:rPr/>
        <w:t xml:space="preserve"> (</w:t>
      </w:r>
      <w:r>
        <w:rPr>
          <w:color w:val="1B4A78"/>
          <w:u w:val="single"/>
        </w:rPr>
        <w:t xml:space="preserve">when to clone</w:t>
      </w:r>
      <w:r>
        <w:rPr/>
        <w:t xml:space="preserve">).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32"/>
        <w:gridCol w:w="4023"/>
        <w:gridCol w:w="4225"/>
      </w:tblGrid>
      <w:tr>
        <w:trPr>
          <w:tblHeader/>
        </w:trPr>
        <w:tc>
          <w:tcPr>
            <w:tcW w:w="1832" w:type="dxa"/>
            <w:shd w:val="clear" w:color="auto" w:fill="1B4A78"/>
            <w:vAlign w:val="top"/>
          </w:tcPr>
          <w:p>
            <w:pPr>
              <w:pStyle w:val="TableText"/>
            </w:pPr>
          </w:p>
        </w:tc>
        <w:tc>
          <w:tcPr>
            <w:tcW w:w="4023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SUPPORTED</w:t>
            </w:r>
          </w:p>
        </w:tc>
        <w:tc>
          <w:tcPr>
            <w:tcW w:w="4225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WORKS, BUT NOT SUPPORTED</w:t>
            </w:r>
          </w:p>
        </w:tc>
      </w:tr>
      <w:tr>
        <w:trPr>
          <w:cantSplit/>
        </w:trPr>
        <w:tc>
          <w:tcPr>
            <w:tcW w:w="1832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Meaning</w:t>
            </w:r>
          </w:p>
        </w:tc>
        <w:tc>
          <w:tcPr>
            <w:tcW w:w="4023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Microsoft documents it:</w:t>
            </w:r>
            <w:r>
              <w:rPr/>
              <w:t xml:space="preserve"> the OS version is in support, the upgrade path is in Microsoft's table, and the software on it is supported on that OS</w:t>
            </w:r>
          </w:p>
        </w:tc>
        <w:tc>
          <w:tcPr>
            <w:tcW w:w="4225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It runs, and we proved it in the lab, but Microsoft doesn't document it</w:t>
            </w:r>
            <w:r>
              <w:rPr/>
              <w:t xml:space="preserve"> (or flags it as incompatible)</w:t>
            </w:r>
          </w:p>
        </w:tc>
      </w:tr>
      <w:tr>
        <w:trPr>
          <w:cantSplit/>
        </w:trPr>
        <w:tc>
          <w:tcPr>
            <w:tcW w:w="1832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Fixes and security updates</w:t>
            </w:r>
          </w:p>
        </w:tc>
        <w:tc>
          <w:tcPr>
            <w:tcW w:w="4023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Yes</w:t>
            </w:r>
          </w:p>
        </w:tc>
        <w:tc>
          <w:tcPr>
            <w:tcW w:w="4225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No.</w:t>
            </w:r>
            <w:r>
              <w:rPr/>
              <w:t xml:space="preserve"> Out-of-support OS, or an app the OS vendor won't fix</w:t>
            </w:r>
          </w:p>
        </w:tc>
      </w:tr>
      <w:tr>
        <w:trPr>
          <w:cantSplit/>
        </w:trPr>
        <w:tc>
          <w:tcPr>
            <w:tcW w:w="1832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Microsoft support case</w:t>
            </w:r>
          </w:p>
        </w:tc>
        <w:tc>
          <w:tcPr>
            <w:tcW w:w="4023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Accepted</w:t>
            </w:r>
          </w:p>
        </w:tc>
        <w:tc>
          <w:tcPr>
            <w:tcW w:w="4225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Can be refused</w:t>
            </w:r>
          </w:p>
        </w:tc>
      </w:tr>
      <w:tr>
        <w:trPr>
          <w:cantSplit/>
        </w:trPr>
        <w:tc>
          <w:tcPr>
            <w:tcW w:w="1832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Approval</w:t>
            </w:r>
          </w:p>
        </w:tc>
        <w:tc>
          <w:tcPr>
            <w:tcW w:w="4023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Normal gate</w:t>
            </w:r>
          </w:p>
        </w:tc>
        <w:tc>
          <w:tcPr>
            <w:tcW w:w="4225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Normal gate. No exception, not a blocker.</w:t>
            </w:r>
            <w:r>
              <w:rPr/>
              <w:t xml:space="preserve"> If the path is </w:t>
            </w:r>
            <w:r>
              <w:rPr>
                <w:b/>
              </w:rPr>
              <w:t xml:space="preserve">uncertain</w:t>
            </w:r>
            <w:r>
              <w:rPr/>
              <w:t xml:space="preserve">, it runs on a cloned VM first</w:t>
            </w:r>
          </w:p>
        </w:tc>
      </w:tr>
      <w:tr>
        <w:trPr>
          <w:cantSplit/>
        </w:trPr>
        <w:tc>
          <w:tcPr>
            <w:tcW w:w="1832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Can it be the end state?</w:t>
            </w:r>
          </w:p>
        </w:tc>
        <w:tc>
          <w:tcPr>
            <w:tcW w:w="4023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Yes</w:t>
            </w:r>
          </w:p>
        </w:tc>
        <w:tc>
          <w:tcPr>
            <w:tcW w:w="4225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No. A step on the way to a newer, supported platform</w:t>
            </w:r>
          </w:p>
        </w:tc>
      </w:tr>
      <w:tr>
        <w:trPr>
          <w:cantSplit/>
        </w:trPr>
        <w:tc>
          <w:tcPr>
            <w:tcW w:w="1832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Who carries the risk</w:t>
            </w:r>
          </w:p>
        </w:tc>
        <w:tc>
          <w:tcPr>
            <w:tcW w:w="4023" w:type="dxa"/>
            <w:vAlign w:val="top"/>
          </w:tcPr>
          <w:p>
            <w:pPr>
              <w:pStyle w:val="TableText"/>
            </w:pPr>
            <w:r>
              <w:rPr/>
              <w:t xml:space="preserve">Shared with the vendor</w:t>
            </w:r>
          </w:p>
        </w:tc>
        <w:tc>
          <w:tcPr>
            <w:tcW w:w="4225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Us alone</w:t>
            </w:r>
            <w:r>
              <w:rPr/>
              <w:t xml:space="preserve">, which is why an uncertain path is proven on a clone first</w:t>
            </w:r>
          </w:p>
        </w:tc>
      </w:tr>
    </w:tbl>
    <w:p>
      <w:pPr>
        <w:pStyle w:val="Spacer"/>
      </w:pP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10080"/>
      </w:tblGrid>
      <w:tr>
        <w:tc>
          <w:tcPr>
            <w:tcW w:w="10080" w:type="dxa"/>
            <w:tcBorders>
              <w:top w:val="single" w:sz="4" w:space="0" w:color="FBEFFF"/>
              <w:left w:val="single" w:sz="24" w:space="0" w:color="8250DF"/>
              <w:bottom w:val="single" w:sz="4" w:space="0" w:color="FBEFFF"/>
              <w:right w:val="single" w:sz="4" w:space="0" w:color="FBEFFF"/>
            </w:tcBorders>
            <w:shd w:val="clear" w:color="auto" w:fill="FBEFFF"/>
            <w:vAlign w:val="top"/>
          </w:tcPr>
          <w:p>
            <w:pPr>
              <w:pStyle w:val="TableText"/>
              <w:spacing w:before="0" w:after="40"/>
            </w:pPr>
            <w:r>
              <w:rPr>
                <w:b/>
                <w:caps/>
                <w:color w:val="8250DF"/>
                <w:spacing w:val="20"/>
                <w:sz w:val="17"/>
                <w:szCs w:val="17"/>
              </w:rPr>
              <w:t xml:space="preserve">Important</w:t>
            </w:r>
          </w:p>
          <w:p>
            <w:pPr>
              <w:pStyle w:val="TableText"/>
            </w:pPr>
            <w:r>
              <w:rPr>
                <w:b/>
              </w:rPr>
              <w:t xml:space="preserve">Every migration ends on a newer, supported version.</w:t>
            </w:r>
            <w:r>
              <w:rPr/>
              <w:t xml:space="preserve"> An unsupported step on the way (for example 2008 R2 → 2012 R2) is allowed. </w:t>
            </w:r>
            <w:r>
              <w:rPr>
                <w:b/>
              </w:rPr>
              <w:t xml:space="preserve">Clone only when the path is uncertain:</w:t>
            </w:r>
            <w:r>
              <w:rPr/>
              <w:t xml:space="preserve"> not yet done in the lab or the program, something unusual found on this server, or you're not confident. A proven path goes straight to production, with a snapshot before each step. When a clone is needed, the sysadmin </w:t>
            </w:r>
            <w:r>
              <w:rPr>
                <w:b/>
              </w:rPr>
              <w:t xml:space="preserve">clones and isolates</w:t>
            </w:r>
            <w:r>
              <w:rPr/>
              <w:t xml:space="preserve"> the VM (</w:t>
            </w:r>
            <w:r>
              <w:rPr>
                <w:color w:val="1B4A78"/>
                <w:u w:val="single"/>
              </w:rPr>
              <w:t xml:space="preserve">governance §2.7</w:t>
            </w:r>
            <w:r>
              <w:rPr/>
              <w:t xml:space="preserve">).</w:t>
            </w:r>
          </w:p>
        </w:tc>
      </w:tr>
    </w:tbl>
    <w:p>
      <w:pPr>
        <w:pStyle w:val="Spacer"/>
      </w:pPr>
    </w:p>
    <w:p>
      <w:pPr/>
      <w:r>
        <w:rPr>
          <w:b/>
        </w:rPr>
        <w:t xml:space="preserve">On the sysadmin side, it typically looks like this: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The upgrade path is supported, but what runs on it isn't.</w:t>
      </w:r>
      <w:r>
        <w:rPr/>
        <w:t xml:space="preserve"> Windows 2012 R2 → 2025 is a </w:t>
      </w:r>
      <w:r>
        <w:rPr>
          <w:b/>
        </w:rPr>
        <w:t xml:space="preserve">supported OS upgrade</w:t>
      </w:r>
      <w:r>
        <w:rPr/>
        <w:t xml:space="preserve">, but setup flags SQL Server 2005 as an incompatible application (a soft block). The OS is supported; </w:t>
      </w:r>
      <w:r>
        <w:rPr>
          <w:b/>
        </w:rPr>
        <w:t xml:space="preserve">the server as a whole isn't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 path that Microsoft no longer documents.</w:t>
      </w:r>
      <w:r>
        <w:rPr/>
        <w:t xml:space="preserve"> Windows 2008 R2 SP1 → 2012 R2 isn't in Microsoft's current upgrade table any more. </w:t>
      </w:r>
      <w:r>
        <w:rPr>
          <w:b/>
        </w:rPr>
        <w:t xml:space="preserve">It worked in our lab</w:t>
      </w:r>
      <w:r>
        <w:rPr/>
        <w:t xml:space="preserve">, but treat it as </w:t>
      </w:r>
      <w:r>
        <w:rPr>
          <w:i/>
        </w:rPr>
        <w:t xml:space="preserve">works, but not supported</w:t>
      </w:r>
      <w:r>
        <w:rPr/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An out-of-support OS</w:t>
      </w:r>
      <w:r>
        <w:rPr/>
        <w:t xml:space="preserve"> (2003, 2008, 2008 R2, 2012 R2) </w:t>
      </w:r>
      <w:r>
        <w:rPr>
          <w:b/>
        </w:rPr>
        <w:t xml:space="preserve">without ESU</w:t>
      </w:r>
      <w:r>
        <w:rPr/>
        <w:t xml:space="preserve"> gets no security updates at all. </w:t>
      </w:r>
      <w:r>
        <w:rPr>
          <w:b/>
        </w:rPr>
        <w:t xml:space="preserve">As a step on the way, it is fine; as an end state, it is not.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Legacy protocols left on</w:t>
      </w:r>
      <w:r>
        <w:rPr/>
        <w:t xml:space="preserve"> (SMBv1, TLS 1.0, NTLMv1): Windows still has the switches, but </w:t>
      </w:r>
      <w:r>
        <w:rPr>
          <w:b/>
        </w:rPr>
        <w:t xml:space="preserve">our policy is to turn them off</w:t>
      </w:r>
      <w:r>
        <w:rPr/>
        <w:t xml:space="preserve">. Leaving them on needs an exception (</w:t>
      </w:r>
      <w:r>
        <w:rPr>
          <w:color w:val="1B4A78"/>
          <w:u w:val="single"/>
        </w:rPr>
        <w:t xml:space="preserve">governance §2.6</w:t>
      </w:r>
      <w:r>
        <w:rPr/>
        <w:t xml:space="preserve">).</w:t>
      </w:r>
    </w:p>
    <w:p>
      <w:pPr>
        <w:spacing w:before="160" w:after="160"/>
        <w:jc w:val="center"/>
      </w:pPr>
      <w:r>
        <w:rPr>
          <w:color w:val="5FA8E8"/>
          <w:sz w:val="18"/>
          <w:szCs w:val="18"/>
        </w:rPr>
        <w:t xml:space="preserve">———   ◆   ———</w:t>
      </w:r>
    </w:p>
    <w:p>
      <w:pPr>
        <w:pStyle w:val="Heading2"/>
      </w:pPr>
      <w:r>
        <w:rPr/>
        <w:t xml:space="preserve">2. Your responsibilities</w:t>
      </w:r>
    </w:p>
    <w:p>
      <w:pPr/>
      <w:r>
        <w:rPr>
          <w:b/>
        </w:rPr>
        <w:t xml:space="preserve">A</w:t>
      </w:r>
      <w:r>
        <w:rPr/>
        <w:t xml:space="preserve"> = accountable (signs for it), </w:t>
      </w:r>
      <w:r>
        <w:rPr>
          <w:b/>
        </w:rPr>
        <w:t xml:space="preserve">R</w:t>
      </w:r>
      <w:r>
        <w:rPr/>
        <w:t xml:space="preserve"> = does the work, </w:t>
      </w:r>
      <w:r>
        <w:rPr>
          <w:b/>
        </w:rPr>
        <w:t xml:space="preserve">C</w:t>
      </w:r>
      <w:r>
        <w:rPr/>
        <w:t xml:space="preserve"> = consulted. The full RACI with every role is in the </w:t>
      </w:r>
      <w:r>
        <w:rPr>
          <w:color w:val="1B4A78"/>
          <w:u w:val="single"/>
        </w:rPr>
        <w:t xml:space="preserve">governance guide §2.3</w:t>
      </w:r>
      <w:r>
        <w:rPr/>
        <w:t xml:space="preserve">.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56"/>
        <w:gridCol w:w="2527"/>
        <w:gridCol w:w="2702"/>
        <w:gridCol w:w="2895"/>
      </w:tblGrid>
      <w:tr>
        <w:trPr>
          <w:tblHeader/>
        </w:trPr>
        <w:tc>
          <w:tcPr>
            <w:tcW w:w="1956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Phase</w:t>
            </w:r>
          </w:p>
        </w:tc>
        <w:tc>
          <w:tcPr>
            <w:tcW w:w="2527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Sysadmin is </w:t>
            </w:r>
            <w:r>
              <w:rPr>
                <w:b/>
                <w:color w:val="FFFFFF"/>
              </w:rPr>
              <w:t xml:space="preserve">A</w:t>
            </w:r>
            <w:r>
              <w:rPr>
                <w:b/>
                <w:color w:val="FFFFFF"/>
              </w:rPr>
              <w:t xml:space="preserve"> for</w:t>
            </w:r>
          </w:p>
        </w:tc>
        <w:tc>
          <w:tcPr>
            <w:tcW w:w="2702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Sysadmin is </w:t>
            </w:r>
            <w:r>
              <w:rPr>
                <w:b/>
                <w:color w:val="FFFFFF"/>
              </w:rPr>
              <w:t xml:space="preserve">R</w:t>
            </w:r>
            <w:r>
              <w:rPr>
                <w:b/>
                <w:color w:val="FFFFFF"/>
              </w:rPr>
              <w:t xml:space="preserve"> for</w:t>
            </w:r>
          </w:p>
        </w:tc>
        <w:tc>
          <w:tcPr>
            <w:tcW w:w="2895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Sysadmin is </w:t>
            </w:r>
            <w:r>
              <w:rPr>
                <w:b/>
                <w:color w:val="FFFFFF"/>
              </w:rPr>
              <w:t xml:space="preserve">C</w:t>
            </w:r>
            <w:r>
              <w:rPr>
                <w:b/>
                <w:color w:val="FFFFFF"/>
              </w:rPr>
              <w:t xml:space="preserve"> for</w:t>
            </w:r>
          </w:p>
        </w:tc>
      </w:tr>
      <w:tr>
        <w:trPr>
          <w:cantSplit/>
        </w:trPr>
        <w:tc>
          <w:tcPr>
            <w:tcW w:w="1956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1 · Discovery</w:t>
            </w:r>
          </w:p>
        </w:tc>
        <w:tc>
          <w:tcPr>
            <w:tcW w:w="2527" w:type="dxa"/>
            <w:vAlign w:val="top"/>
          </w:tcPr>
          <w:p>
            <w:pPr>
              <w:pStyle w:val="TableText"/>
            </w:pPr>
            <w:r>
              <w:rPr/>
              <w:t xml:space="preserve">Server discovery script and output; server and protocol flags</w:t>
            </w:r>
          </w:p>
        </w:tc>
        <w:tc>
          <w:tcPr>
            <w:tcW w:w="2702" w:type="dxa"/>
            <w:vAlign w:val="top"/>
          </w:tcPr>
          <w:p>
            <w:pPr>
              <w:pStyle w:val="TableText"/>
            </w:pPr>
            <w:r>
              <w:rPr/>
              <w:t xml:space="preserve">Files, shares and unused data; legacy protocols (SMBv1, FTP, TLS, NTLMv1); connection capture at OS level</w:t>
            </w:r>
          </w:p>
        </w:tc>
        <w:tc>
          <w:tcPr>
            <w:tcW w:w="2895" w:type="dxa"/>
            <w:vAlign w:val="top"/>
          </w:tcPr>
          <w:p>
            <w:pPr>
              <w:pStyle w:val="TableText"/>
            </w:pPr>
            <w:r>
              <w:rPr/>
              <w:t xml:space="preserve">SQL discovery</w:t>
            </w:r>
          </w:p>
        </w:tc>
      </w:tr>
      <w:tr>
        <w:trPr>
          <w:cantSplit/>
        </w:trPr>
        <w:tc>
          <w:tcPr>
            <w:tcW w:w="1956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2 · Install &amp; configure</w:t>
            </w:r>
          </w:p>
        </w:tc>
        <w:tc>
          <w:tcPr>
            <w:tcW w:w="252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Target server build and hardening</w:t>
            </w:r>
          </w:p>
        </w:tc>
        <w:tc>
          <w:tcPr>
            <w:tcW w:w="2702" w:type="dxa"/>
            <w:vAlign w:val="top"/>
          </w:tcPr>
          <w:p>
            <w:pPr>
              <w:pStyle w:val="TableText"/>
            </w:pPr>
            <w:r>
              <w:rPr/>
              <w:t xml:space="preserve">Smoke test (server side)</w:t>
            </w:r>
          </w:p>
        </w:tc>
        <w:tc>
          <w:tcPr>
            <w:tcW w:w="2895" w:type="dxa"/>
            <w:vAlign w:val="top"/>
          </w:tcPr>
          <w:p>
            <w:pPr>
              <w:pStyle w:val="TableText"/>
            </w:pPr>
            <w:r>
              <w:rPr/>
              <w:t xml:space="preserve">SQL install; firewall and certificate requests (Security / Network own them)</w:t>
            </w:r>
          </w:p>
        </w:tc>
      </w:tr>
      <w:tr>
        <w:trPr>
          <w:cantSplit/>
        </w:trPr>
        <w:tc>
          <w:tcPr>
            <w:tcW w:w="1956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3 · Migration</w:t>
            </w:r>
          </w:p>
        </w:tc>
        <w:tc>
          <w:tcPr>
            <w:tcW w:w="252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OS in-place upgrade and hardening, up to the OS hand-off to the DBA.</w:t>
            </w:r>
            <w:r>
              <w:rPr/>
              <w:t xml:space="preserve"> OS-level cut-over: DNS, aliases, file shares, MFT flows, scheduled tasks</w:t>
            </w:r>
          </w:p>
        </w:tc>
        <w:tc>
          <w:tcPr>
            <w:tcW w:w="2702" w:type="dxa"/>
            <w:vAlign w:val="top"/>
          </w:tcPr>
          <w:p>
            <w:pPr>
              <w:pStyle w:val="TableText"/>
            </w:pPr>
            <w:r>
              <w:rPr/>
              <w:t xml:space="preserve">Clone (if the path is uncertain); cut-over and rollback plan (server side)</w:t>
            </w:r>
          </w:p>
        </w:tc>
        <w:tc>
          <w:tcPr>
            <w:tcW w:w="2895" w:type="dxa"/>
            <w:vAlign w:val="top"/>
          </w:tcPr>
          <w:p>
            <w:pPr>
              <w:pStyle w:val="TableText"/>
            </w:pPr>
            <w:r>
              <w:rPr/>
              <w:t xml:space="preserve">Everything SQL after the OS hand-off (DBA)</w:t>
            </w:r>
          </w:p>
        </w:tc>
      </w:tr>
      <w:tr>
        <w:trPr>
          <w:cantSplit/>
        </w:trPr>
        <w:tc>
          <w:tcPr>
            <w:tcW w:w="1956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4 · Decommissioning</w:t>
            </w:r>
          </w:p>
        </w:tc>
        <w:tc>
          <w:tcPr>
            <w:tcW w:w="252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Server removal from every system</w:t>
            </w:r>
          </w:p>
        </w:tc>
        <w:tc>
          <w:tcPr>
            <w:tcW w:w="2702" w:type="dxa"/>
            <w:vAlign w:val="top"/>
          </w:tcPr>
          <w:p>
            <w:pPr>
              <w:pStyle w:val="TableText"/>
            </w:pPr>
            <w:r>
              <w:rPr/>
              <w:t xml:space="preserve">Quiet-period or scream-test monitoring; carrying out the data decision for file shares</w:t>
            </w:r>
          </w:p>
        </w:tc>
        <w:tc>
          <w:tcPr>
            <w:tcW w:w="2895" w:type="dxa"/>
            <w:vAlign w:val="top"/>
          </w:tcPr>
          <w:p>
            <w:pPr>
              <w:pStyle w:val="TableText"/>
            </w:pPr>
            <w:r>
              <w:rPr/>
              <w:t xml:space="preserve">Instance decommissioning (DBA)</w:t>
            </w:r>
          </w:p>
        </w:tc>
      </w:tr>
    </w:tbl>
    <w:p>
      <w:pPr>
        <w:pStyle w:val="Spacer"/>
      </w:pPr>
    </w:p>
    <w:p>
      <w:pPr/>
      <w:r>
        <w:rPr>
          <w:b/>
        </w:rPr>
        <w:t xml:space="preserve">What the sysadmin signs at each gate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86"/>
        <w:gridCol w:w="9194"/>
      </w:tblGrid>
      <w:tr>
        <w:trPr>
          <w:tblHeader/>
        </w:trPr>
        <w:tc>
          <w:tcPr>
            <w:tcW w:w="886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Gate</w:t>
            </w:r>
          </w:p>
        </w:tc>
        <w:tc>
          <w:tcPr>
            <w:tcW w:w="9194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Sysadmin signature covers</w:t>
            </w:r>
          </w:p>
        </w:tc>
      </w:tr>
      <w:tr>
        <w:trPr>
          <w:cantSplit/>
        </w:trPr>
        <w:tc>
          <w:tcPr>
            <w:tcW w:w="886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Gate 1</w:t>
            </w:r>
          </w:p>
        </w:tc>
        <w:tc>
          <w:tcPr>
            <w:tcW w:w="9194" w:type="dxa"/>
            <w:vAlign w:val="top"/>
          </w:tcPr>
          <w:p>
            <w:pPr>
              <w:pStyle w:val="TableText"/>
            </w:pPr>
            <w:r>
              <w:rPr/>
              <w:t xml:space="preserve">Server summary reviewed; every server and protocol RED flag decided; FTP flows listed for MFT; OS path chosen (section 5)</w:t>
            </w:r>
          </w:p>
        </w:tc>
      </w:tr>
      <w:tr>
        <w:trPr>
          <w:cantSplit/>
        </w:trPr>
        <w:tc>
          <w:tcPr>
            <w:tcW w:w="886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Gate 2</w:t>
            </w:r>
          </w:p>
        </w:tc>
        <w:tc>
          <w:tcPr>
            <w:tcW w:w="9194" w:type="dxa"/>
            <w:vAlign w:val="top"/>
          </w:tcPr>
          <w:p>
            <w:pPr>
              <w:pStyle w:val="TableText"/>
            </w:pPr>
            <w:r>
              <w:rPr/>
              <w:t xml:space="preserve">Server built to standard; legacy protocols off (or an exception logged); agents installed; MFT flows set up</w:t>
            </w:r>
          </w:p>
        </w:tc>
      </w:tr>
      <w:tr>
        <w:trPr>
          <w:cantSplit/>
        </w:trPr>
        <w:tc>
          <w:tcPr>
            <w:tcW w:w="886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Gate 3</w:t>
            </w:r>
          </w:p>
        </w:tc>
        <w:tc>
          <w:tcPr>
            <w:tcW w:w="9194" w:type="dxa"/>
            <w:vAlign w:val="top"/>
          </w:tcPr>
          <w:p>
            <w:pPr>
              <w:pStyle w:val="TableText"/>
            </w:pPr>
            <w:r>
              <w:rPr/>
              <w:t xml:space="preserve">DNS and aliases switched; file shares and scheduled tasks moved; MFT flows tested with partners; monitoring green</w:t>
            </w:r>
          </w:p>
        </w:tc>
      </w:tr>
      <w:tr>
        <w:trPr>
          <w:cantSplit/>
        </w:trPr>
        <w:tc>
          <w:tcPr>
            <w:tcW w:w="886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Gate 4</w:t>
            </w:r>
          </w:p>
        </w:tc>
        <w:tc>
          <w:tcPr>
            <w:tcW w:w="9194" w:type="dxa"/>
            <w:vAlign w:val="top"/>
          </w:tcPr>
          <w:p>
            <w:pPr>
              <w:pStyle w:val="TableText"/>
            </w:pPr>
            <w:r>
              <w:rPr/>
              <w:t xml:space="preserve">Quiet period clean; final backup kept; removed from AD, DNS, DHCP, firewall, monitoring, backup, AV, patching, CMDB</w:t>
            </w:r>
          </w:p>
        </w:tc>
      </w:tr>
    </w:tbl>
    <w:p>
      <w:pPr>
        <w:pStyle w:val="Spacer"/>
      </w:pPr>
    </w:p>
    <w:p>
      <w:pPr>
        <w:spacing w:before="160" w:after="160"/>
        <w:jc w:val="center"/>
      </w:pPr>
      <w:r>
        <w:rPr>
          <w:color w:val="5FA8E8"/>
          <w:sz w:val="18"/>
          <w:szCs w:val="18"/>
        </w:rPr>
        <w:t xml:space="preserve">———   ◆   ———</w:t>
      </w:r>
    </w:p>
    <w:p>
      <w:pPr>
        <w:pStyle w:val="Heading2"/>
      </w:pPr>
      <w:r>
        <w:rPr/>
        <w:t xml:space="preserve">3. Hand-offs with the DBA</w:t>
      </w:r>
    </w:p>
    <w:p>
      <w:pPr/>
      <w:r>
        <w:rPr>
          <w:b/>
        </w:rPr>
        <w:t xml:space="preserve">Three hand-off points</w:t>
      </w:r>
      <w:r>
        <w:rPr/>
        <w:t xml:space="preserve"> (</w:t>
      </w:r>
      <w:r>
        <w:rPr>
          <w:color w:val="1B4A78"/>
          <w:u w:val="single"/>
        </w:rPr>
        <w:t xml:space="preserve">governance §2.2</w:t>
      </w:r>
      <w:r>
        <w:rPr/>
        <w:t xml:space="preserve">):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After Discovery (Gate 1):</w:t>
      </w:r>
      <w:r>
        <w:rPr/>
        <w:t xml:space="preserve"> OS path and SQL path agreed together.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OS hand-off:</w:t>
      </w:r>
      <w:r>
        <w:rPr/>
        <w:t xml:space="preserve"> the sysadmin finishes the OS in-place upgrade and hardening, then hands the server to the DBA. </w:t>
      </w:r>
      <w:r>
        <w:rPr>
          <w:b/>
        </w:rPr>
        <w:t xml:space="preserve">From then on, the DBA is responsible</w:t>
      </w:r>
      <w:r>
        <w:rPr/>
        <w:t xml:space="preserve"> up to Gate 3.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Before decommissioning:</w:t>
      </w:r>
      <w:r>
        <w:rPr/>
        <w:t xml:space="preserve"> the DBA confirms the databases are offline and backed up; then the sysadmin removes the server.</w:t>
      </w:r>
    </w:p>
    <w:p>
      <w:pPr/>
      <w:r>
        <w:rPr/>
        <w:t xml:space="preserve">Most delays happen </w:t>
      </w:r>
      <w:r>
        <w:rPr>
          <w:b/>
        </w:rPr>
        <w:t xml:space="preserve">between</w:t>
      </w:r>
      <w:r>
        <w:rPr/>
        <w:t xml:space="preserve"> the two roles. Ask early, using this list.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986"/>
        <w:gridCol w:w="5094"/>
      </w:tblGrid>
      <w:tr>
        <w:trPr>
          <w:tblHeader/>
        </w:trPr>
        <w:tc>
          <w:tcPr>
            <w:tcW w:w="4986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Sysadmin needs from the DBA</w:t>
            </w:r>
          </w:p>
        </w:tc>
        <w:tc>
          <w:tcPr>
            <w:tcW w:w="5094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DBA needs from the sysadmin</w:t>
            </w:r>
          </w:p>
        </w:tc>
      </w:tr>
      <w:tr>
        <w:trPr>
          <w:cantSplit/>
        </w:trPr>
        <w:tc>
          <w:tcPr>
            <w:tcW w:w="4986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SQL port(s)</w:t>
            </w:r>
            <w:r>
              <w:rPr/>
              <w:t xml:space="preserve"> and Browser need, for the firewall rules</w:t>
            </w:r>
          </w:p>
        </w:tc>
        <w:tc>
          <w:tcPr>
            <w:tcW w:w="5094" w:type="dxa"/>
            <w:vAlign w:val="top"/>
          </w:tcPr>
          <w:p>
            <w:pPr>
              <w:pStyle w:val="TableText"/>
            </w:pPr>
            <w:r>
              <w:rPr/>
              <w:t xml:space="preserve">Target server built, with </w:t>
            </w:r>
            <w:r>
              <w:rPr>
                <w:b/>
              </w:rPr>
              <w:t xml:space="preserve">disk layout for SQL</w:t>
            </w:r>
            <w:r>
              <w:rPr/>
              <w:t xml:space="preserve">: data, log, tempdb and backup volumes, 64 KB allocation unit</w:t>
            </w:r>
          </w:p>
        </w:tc>
      </w:tr>
      <w:tr>
        <w:trPr>
          <w:cantSplit/>
        </w:trPr>
        <w:tc>
          <w:tcPr>
            <w:tcW w:w="4986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AV exclusions</w:t>
            </w:r>
            <w:r>
              <w:rPr/>
              <w:t xml:space="preserve"> for data, log and backup files and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sqlservr.exe</w:t>
            </w:r>
          </w:p>
        </w:tc>
        <w:tc>
          <w:tcPr>
            <w:tcW w:w="5094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Service accounts</w:t>
            </w:r>
            <w:r>
              <w:rPr/>
              <w:t xml:space="preserve"> or gMSAs created, passwords in the vault, with </w:t>
            </w:r>
            <w:r>
              <w:rPr>
                <w:b/>
              </w:rPr>
              <w:t xml:space="preserve">instant file initialization</w:t>
            </w:r>
            <w:r>
              <w:rPr/>
              <w:t xml:space="preserve"> and </w:t>
            </w:r>
            <w:r>
              <w:rPr>
                <w:b/>
              </w:rPr>
              <w:t xml:space="preserve">lock pages in memory</w:t>
            </w:r>
            <w:r>
              <w:rPr/>
              <w:t xml:space="preserve"> rights</w:t>
            </w:r>
          </w:p>
        </w:tc>
      </w:tr>
      <w:tr>
        <w:trPr>
          <w:cantSplit/>
        </w:trPr>
        <w:tc>
          <w:tcPr>
            <w:tcW w:w="4986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Backup</w:t>
            </w:r>
            <w:r>
              <w:rPr/>
              <w:t xml:space="preserve"> schedule and retention for the agent</w:t>
            </w:r>
          </w:p>
        </w:tc>
        <w:tc>
          <w:tcPr>
            <w:tcW w:w="5094" w:type="dxa"/>
            <w:vAlign w:val="top"/>
          </w:tcPr>
          <w:p>
            <w:pPr>
              <w:pStyle w:val="TableText"/>
            </w:pPr>
            <w:r>
              <w:rPr/>
              <w:t xml:space="preserve">Backup agent installed; backup share reachable</w:t>
            </w:r>
          </w:p>
        </w:tc>
      </w:tr>
      <w:tr>
        <w:trPr>
          <w:cantSplit/>
        </w:trPr>
        <w:tc>
          <w:tcPr>
            <w:tcW w:w="4986" w:type="dxa"/>
            <w:vAlign w:val="top"/>
          </w:tcPr>
          <w:p>
            <w:pPr>
              <w:pStyle w:val="TableText"/>
            </w:pPr>
            <w:r>
              <w:rPr/>
              <w:t xml:space="preserve">Which </w:t>
            </w:r>
            <w:r>
              <w:rPr>
                <w:b/>
              </w:rPr>
              <w:t xml:space="preserve">apps and servers connect</w:t>
            </w:r>
            <w:r>
              <w:rPr/>
              <w:t xml:space="preserve"> to SQL (from the capture), for the dependency list</w:t>
            </w:r>
          </w:p>
        </w:tc>
        <w:tc>
          <w:tcPr>
            <w:tcW w:w="5094" w:type="dxa"/>
            <w:vAlign w:val="top"/>
          </w:tcPr>
          <w:p>
            <w:pPr>
              <w:pStyle w:val="TableText"/>
            </w:pPr>
            <w:r>
              <w:rPr/>
              <w:t xml:space="preserve">Firewall rules for 1433 / named instance ports</w:t>
            </w:r>
          </w:p>
        </w:tc>
      </w:tr>
      <w:tr>
        <w:trPr>
          <w:cantSplit/>
        </w:trPr>
        <w:tc>
          <w:tcPr>
            <w:tcW w:w="4986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Go / no-go</w:t>
            </w:r>
            <w:r>
              <w:rPr/>
              <w:t xml:space="preserve"> on the SQL side before the DNS switch</w:t>
            </w:r>
          </w:p>
        </w:tc>
        <w:tc>
          <w:tcPr>
            <w:tcW w:w="5094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DNS alias switch</w:t>
            </w:r>
            <w:r>
              <w:rPr/>
              <w:t xml:space="preserve"> at the agreed time in cut-over</w:t>
            </w:r>
          </w:p>
        </w:tc>
      </w:tr>
      <w:tr>
        <w:trPr>
          <w:cantSplit/>
        </w:trPr>
        <w:tc>
          <w:tcPr>
            <w:tcW w:w="4986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TLS level</w:t>
            </w:r>
            <w:r>
              <w:rPr/>
              <w:t xml:space="preserve"> needed by SQL clients (legacy 2005 clients need TLS 1.0)</w:t>
            </w:r>
          </w:p>
        </w:tc>
        <w:tc>
          <w:tcPr>
            <w:tcW w:w="5094" w:type="dxa"/>
            <w:vAlign w:val="top"/>
          </w:tcPr>
          <w:p>
            <w:pPr>
              <w:pStyle w:val="TableText"/>
            </w:pPr>
            <w:r>
              <w:rPr/>
              <w:t xml:space="preserve">TLS certificate for SQL encryption</w:t>
            </w:r>
          </w:p>
        </w:tc>
      </w:tr>
      <w:tr>
        <w:trPr>
          <w:cantSplit/>
        </w:trPr>
        <w:tc>
          <w:tcPr>
            <w:tcW w:w="4986" w:type="dxa"/>
            <w:vAlign w:val="top"/>
          </w:tcPr>
          <w:p>
            <w:pPr>
              <w:pStyle w:val="TableText"/>
            </w:pPr>
            <w:r>
              <w:rPr/>
              <w:t xml:space="preserve">Confirmation that </w:t>
            </w:r>
            <w:r>
              <w:rPr>
                <w:b/>
              </w:rPr>
              <w:t xml:space="preserve">databases are offline</w:t>
            </w:r>
            <w:r>
              <w:rPr/>
              <w:t xml:space="preserve"> before power-off</w:t>
            </w:r>
          </w:p>
        </w:tc>
        <w:tc>
          <w:tcPr>
            <w:tcW w:w="5094" w:type="dxa"/>
            <w:vAlign w:val="top"/>
          </w:tcPr>
          <w:p>
            <w:pPr>
              <w:pStyle w:val="TableText"/>
            </w:pPr>
            <w:r>
              <w:rPr/>
              <w:t xml:space="preserve">Server kept powered on during the quiet period</w:t>
            </w:r>
          </w:p>
        </w:tc>
      </w:tr>
    </w:tbl>
    <w:p>
      <w:pPr>
        <w:pStyle w:val="Spacer"/>
      </w:pPr>
    </w:p>
    <w:p>
      <w:pPr>
        <w:spacing w:before="160" w:after="160"/>
        <w:jc w:val="center"/>
      </w:pPr>
      <w:r>
        <w:rPr>
          <w:color w:val="5FA8E8"/>
          <w:sz w:val="18"/>
          <w:szCs w:val="18"/>
        </w:rPr>
        <w:t xml:space="preserve">———   ◆   ———</w:t>
      </w:r>
    </w:p>
    <w:p>
      <w:pPr>
        <w:pStyle w:val="Heading2"/>
      </w:pPr>
      <w:r>
        <w:rPr/>
        <w:t xml:space="preserve">4. Target platform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94"/>
        <w:gridCol w:w="3958"/>
        <w:gridCol w:w="4028"/>
      </w:tblGrid>
      <w:tr>
        <w:trPr>
          <w:tblHeader/>
        </w:trPr>
        <w:tc>
          <w:tcPr>
            <w:tcW w:w="2094" w:type="dxa"/>
            <w:shd w:val="clear" w:color="auto" w:fill="1B4A78"/>
            <w:vAlign w:val="top"/>
          </w:tcPr>
          <w:p>
            <w:pPr>
              <w:pStyle w:val="TableText"/>
            </w:pPr>
          </w:p>
        </w:tc>
        <w:tc>
          <w:tcPr>
            <w:tcW w:w="3958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tcW w:w="4028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Why</w:t>
            </w:r>
          </w:p>
        </w:tc>
      </w:tr>
      <w:tr>
        <w:trPr>
          <w:cantSplit/>
        </w:trPr>
        <w:tc>
          <w:tcPr>
            <w:tcW w:w="2094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OS for a new build</w:t>
            </w:r>
          </w:p>
        </w:tc>
        <w:tc>
          <w:tcPr>
            <w:tcW w:w="3958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Windows Server 2025</w:t>
            </w:r>
            <w:r>
              <w:rPr/>
              <w:t xml:space="preserve"> (2022 if the application vendor requires it)</w:t>
            </w:r>
          </w:p>
        </w:tc>
        <w:tc>
          <w:tcPr>
            <w:tcW w:w="4028" w:type="dxa"/>
            <w:vAlign w:val="top"/>
          </w:tcPr>
          <w:p>
            <w:pPr>
              <w:pStyle w:val="TableText"/>
            </w:pPr>
            <w:r>
              <w:rPr/>
              <w:t xml:space="preserve">Longest support. 2025 supports SQL 2019, 2022 and 2025 (see the </w:t>
            </w:r>
            <w:r>
              <w:rPr>
                <w:color w:val="1B4A78"/>
                <w:u w:val="single"/>
              </w:rPr>
              <w:t xml:space="preserve">DBA matrix</w:t>
            </w: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W w:w="2094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1st choice: in-place upgrade</w:t>
            </w:r>
          </w:p>
        </w:tc>
        <w:tc>
          <w:tcPr>
            <w:tcW w:w="3958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Whenever a path exists</w:t>
            </w:r>
            <w:r>
              <w:rPr/>
              <w:t xml:space="preserve"> (section 5). </w:t>
            </w:r>
            <w:r>
              <w:rPr>
                <w:b/>
              </w:rPr>
              <w:t xml:space="preserve">Done by the sysadmin.</w:t>
            </w:r>
            <w:r>
              <w:rPr/>
              <w:t xml:space="preserve"> On a cloned VM first </w:t>
            </w:r>
            <w:r>
              <w:rPr>
                <w:b/>
              </w:rPr>
              <w:t xml:space="preserve">only if the path is uncertain</w:t>
            </w:r>
            <w:r>
              <w:rPr/>
              <w:t xml:space="preserve"> (</w:t>
            </w:r>
            <w:r>
              <w:rPr>
                <w:color w:val="1B4A78"/>
                <w:u w:val="single"/>
              </w:rPr>
              <w:t xml:space="preserve">when to clone</w:t>
            </w:r>
            <w:r>
              <w:rPr/>
              <w:t xml:space="preserve">)</w:t>
            </w:r>
          </w:p>
        </w:tc>
        <w:tc>
          <w:tcPr>
            <w:tcW w:w="4028" w:type="dxa"/>
            <w:vAlign w:val="top"/>
          </w:tcPr>
          <w:p>
            <w:pPr>
              <w:pStyle w:val="TableText"/>
            </w:pPr>
            <w:r>
              <w:rPr/>
              <w:t xml:space="preserve">Same server, name, IP and data: fewer dependencies to move. Production gets a snapshot before each hop</w:t>
            </w:r>
          </w:p>
        </w:tc>
      </w:tr>
      <w:tr>
        <w:trPr>
          <w:cantSplit/>
        </w:trPr>
        <w:tc>
          <w:tcPr>
            <w:tcW w:w="2094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After an in-place upgrade</w:t>
            </w:r>
          </w:p>
        </w:tc>
        <w:tc>
          <w:tcPr>
            <w:tcW w:w="3958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Harden</w:t>
            </w:r>
            <w:r>
              <w:rPr/>
              <w:t xml:space="preserve"> after the last hop: SMBv1 off, TLS 1.2+ only, NTLMv1 refused, old roles and agents reviewed</w:t>
            </w:r>
          </w:p>
        </w:tc>
        <w:tc>
          <w:tcPr>
            <w:tcW w:w="4028" w:type="dxa"/>
            <w:vAlign w:val="top"/>
          </w:tcPr>
          <w:p>
            <w:pPr>
              <w:pStyle w:val="TableText"/>
            </w:pPr>
            <w:r>
              <w:rPr/>
              <w:t xml:space="preserve">An in-place upgrade </w:t>
            </w:r>
            <w:r>
              <w:rPr>
                <w:b/>
              </w:rPr>
              <w:t xml:space="preserve">keeps every old setting</w:t>
            </w:r>
            <w:r>
              <w:rPr/>
              <w:t xml:space="preserve">, including the insecure ones (</w:t>
            </w:r>
            <w:r>
              <w:rPr>
                <w:color w:val="1B4A78"/>
                <w:u w:val="single"/>
              </w:rPr>
              <w:t xml:space="preserve">governance §2.6</w:t>
            </w: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W w:w="2094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2nd choice: side-by-side</w:t>
            </w:r>
          </w:p>
        </w:tc>
        <w:tc>
          <w:tcPr>
            <w:tcW w:w="3958" w:type="dxa"/>
            <w:vAlign w:val="top"/>
          </w:tcPr>
          <w:p>
            <w:pPr>
              <w:pStyle w:val="TableText"/>
            </w:pPr>
            <w:r>
              <w:rPr/>
              <w:t xml:space="preserve">New server, then move apps and data. When </w:t>
            </w:r>
            <w:r>
              <w:rPr>
                <w:b/>
              </w:rPr>
              <w:t xml:space="preserve">no in-place path exists</w:t>
            </w:r>
            <w:r>
              <w:rPr/>
              <w:t xml:space="preserve"> (2003), or the </w:t>
            </w:r>
            <w:r>
              <w:rPr>
                <w:b/>
              </w:rPr>
              <w:t xml:space="preserve">clone test fails</w:t>
            </w:r>
          </w:p>
        </w:tc>
        <w:tc>
          <w:tcPr>
            <w:tcW w:w="4028" w:type="dxa"/>
            <w:vAlign w:val="top"/>
          </w:tcPr>
          <w:p>
            <w:pPr>
              <w:pStyle w:val="TableText"/>
            </w:pPr>
            <w:r>
              <w:rPr/>
              <w:t xml:space="preserve">Clean build. The source stays untouched as the rollback</w:t>
            </w:r>
          </w:p>
        </w:tc>
      </w:tr>
    </w:tbl>
    <w:p>
      <w:pPr>
        <w:pStyle w:val="Spacer"/>
      </w:pP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10080"/>
      </w:tblGrid>
      <w:tr>
        <w:tc>
          <w:tcPr>
            <w:tcW w:w="10080" w:type="dxa"/>
            <w:tcBorders>
              <w:top w:val="single" w:sz="4" w:space="0" w:color="DDF4FF"/>
              <w:left w:val="single" w:sz="24" w:space="0" w:color="0969DA"/>
              <w:bottom w:val="single" w:sz="4" w:space="0" w:color="DDF4FF"/>
              <w:right w:val="single" w:sz="4" w:space="0" w:color="DDF4FF"/>
            </w:tcBorders>
            <w:shd w:val="clear" w:color="auto" w:fill="DDF4FF"/>
            <w:vAlign w:val="top"/>
          </w:tcPr>
          <w:p>
            <w:pPr>
              <w:pStyle w:val="TableText"/>
              <w:spacing w:before="0" w:after="40"/>
            </w:pPr>
            <w:r>
              <w:rPr>
                <w:b/>
                <w:caps/>
                <w:color w:val="0969DA"/>
                <w:spacing w:val="20"/>
                <w:sz w:val="17"/>
                <w:szCs w:val="17"/>
              </w:rPr>
              <w:t xml:space="preserve">Note</w:t>
            </w:r>
          </w:p>
          <w:p>
            <w:pPr>
              <w:pStyle w:val="TableText"/>
            </w:pPr>
            <w:r>
              <w:rPr/>
              <w:t xml:space="preserve">Check the SQL version before you choose the OS. </w:t>
            </w:r>
            <w:r>
              <w:rPr>
                <w:b/>
              </w:rPr>
              <w:t xml:space="preserve">SQL 2017 isn't supported on Windows 2025, and SQL 2016 isn't supported on 2022.</w:t>
            </w:r>
            <w:r>
              <w:rPr/>
              <w:t xml:space="preserve"> Agree the OS and SQL pair with the DBA at Gate 1.</w:t>
            </w:r>
          </w:p>
        </w:tc>
      </w:tr>
    </w:tbl>
    <w:p>
      <w:pPr>
        <w:pStyle w:val="Spacer"/>
      </w:pPr>
    </w:p>
    <w:p>
      <w:pPr>
        <w:spacing w:before="160" w:after="160"/>
        <w:jc w:val="center"/>
      </w:pPr>
      <w:r>
        <w:rPr>
          <w:color w:val="5FA8E8"/>
          <w:sz w:val="18"/>
          <w:szCs w:val="18"/>
        </w:rPr>
        <w:t xml:space="preserve">———   ◆   ———</w:t>
      </w:r>
    </w:p>
    <w:p>
      <w:pPr>
        <w:pStyle w:val="Heading2"/>
      </w:pPr>
      <w:r>
        <w:rPr/>
        <w:t xml:space="preserve">5. Windows in-place upgrade paths</w:t>
      </w:r>
    </w:p>
    <w:p>
      <w:pPr>
        <w:pStyle w:val="Heading3"/>
      </w:pPr>
      <w:r>
        <w:rPr/>
        <w:t xml:space="preserve">5.1 Paths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03"/>
        <w:gridCol w:w="1653"/>
        <w:gridCol w:w="6624"/>
      </w:tblGrid>
      <w:tr>
        <w:trPr>
          <w:tblHeader/>
        </w:trPr>
        <w:tc>
          <w:tcPr>
            <w:tcW w:w="1803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From</w:t>
            </w:r>
          </w:p>
        </w:tc>
        <w:tc>
          <w:tcPr>
            <w:tcW w:w="1653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To (in place)</w:t>
            </w:r>
          </w:p>
        </w:tc>
        <w:tc>
          <w:tcPr>
            <w:tcW w:w="6624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rPr>
          <w:cantSplit/>
        </w:trPr>
        <w:tc>
          <w:tcPr>
            <w:tcW w:w="1803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2003</w:t>
            </w:r>
          </w:p>
        </w:tc>
        <w:tc>
          <w:tcPr>
            <w:tcW w:w="1653" w:type="dxa"/>
            <w:vAlign w:val="top"/>
          </w:tcPr>
          <w:p>
            <w:pPr>
              <w:pStyle w:val="TableText"/>
            </w:pPr>
            <w:r>
              <w:rPr/>
              <w:t xml:space="preserve">Nothing modern</w:t>
            </w:r>
          </w:p>
        </w:tc>
        <w:tc>
          <w:tcPr>
            <w:tcW w:w="6624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No path.</w:t>
            </w:r>
            <w:r>
              <w:rPr/>
              <w:t xml:space="preserve"> Side-by-side only</w:t>
            </w:r>
          </w:p>
        </w:tc>
      </w:tr>
      <w:tr>
        <w:trPr>
          <w:cantSplit/>
        </w:trPr>
        <w:tc>
          <w:tcPr>
            <w:tcW w:w="1803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2008</w:t>
            </w:r>
            <w:r>
              <w:rPr/>
              <w:t xml:space="preserve"> (x64)</w:t>
            </w:r>
          </w:p>
        </w:tc>
        <w:tc>
          <w:tcPr>
            <w:tcW w:w="1653" w:type="dxa"/>
            <w:vAlign w:val="top"/>
          </w:tcPr>
          <w:p>
            <w:pPr>
              <w:pStyle w:val="TableText"/>
            </w:pPr>
            <w:r>
              <w:rPr/>
              <w:t xml:space="preserve">2012</w:t>
            </w:r>
          </w:p>
        </w:tc>
        <w:tc>
          <w:tcPr>
            <w:tcW w:w="6624" w:type="dxa"/>
            <w:vAlign w:val="top"/>
          </w:tcPr>
          <w:p>
            <w:pPr>
              <w:pStyle w:val="TableText"/>
            </w:pPr>
            <w:r>
              <w:rPr/>
              <w:t xml:space="preserve">Older Microsoft guidance; no longer in the current table. </w:t>
            </w:r>
            <w:r>
              <w:rPr>
                <w:b/>
              </w:rPr>
              <w:t xml:space="preserve">Not lab-tested.</w:t>
            </w:r>
            <w:r>
              <w:rPr/>
              <w:t xml:space="preserve"> Try it on a clone (then 2012 → 2016 → 2025); side-by-side if it fails</w:t>
            </w:r>
          </w:p>
        </w:tc>
      </w:tr>
      <w:tr>
        <w:trPr>
          <w:cantSplit/>
        </w:trPr>
        <w:tc>
          <w:tcPr>
            <w:tcW w:w="1803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2008</w:t>
            </w:r>
            <w:r>
              <w:rPr/>
              <w:t xml:space="preserve"> (x86, 32-bit)</w:t>
            </w:r>
          </w:p>
        </w:tc>
        <w:tc>
          <w:tcPr>
            <w:tcW w:w="1653" w:type="dxa"/>
            <w:vAlign w:val="top"/>
          </w:tcPr>
          <w:p>
            <w:pPr>
              <w:pStyle w:val="TableText"/>
            </w:pPr>
            <w:r>
              <w:rPr/>
              <w:t xml:space="preserve">Nothing</w:t>
            </w:r>
          </w:p>
        </w:tc>
        <w:tc>
          <w:tcPr>
            <w:tcW w:w="6624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No path:</w:t>
            </w:r>
            <w:r>
              <w:rPr/>
              <w:t xml:space="preserve"> Windows 2012 and later are x64 only. Side-by-side only</w:t>
            </w:r>
          </w:p>
        </w:tc>
      </w:tr>
      <w:tr>
        <w:trPr>
          <w:cantSplit/>
        </w:trPr>
        <w:tc>
          <w:tcPr>
            <w:tcW w:w="1803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2008 R2 SP1</w:t>
            </w:r>
          </w:p>
        </w:tc>
        <w:tc>
          <w:tcPr>
            <w:tcW w:w="1653" w:type="dxa"/>
            <w:vAlign w:val="top"/>
          </w:tcPr>
          <w:p>
            <w:pPr>
              <w:pStyle w:val="TableText"/>
            </w:pPr>
            <w:r>
              <w:rPr/>
              <w:t xml:space="preserve">2012 R2</w:t>
            </w:r>
          </w:p>
        </w:tc>
        <w:tc>
          <w:tcPr>
            <w:tcW w:w="6624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Works, but not supported</w:t>
            </w:r>
            <w:r>
              <w:rPr/>
              <w:t xml:space="preserve"> (no longer in Microsoft's current table). </w:t>
            </w:r>
            <w:r>
              <w:rPr>
                <w:b/>
              </w:rPr>
              <w:t xml:space="preserve">LAB OK</w:t>
            </w:r>
          </w:p>
        </w:tc>
      </w:tr>
      <w:tr>
        <w:trPr>
          <w:cantSplit/>
        </w:trPr>
        <w:tc>
          <w:tcPr>
            <w:tcW w:w="1803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2012</w:t>
            </w:r>
          </w:p>
        </w:tc>
        <w:tc>
          <w:tcPr>
            <w:tcW w:w="1653" w:type="dxa"/>
            <w:vAlign w:val="top"/>
          </w:tcPr>
          <w:p>
            <w:pPr>
              <w:pStyle w:val="TableText"/>
            </w:pPr>
            <w:r>
              <w:rPr/>
              <w:t xml:space="preserve">2012 R2, 2016</w:t>
            </w:r>
          </w:p>
        </w:tc>
        <w:tc>
          <w:tcPr>
            <w:tcW w:w="6624" w:type="dxa"/>
            <w:vAlign w:val="top"/>
          </w:tcPr>
          <w:p>
            <w:pPr>
              <w:pStyle w:val="TableText"/>
            </w:pPr>
            <w:r>
              <w:rPr/>
              <w:t xml:space="preserve">Supported</w:t>
            </w:r>
          </w:p>
        </w:tc>
      </w:tr>
      <w:tr>
        <w:trPr>
          <w:cantSplit/>
        </w:trPr>
        <w:tc>
          <w:tcPr>
            <w:tcW w:w="1803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2012 R2</w:t>
            </w:r>
          </w:p>
        </w:tc>
        <w:tc>
          <w:tcPr>
            <w:tcW w:w="1653" w:type="dxa"/>
            <w:vAlign w:val="top"/>
          </w:tcPr>
          <w:p>
            <w:pPr>
              <w:pStyle w:val="TableText"/>
            </w:pPr>
            <w:r>
              <w:rPr/>
              <w:t xml:space="preserve">2016, 2019, </w:t>
            </w:r>
            <w:r>
              <w:rPr>
                <w:b/>
              </w:rPr>
              <w:t xml:space="preserve">2025</w:t>
            </w:r>
          </w:p>
        </w:tc>
        <w:tc>
          <w:tcPr>
            <w:tcW w:w="6624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Supported.</w:t>
            </w:r>
            <w:r>
              <w:rPr/>
              <w:t xml:space="preserve"> Not to 2022 (not supported). 2012 R2 → 2025 is </w:t>
            </w:r>
            <w:r>
              <w:rPr>
                <w:b/>
              </w:rPr>
              <w:t xml:space="preserve">LAB OK</w:t>
            </w:r>
          </w:p>
        </w:tc>
      </w:tr>
      <w:tr>
        <w:trPr>
          <w:cantSplit/>
        </w:trPr>
        <w:tc>
          <w:tcPr>
            <w:tcW w:w="1803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2016</w:t>
            </w:r>
          </w:p>
        </w:tc>
        <w:tc>
          <w:tcPr>
            <w:tcW w:w="1653" w:type="dxa"/>
            <w:vAlign w:val="top"/>
          </w:tcPr>
          <w:p>
            <w:pPr>
              <w:pStyle w:val="TableText"/>
            </w:pPr>
            <w:r>
              <w:rPr/>
              <w:t xml:space="preserve">2019, 2022, 2025</w:t>
            </w:r>
          </w:p>
        </w:tc>
        <w:tc>
          <w:tcPr>
            <w:tcW w:w="6624" w:type="dxa"/>
            <w:vAlign w:val="top"/>
          </w:tcPr>
          <w:p>
            <w:pPr>
              <w:pStyle w:val="TableText"/>
            </w:pPr>
            <w:r>
              <w:rPr/>
              <w:t xml:space="preserve">Supported</w:t>
            </w:r>
          </w:p>
        </w:tc>
      </w:tr>
      <w:tr>
        <w:trPr>
          <w:cantSplit/>
        </w:trPr>
        <w:tc>
          <w:tcPr>
            <w:tcW w:w="1803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2019</w:t>
            </w:r>
          </w:p>
        </w:tc>
        <w:tc>
          <w:tcPr>
            <w:tcW w:w="1653" w:type="dxa"/>
            <w:vAlign w:val="top"/>
          </w:tcPr>
          <w:p>
            <w:pPr>
              <w:pStyle w:val="TableText"/>
            </w:pPr>
            <w:r>
              <w:rPr/>
              <w:t xml:space="preserve">2022, 2025</w:t>
            </w:r>
          </w:p>
        </w:tc>
        <w:tc>
          <w:tcPr>
            <w:tcW w:w="6624" w:type="dxa"/>
            <w:vAlign w:val="top"/>
          </w:tcPr>
          <w:p>
            <w:pPr>
              <w:pStyle w:val="TableText"/>
            </w:pPr>
            <w:r>
              <w:rPr/>
              <w:t xml:space="preserve">Supported</w:t>
            </w:r>
          </w:p>
        </w:tc>
      </w:tr>
      <w:tr>
        <w:trPr>
          <w:cantSplit/>
        </w:trPr>
        <w:tc>
          <w:tcPr>
            <w:tcW w:w="1803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2022</w:t>
            </w:r>
          </w:p>
        </w:tc>
        <w:tc>
          <w:tcPr>
            <w:tcW w:w="1653" w:type="dxa"/>
            <w:vAlign w:val="top"/>
          </w:tcPr>
          <w:p>
            <w:pPr>
              <w:pStyle w:val="TableText"/>
            </w:pPr>
            <w:r>
              <w:rPr/>
              <w:t xml:space="preserve">2025</w:t>
            </w:r>
          </w:p>
        </w:tc>
        <w:tc>
          <w:tcPr>
            <w:tcW w:w="6624" w:type="dxa"/>
            <w:vAlign w:val="top"/>
          </w:tcPr>
          <w:p>
            <w:pPr>
              <w:pStyle w:val="TableText"/>
            </w:pPr>
            <w:r>
              <w:rPr/>
              <w:t xml:space="preserve">Supported</w:t>
            </w:r>
          </w:p>
        </w:tc>
      </w:tr>
    </w:tbl>
    <w:p>
      <w:pPr>
        <w:pStyle w:val="Spacer"/>
      </w:pPr>
    </w:p>
    <w:p>
      <w:pPr/>
      <w:r>
        <w:rPr/>
        <w:t xml:space="preserve">Source: Microsoft, </w:t>
      </w:r>
      <w:r>
        <w:rPr>
          <w:color w:val="1B4A78"/>
          <w:u w:val="single"/>
        </w:rPr>
        <w:t xml:space="preserve">Windows Server upgrade paths</w:t>
      </w:r>
      <w:r>
        <w:rPr/>
        <w:t xml:space="preserve">. Since 2025, a non-clustered server can jump </w:t>
      </w:r>
      <w:r>
        <w:rPr>
          <w:b/>
        </w:rPr>
        <w:t xml:space="preserve">up to four versions</w:t>
      </w:r>
      <w:r>
        <w:rPr/>
        <w:t xml:space="preserve">; earlier versions allow two. Rules that always apply:</w:t>
      </w:r>
    </w:p>
    <w:p>
      <w:pPr>
        <w:pStyle w:val="ListParagraph"/>
        <w:numPr>
          <w:ilvl w:val="0"/>
          <w:numId w:val="1"/>
        </w:numPr>
      </w:pPr>
      <w:r>
        <w:rPr/>
        <w:t xml:space="preserve">same edition or higher;</w:t>
      </w:r>
    </w:p>
    <w:p>
      <w:pPr>
        <w:pStyle w:val="ListParagraph"/>
        <w:numPr>
          <w:ilvl w:val="0"/>
          <w:numId w:val="1"/>
        </w:numPr>
      </w:pPr>
      <w:r>
        <w:rPr/>
        <w:t xml:space="preserve">same install language;</w:t>
      </w:r>
    </w:p>
    <w:p>
      <w:pPr>
        <w:pStyle w:val="ListParagraph"/>
        <w:numPr>
          <w:ilvl w:val="0"/>
          <w:numId w:val="1"/>
        </w:numPr>
      </w:pPr>
      <w:r>
        <w:rPr/>
        <w:t xml:space="preserve">x64 to x64;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evaluation media can't upgrade a licensed server</w:t>
      </w:r>
      <w:r>
        <w:rPr/>
        <w:t xml:space="preserve">;</w:t>
      </w:r>
    </w:p>
    <w:p>
      <w:pPr>
        <w:pStyle w:val="ListParagraph"/>
        <w:numPr>
          <w:ilvl w:val="0"/>
          <w:numId w:val="1"/>
        </w:numPr>
      </w:pPr>
      <w:r>
        <w:rPr/>
        <w:t xml:space="preserve">disable NIC teaming first;</w:t>
      </w:r>
    </w:p>
    <w:p>
      <w:pPr>
        <w:pStyle w:val="ListParagraph"/>
        <w:numPr>
          <w:ilvl w:val="0"/>
          <w:numId w:val="1"/>
        </w:numPr>
      </w:pPr>
      <w:r>
        <w:rPr/>
        <w:t xml:space="preserve">each hop needs its own licence.</w:t>
      </w:r>
    </w:p>
    <w:p>
      <w:pPr>
        <w:pStyle w:val="Heading3"/>
      </w:pPr>
      <w:r>
        <w:rPr/>
        <w:t xml:space="preserve">5.2 Lab-proven chain: 2008 R2 SP1 → 2012 R2 → 2025</w:t>
      </w:r>
    </w:p>
    <w:p>
      <w:pPr/>
      <w:r>
        <w:rPr>
          <w:b/>
        </w:rPr>
        <w:t xml:space="preserve">PARTLY NOT SUPPORTED. Proven in our lab, with SQL 2005 and a live application on the server.</w:t>
      </w:r>
      <w:r>
        <w:rPr/>
        <w:t xml:space="preserve"> The SQL side and its conditions are in the </w:t>
      </w:r>
      <w:r>
        <w:rPr>
          <w:color w:val="1B4A78"/>
          <w:u w:val="single"/>
        </w:rPr>
        <w:t xml:space="preserve">DBA guide §5.3</w:t>
      </w:r>
      <w:r>
        <w:rPr/>
        <w:t xml:space="preserve">.</w:t>
      </w:r>
    </w:p>
    <w:tbl>
      <w:tblPr>
        <w:tblW w:w="5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1600"/>
        <w:gridCol w:w="520"/>
        <w:gridCol w:w="1600"/>
        <w:gridCol w:w="520"/>
        <w:gridCol w:w="1600"/>
      </w:tblGrid>
      <w:tr>
        <w:trPr>
          <w:cantSplit/>
        </w:trPr>
        <w:tc>
          <w:tcPr>
            <w:tcW w:w="16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B4A78"/>
            <w:vAlign w:val="center"/>
          </w:tcPr>
          <w:p>
            <w:pPr>
              <w:pStyle w:val="TableText"/>
              <w:jc w:val="center"/>
            </w:pPr>
            <w:r>
              <w:rPr>
                <w:color w:val="FFFFFF"/>
                <w:sz w:val="17"/>
                <w:szCs w:val="17"/>
              </w:rPr>
              <w:t xml:space="preserve">2008 R2 SP1</w:t>
            </w:r>
            <w:r>
              <w:br/>
            </w:r>
            <w:r>
              <w:rPr>
                <w:color w:val="FFFFFF"/>
                <w:sz w:val="17"/>
                <w:szCs w:val="17"/>
              </w:rPr>
              <w:t xml:space="preserve">baseline + snapshot</w:t>
            </w:r>
          </w:p>
        </w:tc>
        <w:tc>
          <w:tcPr>
            <w:tcW w:w="520" w:type="dxa"/>
            <w:vAlign w:val="center"/>
          </w:tcPr>
          <w:p>
            <w:pPr>
              <w:pStyle w:val="TableText"/>
              <w:jc w:val="center"/>
            </w:pPr>
            <w:r>
              <w:rPr>
                <w:color w:val="6B7785"/>
                <w:sz w:val="13"/>
                <w:szCs w:val="13"/>
              </w:rPr>
              <w:t xml:space="preserve">works, not supported</w:t>
            </w:r>
            <w:r>
              <w:br/>
            </w:r>
            <w:r>
              <w:rPr>
                <w:color w:val="6B7785"/>
                <w:sz w:val="13"/>
                <w:szCs w:val="13"/>
              </w:rPr>
              <w:t xml:space="preserve">~25 min, 3 reboots</w:t>
            </w:r>
          </w:p>
          <w:p>
            <w:pPr>
              <w:pStyle w:val="TableText"/>
              <w:jc w:val="center"/>
            </w:pPr>
            <w:r>
              <w:rPr>
                <w:b/>
                <w:color w:val="1B4A78"/>
                <w:sz w:val="28"/>
                <w:szCs w:val="28"/>
              </w:rPr>
              <w:t xml:space="preserve">→</w:t>
            </w:r>
          </w:p>
        </w:tc>
        <w:tc>
          <w:tcPr>
            <w:tcW w:w="16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B4A78"/>
            <w:vAlign w:val="center"/>
          </w:tcPr>
          <w:p>
            <w:pPr>
              <w:pStyle w:val="TableText"/>
              <w:jc w:val="center"/>
            </w:pPr>
            <w:r>
              <w:rPr>
                <w:color w:val="FFFFFF"/>
                <w:sz w:val="17"/>
                <w:szCs w:val="17"/>
              </w:rPr>
              <w:t xml:space="preserve">2012 R2</w:t>
            </w:r>
            <w:r>
              <w:br/>
            </w:r>
            <w:r>
              <w:rPr>
                <w:color w:val="FFFFFF"/>
                <w:sz w:val="17"/>
                <w:szCs w:val="17"/>
              </w:rPr>
              <w:t xml:space="preserve">+ April 2014 Update</w:t>
            </w:r>
            <w:r>
              <w:br/>
            </w:r>
            <w:r>
              <w:rPr>
                <w:color w:val="FFFFFF"/>
                <w:sz w:val="17"/>
                <w:szCs w:val="17"/>
              </w:rPr>
              <w:t xml:space="preserve">+ </w:t>
            </w:r>
            <w:r>
              <w:rPr>
                <w:b/>
                <w:color w:val="FFFFFF"/>
                <w:sz w:val="17"/>
                <w:szCs w:val="17"/>
              </w:rPr>
              <w:t xml:space="preserve">all final updates</w:t>
            </w:r>
          </w:p>
        </w:tc>
        <w:tc>
          <w:tcPr>
            <w:tcW w:w="520" w:type="dxa"/>
            <w:vAlign w:val="center"/>
          </w:tcPr>
          <w:p>
            <w:pPr>
              <w:pStyle w:val="TableText"/>
              <w:jc w:val="center"/>
            </w:pPr>
            <w:r>
              <w:rPr>
                <w:color w:val="6B7785"/>
                <w:sz w:val="13"/>
                <w:szCs w:val="13"/>
              </w:rPr>
              <w:t xml:space="preserve">supported OS path</w:t>
            </w:r>
            <w:r>
              <w:br/>
            </w:r>
            <w:r>
              <w:rPr>
                <w:color w:val="6B7785"/>
                <w:sz w:val="13"/>
                <w:szCs w:val="13"/>
              </w:rPr>
              <w:t xml:space="preserve">~1 h</w:t>
            </w:r>
          </w:p>
          <w:p>
            <w:pPr>
              <w:pStyle w:val="TableText"/>
              <w:jc w:val="center"/>
            </w:pPr>
            <w:r>
              <w:rPr>
                <w:b/>
                <w:color w:val="1B4A78"/>
                <w:sz w:val="28"/>
                <w:szCs w:val="28"/>
              </w:rPr>
              <w:t xml:space="preserve">→</w:t>
            </w:r>
          </w:p>
        </w:tc>
        <w:tc>
          <w:tcPr>
            <w:tcW w:w="16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B4A78"/>
            <w:vAlign w:val="center"/>
          </w:tcPr>
          <w:p>
            <w:pPr>
              <w:pStyle w:val="TableText"/>
              <w:jc w:val="center"/>
            </w:pPr>
            <w:r>
              <w:rPr>
                <w:color w:val="FFFFFF"/>
                <w:sz w:val="17"/>
                <w:szCs w:val="17"/>
              </w:rPr>
              <w:t xml:space="preserve">2025</w:t>
            </w:r>
            <w:r>
              <w:br/>
            </w:r>
            <w:r>
              <w:rPr>
                <w:color w:val="FFFFFF"/>
                <w:sz w:val="17"/>
                <w:szCs w:val="17"/>
              </w:rPr>
              <w:t xml:space="preserve">checks + snapshot</w:t>
            </w:r>
          </w:p>
        </w:tc>
      </w:tr>
    </w:tbl>
    <w:p>
      <w:pPr>
        <w:pStyle w:val="Spacer"/>
      </w:pPr>
    </w:p>
    <w:p>
      <w:pPr/>
      <w:r>
        <w:rPr>
          <w:b/>
        </w:rPr>
        <w:t xml:space="preserve">What the lab taught us.</w:t>
      </w:r>
      <w:r>
        <w:rPr/>
        <w:t xml:space="preserve"> Each item stopped or broke an upgrade at least once: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55"/>
        <w:gridCol w:w="9525"/>
      </w:tblGrid>
      <w:tr>
        <w:trPr>
          <w:tblHeader/>
        </w:trPr>
        <w:tc>
          <w:tcPr>
            <w:tcW w:w="555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9525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Lesson</w:t>
            </w:r>
          </w:p>
        </w:tc>
      </w:tr>
      <w:tr>
        <w:trPr>
          <w:cantSplit/>
        </w:trPr>
        <w:tc>
          <w:tcPr>
            <w:tcW w:w="555" w:type="dxa"/>
            <w:vAlign w:val="top"/>
          </w:tcPr>
          <w:p>
            <w:pPr>
              <w:pStyle w:val="TableText"/>
            </w:pPr>
            <w:r>
              <w:rPr/>
              <w:t xml:space="preserve">1</w:t>
            </w:r>
          </w:p>
        </w:tc>
        <w:tc>
          <w:tcPr>
            <w:tcW w:w="9525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Check the ISO first:</w:t>
            </w:r>
            <w:r>
              <w:rPr/>
              <w:t xml:space="preserve"> authentic, </w:t>
            </w:r>
            <w:r>
              <w:rPr>
                <w:b/>
              </w:rPr>
              <w:t xml:space="preserve">not Evaluation</w:t>
            </w:r>
            <w:r>
              <w:rPr/>
              <w:t xml:space="preserve"> (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ei.cfg</w:t>
            </w:r>
            <w:r>
              <w:rPr/>
              <w:t xml:space="preserve"> with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Channel=eval</w:t>
            </w:r>
            <w:r>
              <w:rPr/>
              <w:t xml:space="preserve"> is a blocker), same edition and language</w:t>
            </w:r>
          </w:p>
        </w:tc>
      </w:tr>
      <w:tr>
        <w:trPr>
          <w:cantSplit/>
        </w:trPr>
        <w:tc>
          <w:tcPr>
            <w:tcW w:w="555" w:type="dxa"/>
            <w:vAlign w:val="top"/>
          </w:tcPr>
          <w:p>
            <w:pPr>
              <w:pStyle w:val="TableText"/>
            </w:pPr>
            <w:r>
              <w:rPr/>
              <w:t xml:space="preserve">2</w:t>
            </w:r>
          </w:p>
        </w:tc>
        <w:tc>
          <w:tcPr>
            <w:tcW w:w="9525" w:type="dxa"/>
            <w:vAlign w:val="top"/>
          </w:tcPr>
          <w:p>
            <w:pPr>
              <w:pStyle w:val="TableText"/>
            </w:pPr>
            <w:r>
              <w:rPr/>
              <w:t xml:space="preserve">2008 R2 needs </w:t>
            </w:r>
            <w:r>
              <w:rPr>
                <w:b/>
              </w:rPr>
              <w:t xml:space="preserve">SP1</w:t>
            </w:r>
            <w:r>
              <w:rPr/>
              <w:t xml:space="preserve"> before going to 2012 R2</w:t>
            </w:r>
          </w:p>
        </w:tc>
      </w:tr>
      <w:tr>
        <w:trPr>
          <w:cantSplit/>
        </w:trPr>
        <w:tc>
          <w:tcPr>
            <w:tcW w:w="555" w:type="dxa"/>
            <w:vAlign w:val="top"/>
          </w:tcPr>
          <w:p>
            <w:pPr>
              <w:pStyle w:val="TableText"/>
            </w:pPr>
            <w:r>
              <w:rPr/>
              <w:t xml:space="preserve">3</w:t>
            </w:r>
          </w:p>
        </w:tc>
        <w:tc>
          <w:tcPr>
            <w:tcW w:w="9525" w:type="dxa"/>
            <w:vAlign w:val="top"/>
          </w:tcPr>
          <w:p>
            <w:pPr>
              <w:pStyle w:val="TableText"/>
            </w:pPr>
            <w:r>
              <w:rPr/>
              <w:t xml:space="preserve">2008 R2 → 2012 R2 unattended: the answer file needs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ImageInstall</w:t>
            </w:r>
            <w:r>
              <w:rPr/>
              <w:t xml:space="preserve"> </w:t>
            </w:r>
            <w:r>
              <w:rPr>
                <w:b/>
              </w:rPr>
              <w:t xml:space="preserve">and</w:t>
            </w:r>
            <w:r>
              <w:rPr/>
              <w:t xml:space="preserve">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InstallTo</w:t>
            </w:r>
            <w:r>
              <w:rPr/>
              <w:t xml:space="preserve"> (the existing OS partition). Run setup </w:t>
            </w:r>
            <w:r>
              <w:rPr>
                <w:b/>
              </w:rPr>
              <w:t xml:space="preserve">on the console</w:t>
            </w:r>
            <w:r>
              <w:rPr/>
              <w:t xml:space="preserve">, because the app-compatibility page (SQL 2005) waits for </w:t>
            </w:r>
            <w:r>
              <w:rPr>
                <w:b/>
              </w:rPr>
              <w:t xml:space="preserve">Confirm</w:t>
            </w:r>
          </w:p>
        </w:tc>
      </w:tr>
      <w:tr>
        <w:trPr>
          <w:cantSplit/>
        </w:trPr>
        <w:tc>
          <w:tcPr>
            <w:tcW w:w="555" w:type="dxa"/>
            <w:vAlign w:val="top"/>
          </w:tcPr>
          <w:p>
            <w:pPr>
              <w:pStyle w:val="TableText"/>
            </w:pPr>
            <w:r>
              <w:rPr/>
              <w:t xml:space="preserve">4</w:t>
            </w:r>
          </w:p>
        </w:tc>
        <w:tc>
          <w:tcPr>
            <w:tcW w:w="9525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Before going to 2025, patch 2012 R2 fully</w:t>
            </w:r>
            <w:r>
              <w:rPr/>
              <w:t xml:space="preserve"> to its last public updates (SSU </w:t>
            </w:r>
            <w:r>
              <w:rPr>
                <w:b/>
              </w:rPr>
              <w:t xml:space="preserve">KB5032308</w:t>
            </w:r>
            <w:r>
              <w:rPr/>
              <w:t xml:space="preserve"> and rollup </w:t>
            </w:r>
            <w:r>
              <w:rPr>
                <w:b/>
              </w:rPr>
              <w:t xml:space="preserve">KB5031419</w:t>
            </w:r>
            <w:r>
              <w:rPr/>
              <w:t xml:space="preserve">). With only the 2014 updates, the 2025 setup </w:t>
            </w:r>
            <w:r>
              <w:rPr>
                <w:b/>
              </w:rPr>
              <w:t xml:space="preserve">crashed</w:t>
            </w:r>
            <w:r>
              <w:rPr/>
              <w:t xml:space="preserve"> (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0xC190011F</w:t>
            </w: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W w:w="555" w:type="dxa"/>
            <w:vAlign w:val="top"/>
          </w:tcPr>
          <w:p>
            <w:pPr>
              <w:pStyle w:val="TableText"/>
            </w:pPr>
            <w:r>
              <w:rPr/>
              <w:t xml:space="preserve">5</w:t>
            </w:r>
          </w:p>
        </w:tc>
        <w:tc>
          <w:tcPr>
            <w:tcW w:w="9525" w:type="dxa"/>
            <w:vAlign w:val="top"/>
          </w:tcPr>
          <w:p>
            <w:pPr>
              <w:pStyle w:val="TableText"/>
            </w:pPr>
            <w:r>
              <w:rPr/>
              <w:t xml:space="preserve">2025 needs a CPU with </w:t>
            </w:r>
            <w:r>
              <w:rPr>
                <w:b/>
              </w:rPr>
              <w:t xml:space="preserve">x86-64-v2</w:t>
            </w:r>
            <w:r>
              <w:rPr/>
              <w:t xml:space="preserve"> (on a VM, set the CPU type before the upgrade)</w:t>
            </w:r>
          </w:p>
        </w:tc>
      </w:tr>
      <w:tr>
        <w:trPr>
          <w:cantSplit/>
        </w:trPr>
        <w:tc>
          <w:tcPr>
            <w:tcW w:w="555" w:type="dxa"/>
            <w:vAlign w:val="top"/>
          </w:tcPr>
          <w:p>
            <w:pPr>
              <w:pStyle w:val="TableText"/>
            </w:pPr>
            <w:r>
              <w:rPr/>
              <w:t xml:space="preserve">6</w:t>
            </w:r>
          </w:p>
        </w:tc>
        <w:tc>
          <w:tcPr>
            <w:tcW w:w="9525" w:type="dxa"/>
            <w:vAlign w:val="top"/>
          </w:tcPr>
          <w:p>
            <w:pPr>
              <w:pStyle w:val="TableText"/>
            </w:pPr>
            <w:r>
              <w:rPr/>
              <w:t xml:space="preserve">Keep </w:t>
            </w:r>
            <w:r>
              <w:rPr>
                <w:b/>
              </w:rPr>
              <w:t xml:space="preserve">40 GB+ free</w:t>
            </w:r>
            <w:r>
              <w:rPr/>
              <w:t xml:space="preserve"> on C: before each hop; grow the disk if needed</w:t>
            </w:r>
          </w:p>
        </w:tc>
      </w:tr>
      <w:tr>
        <w:trPr>
          <w:cantSplit/>
        </w:trPr>
        <w:tc>
          <w:tcPr>
            <w:tcW w:w="555" w:type="dxa"/>
            <w:vAlign w:val="top"/>
          </w:tcPr>
          <w:p>
            <w:pPr>
              <w:pStyle w:val="TableText"/>
            </w:pPr>
            <w:r>
              <w:rPr/>
              <w:t xml:space="preserve">7</w:t>
            </w:r>
          </w:p>
        </w:tc>
        <w:tc>
          <w:tcPr>
            <w:tcW w:w="9525" w:type="dxa"/>
            <w:vAlign w:val="top"/>
          </w:tcPr>
          <w:p>
            <w:pPr>
              <w:pStyle w:val="TableText"/>
            </w:pPr>
            <w:r>
              <w:rPr/>
              <w:t xml:space="preserve">Activation is reset after each hop. Plan </w:t>
            </w:r>
            <w:r>
              <w:rPr>
                <w:b/>
              </w:rPr>
              <w:t xml:space="preserve">KMS or MAK</w:t>
            </w:r>
          </w:p>
        </w:tc>
      </w:tr>
      <w:tr>
        <w:trPr>
          <w:cantSplit/>
        </w:trPr>
        <w:tc>
          <w:tcPr>
            <w:tcW w:w="555" w:type="dxa"/>
            <w:vAlign w:val="top"/>
          </w:tcPr>
          <w:p>
            <w:pPr>
              <w:pStyle w:val="TableText"/>
            </w:pPr>
            <w:r>
              <w:rPr/>
              <w:t xml:space="preserve">8</w:t>
            </w:r>
          </w:p>
        </w:tc>
        <w:tc>
          <w:tcPr>
            <w:tcW w:w="9525" w:type="dxa"/>
            <w:vAlign w:val="top"/>
          </w:tcPr>
          <w:p>
            <w:pPr>
              <w:pStyle w:val="TableText"/>
            </w:pPr>
            <w:r>
              <w:rPr/>
              <w:t xml:space="preserve">After the 2025 upgrade, </w:t>
            </w:r>
            <w:r>
              <w:rPr>
                <w:b/>
              </w:rPr>
              <w:t xml:space="preserve">RDP didn't listen</w:t>
            </w:r>
            <w:r>
              <w:rPr/>
              <w:t xml:space="preserve"> until one more restart. </w:t>
            </w:r>
            <w:r>
              <w:rPr>
                <w:b/>
              </w:rPr>
              <w:t xml:space="preserve">Check RDP explicitly</w:t>
            </w:r>
          </w:p>
        </w:tc>
      </w:tr>
      <w:tr>
        <w:trPr>
          <w:cantSplit/>
        </w:trPr>
        <w:tc>
          <w:tcPr>
            <w:tcW w:w="555" w:type="dxa"/>
            <w:vAlign w:val="top"/>
          </w:tcPr>
          <w:p>
            <w:pPr>
              <w:pStyle w:val="TableText"/>
            </w:pPr>
            <w:r>
              <w:rPr/>
              <w:t xml:space="preserve">9</w:t>
            </w:r>
          </w:p>
        </w:tc>
        <w:tc>
          <w:tcPr>
            <w:tcW w:w="9525" w:type="dxa"/>
            <w:vAlign w:val="top"/>
          </w:tcPr>
          <w:p>
            <w:pPr>
              <w:pStyle w:val="TableText"/>
            </w:pPr>
            <w:r>
              <w:rPr/>
              <w:t xml:space="preserve">With pending updates, shut down </w:t>
            </w:r>
            <w:r>
              <w:rPr>
                <w:b/>
              </w:rPr>
              <w:t xml:space="preserve">from inside Windows</w:t>
            </w:r>
            <w:r>
              <w:rPr/>
              <w:t xml:space="preserve">; the hypervisor's shutdown timed out</w:t>
            </w:r>
          </w:p>
        </w:tc>
      </w:tr>
      <w:tr>
        <w:trPr>
          <w:cantSplit/>
        </w:trPr>
        <w:tc>
          <w:tcPr>
            <w:tcW w:w="555" w:type="dxa"/>
            <w:vAlign w:val="top"/>
          </w:tcPr>
          <w:p>
            <w:pPr>
              <w:pStyle w:val="TableText"/>
            </w:pPr>
            <w:r>
              <w:rPr/>
              <w:t xml:space="preserve">10</w:t>
            </w:r>
          </w:p>
        </w:tc>
        <w:tc>
          <w:tcPr>
            <w:tcW w:w="9525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Snapshot before each hop</w:t>
            </w:r>
            <w:r>
              <w:rPr/>
              <w:t xml:space="preserve">, and keep it until the app owner confirms</w:t>
            </w:r>
          </w:p>
        </w:tc>
      </w:tr>
    </w:tbl>
    <w:p>
      <w:pPr>
        <w:pStyle w:val="Spacer"/>
      </w:pPr>
    </w:p>
    <w:p>
      <w:pPr/>
      <w:r>
        <w:rPr/>
        <w:t xml:space="preserve">Full runbook, commands and logs: </w:t>
      </w:r>
      <w:r>
        <w:rPr>
          <w:color w:val="1B4A78"/>
          <w:u w:val="single"/>
        </w:rPr>
        <w:t xml:space="preserve">legacy-migration runbook</w:t>
      </w:r>
      <w:r>
        <w:rPr/>
        <w:t xml:space="preserve">.</w:t>
      </w:r>
    </w:p>
    <w:p>
      <w:pPr>
        <w:spacing w:before="160" w:after="160"/>
        <w:jc w:val="center"/>
      </w:pPr>
      <w:r>
        <w:rPr>
          <w:color w:val="5FA8E8"/>
          <w:sz w:val="18"/>
          <w:szCs w:val="18"/>
        </w:rPr>
        <w:t xml:space="preserve">———   ◆   ———</w:t>
      </w:r>
    </w:p>
    <w:p>
      <w:pPr>
        <w:pStyle w:val="Heading2"/>
      </w:pPr>
      <w:r>
        <w:rPr/>
        <w:t xml:space="preserve">6. Options after Discovery</w:t>
      </w:r>
    </w:p>
    <w:p>
      <w:pPr/>
      <w:r>
        <w:rPr/>
        <w:t xml:space="preserve">Discovery ends with </w:t>
      </w:r>
      <w:r>
        <w:rPr>
          <w:b/>
        </w:rPr>
        <w:t xml:space="preserve">one of three options</w:t>
      </w:r>
      <w:r>
        <w:rPr/>
        <w:t xml:space="preserve"> for each server, decided at Gate 1 (</w:t>
      </w:r>
      <w:r>
        <w:rPr>
          <w:color w:val="1B4A78"/>
          <w:u w:val="single"/>
        </w:rPr>
        <w:t xml:space="preserve">governance §1.10</w:t>
      </w:r>
      <w:r>
        <w:rPr/>
        <w:t xml:space="preserve">):</w:t>
      </w: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3900"/>
        <w:gridCol w:w="500"/>
        <w:gridCol w:w="5680"/>
      </w:tblGrid>
      <w:tr>
        <w:trPr>
          <w:cantSplit/>
        </w:trPr>
        <w:tc>
          <w:tcPr>
            <w:tcW w:w="39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BE8F4"/>
            <w:vAlign w:val="center"/>
          </w:tcPr>
          <w:p>
            <w:pPr>
              <w:pStyle w:val="TableText"/>
              <w:jc w:val="center"/>
            </w:pPr>
            <w:r>
              <w:rPr>
                <w:color w:val="0B1F36"/>
                <w:sz w:val="17"/>
                <w:szCs w:val="17"/>
              </w:rPr>
              <w:t xml:space="preserve">Discovery</w:t>
            </w:r>
            <w:r>
              <w:br/>
            </w:r>
            <w:r>
              <w:rPr>
                <w:color w:val="0B1F36"/>
                <w:sz w:val="17"/>
                <w:szCs w:val="17"/>
              </w:rPr>
              <w:t xml:space="preserve">results</w:t>
            </w:r>
          </w:p>
        </w:tc>
        <w:tc>
          <w:tcPr>
            <w:tcW w:w="50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B4A78"/>
                <w:sz w:val="26"/>
                <w:szCs w:val="26"/>
              </w:rPr>
              <w:t xml:space="preserve">→</w:t>
            </w:r>
          </w:p>
        </w:tc>
        <w:tc>
          <w:tcPr>
            <w:tcW w:w="5680" w:type="dxa"/>
            <w:vAlign w:val="center"/>
          </w:tcPr>
          <w:p>
            <w:pPr>
              <w:pStyle w:val="TableText"/>
            </w:pPr>
            <w:r>
              <w:rPr>
                <w:color w:val="5FA8E8"/>
                <w:sz w:val="17"/>
                <w:szCs w:val="17"/>
              </w:rPr>
              <w:t xml:space="preserve">▸ </w:t>
            </w:r>
            <w:r>
              <w:rPr>
                <w:sz w:val="17"/>
                <w:szCs w:val="17"/>
              </w:rPr>
              <w:t xml:space="preserve">Is the server still used?</w:t>
            </w:r>
          </w:p>
        </w:tc>
      </w:tr>
      <w:tr>
        <w:trPr>
          <w:cantSplit/>
        </w:trPr>
        <w:tc>
          <w:tcPr>
            <w:tcW w:w="39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BE8F4"/>
            <w:vAlign w:val="center"/>
          </w:tcPr>
          <w:p>
            <w:pPr>
              <w:pStyle w:val="TableText"/>
              <w:jc w:val="center"/>
            </w:pPr>
            <w:r>
              <w:rPr>
                <w:color w:val="0B1F36"/>
                <w:sz w:val="17"/>
                <w:szCs w:val="17"/>
              </w:rPr>
              <w:t xml:space="preserve">Is the server</w:t>
            </w:r>
            <w:r>
              <w:br/>
            </w:r>
            <w:r>
              <w:rPr>
                <w:color w:val="0B1F36"/>
                <w:sz w:val="17"/>
                <w:szCs w:val="17"/>
              </w:rPr>
              <w:t xml:space="preserve">still used?</w:t>
            </w:r>
          </w:p>
        </w:tc>
        <w:tc>
          <w:tcPr>
            <w:tcW w:w="50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B4A78"/>
                <w:sz w:val="26"/>
                <w:szCs w:val="26"/>
              </w:rPr>
              <w:t xml:space="preserve">→</w:t>
            </w:r>
          </w:p>
        </w:tc>
        <w:tc>
          <w:tcPr>
            <w:tcW w:w="5680" w:type="dxa"/>
            <w:vAlign w:val="center"/>
          </w:tcPr>
          <w:p>
            <w:pPr>
              <w:pStyle w:val="TableText"/>
            </w:pPr>
            <w:r>
              <w:rPr>
                <w:color w:val="5FA8E8"/>
                <w:sz w:val="17"/>
                <w:szCs w:val="17"/>
              </w:rPr>
              <w:t xml:space="preserve">▸ </w:t>
            </w:r>
            <w:r>
              <w:rPr>
                <w:b/>
                <w:color w:val="1B4A78"/>
                <w:sz w:val="17"/>
                <w:szCs w:val="17"/>
              </w:rPr>
              <w:t xml:space="preserve">no:  </w:t>
            </w:r>
            <w:r>
              <w:rPr>
                <w:sz w:val="17"/>
                <w:szCs w:val="17"/>
              </w:rPr>
              <w:t xml:space="preserve">Retire 6.2</w:t>
            </w:r>
          </w:p>
          <w:p>
            <w:pPr>
              <w:pStyle w:val="TableText"/>
            </w:pPr>
            <w:r>
              <w:rPr>
                <w:color w:val="5FA8E8"/>
                <w:sz w:val="17"/>
                <w:szCs w:val="17"/>
              </w:rPr>
              <w:t xml:space="preserve">▸ </w:t>
            </w:r>
            <w:r>
              <w:rPr>
                <w:b/>
                <w:color w:val="1B4A78"/>
                <w:sz w:val="17"/>
                <w:szCs w:val="17"/>
              </w:rPr>
              <w:t xml:space="preserve">yes:  </w:t>
            </w:r>
            <w:r>
              <w:rPr>
                <w:sz w:val="17"/>
                <w:szCs w:val="17"/>
              </w:rPr>
              <w:t xml:space="preserve">In-place path exists? (section 5)</w:t>
            </w:r>
          </w:p>
        </w:tc>
      </w:tr>
      <w:tr>
        <w:trPr>
          <w:cantSplit/>
        </w:trPr>
        <w:tc>
          <w:tcPr>
            <w:tcW w:w="39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E7D8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3A220D"/>
                <w:sz w:val="17"/>
                <w:szCs w:val="17"/>
              </w:rPr>
              <w:t xml:space="preserve">Retire</w:t>
            </w:r>
            <w:r>
              <w:br/>
            </w:r>
            <w:r>
              <w:rPr>
                <w:color w:val="3A220D"/>
                <w:sz w:val="17"/>
                <w:szCs w:val="17"/>
              </w:rPr>
              <w:t xml:space="preserve">6.2</w:t>
            </w:r>
          </w:p>
        </w:tc>
        <w:tc>
          <w:tcPr>
            <w:tcW w:w="50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B4A78"/>
                <w:sz w:val="26"/>
                <w:szCs w:val="26"/>
              </w:rPr>
              <w:t xml:space="preserve">→</w:t>
            </w:r>
          </w:p>
        </w:tc>
        <w:tc>
          <w:tcPr>
            <w:tcW w:w="5680" w:type="dxa"/>
            <w:vAlign w:val="center"/>
          </w:tcPr>
          <w:p>
            <w:pPr>
              <w:pStyle w:val="TableText"/>
            </w:pPr>
            <w:r>
              <w:rPr>
                <w:i/>
                <w:color w:val="6B7785"/>
                <w:sz w:val="16"/>
                <w:szCs w:val="16"/>
              </w:rPr>
              <w:t xml:space="preserve">end</w:t>
            </w:r>
          </w:p>
        </w:tc>
      </w:tr>
      <w:tr>
        <w:trPr>
          <w:cantSplit/>
        </w:trPr>
        <w:tc>
          <w:tcPr>
            <w:tcW w:w="39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BE8F4"/>
            <w:vAlign w:val="center"/>
          </w:tcPr>
          <w:p>
            <w:pPr>
              <w:pStyle w:val="TableText"/>
              <w:jc w:val="center"/>
            </w:pPr>
            <w:r>
              <w:rPr>
                <w:color w:val="0B1F36"/>
                <w:sz w:val="17"/>
                <w:szCs w:val="17"/>
              </w:rPr>
              <w:t xml:space="preserve">In-place path</w:t>
            </w:r>
            <w:r>
              <w:br/>
            </w:r>
            <w:r>
              <w:rPr>
                <w:color w:val="0B1F36"/>
                <w:sz w:val="17"/>
                <w:szCs w:val="17"/>
              </w:rPr>
              <w:t xml:space="preserve">exists? (section 5)</w:t>
            </w:r>
          </w:p>
        </w:tc>
        <w:tc>
          <w:tcPr>
            <w:tcW w:w="50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B4A78"/>
                <w:sz w:val="26"/>
                <w:szCs w:val="26"/>
              </w:rPr>
              <w:t xml:space="preserve">→</w:t>
            </w:r>
          </w:p>
        </w:tc>
        <w:tc>
          <w:tcPr>
            <w:tcW w:w="5680" w:type="dxa"/>
            <w:vAlign w:val="center"/>
          </w:tcPr>
          <w:p>
            <w:pPr>
              <w:pStyle w:val="TableText"/>
            </w:pPr>
            <w:r>
              <w:rPr>
                <w:color w:val="5FA8E8"/>
                <w:sz w:val="17"/>
                <w:szCs w:val="17"/>
              </w:rPr>
              <w:t xml:space="preserve">▸ </w:t>
            </w:r>
            <w:r>
              <w:rPr>
                <w:b/>
                <w:color w:val="1B4A78"/>
                <w:sz w:val="17"/>
                <w:szCs w:val="17"/>
              </w:rPr>
              <w:t xml:space="preserve">yes:  </w:t>
            </w:r>
            <w:r>
              <w:rPr>
                <w:sz w:val="17"/>
                <w:szCs w:val="17"/>
              </w:rPr>
              <w:t xml:space="preserve">1st: in-place upgrade 6.1 · clone if uncertain</w:t>
            </w:r>
          </w:p>
          <w:p>
            <w:pPr>
              <w:pStyle w:val="TableText"/>
            </w:pPr>
            <w:r>
              <w:rPr>
                <w:color w:val="5FA8E8"/>
                <w:sz w:val="17"/>
                <w:szCs w:val="17"/>
              </w:rPr>
              <w:t xml:space="preserve">▸ </w:t>
            </w:r>
            <w:r>
              <w:rPr>
                <w:b/>
                <w:color w:val="1B4A78"/>
                <w:sz w:val="17"/>
                <w:szCs w:val="17"/>
              </w:rPr>
              <w:t xml:space="preserve">no:  </w:t>
            </w:r>
            <w:r>
              <w:rPr>
                <w:sz w:val="17"/>
                <w:szCs w:val="17"/>
              </w:rPr>
              <w:t xml:space="preserve">2nd: side-by-side new server</w:t>
            </w:r>
          </w:p>
        </w:tc>
      </w:tr>
      <w:tr>
        <w:trPr>
          <w:cantSplit/>
        </w:trPr>
        <w:tc>
          <w:tcPr>
            <w:tcW w:w="39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B4A78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FFFFFF"/>
                <w:sz w:val="17"/>
                <w:szCs w:val="17"/>
              </w:rPr>
              <w:t xml:space="preserve">1st: in-place upgrade</w:t>
            </w:r>
            <w:r>
              <w:br/>
            </w:r>
            <w:r>
              <w:rPr>
                <w:color w:val="FFFFFF"/>
                <w:sz w:val="17"/>
                <w:szCs w:val="17"/>
              </w:rPr>
              <w:t xml:space="preserve">6.1 · clone if uncertain</w:t>
            </w:r>
          </w:p>
        </w:tc>
        <w:tc>
          <w:tcPr>
            <w:tcW w:w="50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B4A78"/>
                <w:sz w:val="26"/>
                <w:szCs w:val="26"/>
              </w:rPr>
              <w:t xml:space="preserve">→</w:t>
            </w:r>
          </w:p>
        </w:tc>
        <w:tc>
          <w:tcPr>
            <w:tcW w:w="5680" w:type="dxa"/>
            <w:vAlign w:val="center"/>
          </w:tcPr>
          <w:p>
            <w:pPr>
              <w:pStyle w:val="TableText"/>
            </w:pPr>
            <w:r>
              <w:rPr>
                <w:color w:val="5FA8E8"/>
                <w:sz w:val="17"/>
                <w:szCs w:val="17"/>
              </w:rPr>
              <w:t xml:space="preserve">▸ </w:t>
            </w:r>
            <w:r>
              <w:rPr>
                <w:b/>
                <w:color w:val="1B4A78"/>
                <w:sz w:val="17"/>
                <w:szCs w:val="17"/>
              </w:rPr>
              <w:t xml:space="preserve">clone test fails:  </w:t>
            </w:r>
            <w:r>
              <w:rPr>
                <w:sz w:val="17"/>
                <w:szCs w:val="17"/>
              </w:rPr>
              <w:t xml:space="preserve">2nd: side-by-side new server</w:t>
            </w:r>
          </w:p>
        </w:tc>
      </w:tr>
      <w:tr>
        <w:trPr>
          <w:cantSplit/>
        </w:trPr>
        <w:tc>
          <w:tcPr>
            <w:tcW w:w="39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EF1F4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F2A36"/>
                <w:sz w:val="17"/>
                <w:szCs w:val="17"/>
              </w:rPr>
              <w:t xml:space="preserve">2nd: side-by-side</w:t>
            </w:r>
            <w:r>
              <w:br/>
            </w:r>
            <w:r>
              <w:rPr>
                <w:color w:val="1F2A36"/>
                <w:sz w:val="17"/>
                <w:szCs w:val="17"/>
              </w:rPr>
              <w:t xml:space="preserve">new server</w:t>
            </w:r>
          </w:p>
        </w:tc>
        <w:tc>
          <w:tcPr>
            <w:tcW w:w="500" w:type="dxa"/>
            <w:vAlign w:val="center"/>
          </w:tcPr>
          <w:p>
            <w:pPr>
              <w:pStyle w:val="TableText"/>
              <w:jc w:val="center"/>
            </w:pPr>
            <w:r>
              <w:rPr>
                <w:b/>
                <w:color w:val="1B4A78"/>
                <w:sz w:val="26"/>
                <w:szCs w:val="26"/>
              </w:rPr>
              <w:t xml:space="preserve">→</w:t>
            </w:r>
          </w:p>
        </w:tc>
        <w:tc>
          <w:tcPr>
            <w:tcW w:w="5680" w:type="dxa"/>
            <w:vAlign w:val="center"/>
          </w:tcPr>
          <w:p>
            <w:pPr>
              <w:pStyle w:val="TableText"/>
            </w:pPr>
            <w:r>
              <w:rPr>
                <w:i/>
                <w:color w:val="6B7785"/>
                <w:sz w:val="16"/>
                <w:szCs w:val="16"/>
              </w:rPr>
              <w:t xml:space="preserve">end</w:t>
            </w:r>
          </w:p>
        </w:tc>
      </w:tr>
    </w:tbl>
    <w:p>
      <w:pPr>
        <w:pStyle w:val="Spacer"/>
      </w:pPr>
    </w:p>
    <w:p>
      <w:pPr>
        <w:pStyle w:val="Heading3"/>
      </w:pPr>
      <w:r>
        <w:rPr/>
        <w:t xml:space="preserve">6.1 In-place upgrade, step by step</w:t>
      </w:r>
    </w:p>
    <w:p>
      <w:pPr/>
      <w:r>
        <w:rPr>
          <w:b/>
        </w:rPr>
        <w:t xml:space="preserve">What it is:</w:t>
      </w:r>
      <w:r>
        <w:rPr/>
        <w:t xml:space="preserve"> Windows is upgraded </w:t>
      </w:r>
      <w:r>
        <w:rPr>
          <w:b/>
        </w:rPr>
        <w:t xml:space="preserve">on the same server</w:t>
      </w:r>
      <w:r>
        <w:rPr/>
        <w:t xml:space="preserve">: same name, IP, data, shares, scheduled tasks and installed software. Nothing has to be moved, which is why it's the first choice.</w:t>
      </w: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10080"/>
      </w:tblGrid>
      <w:tr>
        <w:tc>
          <w:tcPr>
            <w:tcW w:w="10080" w:type="dxa"/>
            <w:tcBorders>
              <w:top w:val="single" w:sz="4" w:space="0" w:color="FBEFFF"/>
              <w:left w:val="single" w:sz="24" w:space="0" w:color="8250DF"/>
              <w:bottom w:val="single" w:sz="4" w:space="0" w:color="FBEFFF"/>
              <w:right w:val="single" w:sz="4" w:space="0" w:color="FBEFFF"/>
            </w:tcBorders>
            <w:shd w:val="clear" w:color="auto" w:fill="FBEFFF"/>
            <w:vAlign w:val="top"/>
          </w:tcPr>
          <w:p>
            <w:pPr>
              <w:pStyle w:val="TableText"/>
              <w:spacing w:before="0" w:after="40"/>
            </w:pPr>
            <w:r>
              <w:rPr>
                <w:b/>
                <w:caps/>
                <w:color w:val="8250DF"/>
                <w:spacing w:val="20"/>
                <w:sz w:val="17"/>
                <w:szCs w:val="17"/>
              </w:rPr>
              <w:t xml:space="preserve">Important</w:t>
            </w:r>
          </w:p>
          <w:p>
            <w:pPr>
              <w:pStyle w:val="TableText"/>
            </w:pPr>
            <w:r>
              <w:rPr>
                <w:b/>
              </w:rPr>
              <w:t xml:space="preserve">The OS in-place upgrade is done by the sysadmin</w:t>
            </w:r>
            <w:r>
              <w:rPr/>
              <w:t xml:space="preserve">, from preparation to hardening. When the OS is done, the sysadmin </w:t>
            </w:r>
            <w:r>
              <w:rPr>
                <w:b/>
              </w:rPr>
              <w:t xml:space="preserve">hands the server over to the DBA</w:t>
            </w:r>
            <w:r>
              <w:rPr/>
              <w:t xml:space="preserve"> (step 5). </w:t>
            </w:r>
            <w:r>
              <w:rPr>
                <w:b/>
              </w:rPr>
              <w:t xml:space="preserve">From the hand-off on, the DBA is responsible</w:t>
            </w:r>
            <w:r>
              <w:rPr/>
              <w:t xml:space="preserve"> for the rest of the migration: SQL to a newer version, data validation and the app test, up to Gate 3.</w:t>
            </w:r>
          </w:p>
        </w:tc>
      </w:tr>
    </w:tbl>
    <w:p>
      <w:pPr>
        <w:pStyle w:val="Spacer"/>
      </w:pP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55"/>
        <w:gridCol w:w="1887"/>
        <w:gridCol w:w="3818"/>
        <w:gridCol w:w="3820"/>
      </w:tblGrid>
      <w:tr>
        <w:trPr>
          <w:tblHeader/>
        </w:trPr>
        <w:tc>
          <w:tcPr>
            <w:tcW w:w="555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tcW w:w="1887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tcW w:w="3818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Sysadmin</w:t>
            </w:r>
          </w:p>
        </w:tc>
        <w:tc>
          <w:tcPr>
            <w:tcW w:w="3820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DBA</w:t>
            </w:r>
          </w:p>
        </w:tc>
      </w:tr>
      <w:tr>
        <w:trPr>
          <w:cantSplit/>
        </w:trPr>
        <w:tc>
          <w:tcPr>
            <w:tcW w:w="555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1</w:t>
            </w:r>
          </w:p>
        </w:tc>
        <w:tc>
          <w:tcPr>
            <w:tcW w:w="188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Prepare</w:t>
            </w:r>
          </w:p>
        </w:tc>
        <w:tc>
          <w:tcPr>
            <w:tcW w:w="3818" w:type="dxa"/>
            <w:vAlign w:val="top"/>
          </w:tcPr>
          <w:p>
            <w:pPr>
              <w:pStyle w:val="TableText"/>
            </w:pPr>
            <w:r>
              <w:rPr/>
              <w:t xml:space="preserve">Check the path (5.1), media (not Evaluation, same edition and language), licences, free disk (40 GB+), CPU (x86-64-v2 for 2025). Patch the source fully. </w:t>
            </w:r>
            <w:r>
              <w:rPr>
                <w:b/>
              </w:rPr>
              <w:t xml:space="preserve">Decide whether the path is uncertain</w:t>
            </w:r>
            <w:r>
              <w:rPr/>
              <w:t xml:space="preserve"> (</w:t>
            </w:r>
            <w:r>
              <w:rPr>
                <w:color w:val="1B4A78"/>
                <w:u w:val="single"/>
              </w:rPr>
              <w:t xml:space="preserve">when to clone</w:t>
            </w:r>
            <w:r>
              <w:rPr/>
              <w:t xml:space="preserve">)</w:t>
            </w:r>
          </w:p>
        </w:tc>
        <w:tc>
          <w:tcPr>
            <w:tcW w:w="3820" w:type="dxa"/>
            <w:vAlign w:val="top"/>
          </w:tcPr>
          <w:p>
            <w:pPr>
              <w:pStyle w:val="TableText"/>
            </w:pPr>
            <w:r>
              <w:rPr/>
              <w:t xml:space="preserve">Confirm the SQL version will run on each OS hop (</w:t>
            </w:r>
            <w:r>
              <w:rPr>
                <w:color w:val="1B4A78"/>
                <w:u w:val="single"/>
              </w:rPr>
              <w:t xml:space="preserve">DBA matrix</w:t>
            </w:r>
            <w:r>
              <w:rPr/>
              <w:t xml:space="preserve">). Full backups of all databases, system databases included</w:t>
            </w:r>
          </w:p>
        </w:tc>
      </w:tr>
      <w:tr>
        <w:trPr>
          <w:cantSplit/>
        </w:trPr>
        <w:tc>
          <w:tcPr>
            <w:tcW w:w="555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2</w:t>
            </w:r>
          </w:p>
        </w:tc>
        <w:tc>
          <w:tcPr>
            <w:tcW w:w="188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Clone: uncertain paths only</w:t>
            </w:r>
          </w:p>
        </w:tc>
        <w:tc>
          <w:tcPr>
            <w:tcW w:w="3818" w:type="dxa"/>
            <w:vAlign w:val="top"/>
          </w:tcPr>
          <w:p>
            <w:pPr>
              <w:pStyle w:val="TableText"/>
            </w:pPr>
            <w:r>
              <w:rPr/>
              <w:t xml:space="preserve">Clone the production VM, isolate it, run every hop, timed; record the steps and problems on the server page</w:t>
            </w:r>
          </w:p>
        </w:tc>
        <w:tc>
          <w:tcPr>
            <w:tcW w:w="3820" w:type="dxa"/>
            <w:vAlign w:val="top"/>
          </w:tcPr>
          <w:p>
            <w:pPr>
              <w:pStyle w:val="TableText"/>
            </w:pPr>
            <w:r>
              <w:rPr/>
              <w:t xml:space="preserve">Quick SQL check after each hop on the clone</w:t>
            </w:r>
          </w:p>
        </w:tc>
      </w:tr>
      <w:tr>
        <w:trPr>
          <w:cantSplit/>
        </w:trPr>
        <w:tc>
          <w:tcPr>
            <w:tcW w:w="555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3</w:t>
            </w:r>
          </w:p>
        </w:tc>
        <w:tc>
          <w:tcPr>
            <w:tcW w:w="188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Change window on production</w:t>
            </w:r>
          </w:p>
        </w:tc>
        <w:tc>
          <w:tcPr>
            <w:tcW w:w="3818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Snapshot before each hop.</w:t>
            </w:r>
            <w:r>
              <w:rPr/>
              <w:t xml:space="preserve"> Run the hops</w:t>
            </w:r>
          </w:p>
        </w:tc>
        <w:tc>
          <w:tcPr>
            <w:tcW w:w="3820" w:type="dxa"/>
            <w:vAlign w:val="top"/>
          </w:tcPr>
          <w:p>
            <w:pPr>
              <w:pStyle w:val="TableText"/>
            </w:pPr>
            <w:r>
              <w:rPr/>
              <w:t xml:space="preserve">Final backups before the first hop</w:t>
            </w:r>
          </w:p>
        </w:tc>
      </w:tr>
      <w:tr>
        <w:trPr>
          <w:cantSplit/>
        </w:trPr>
        <w:tc>
          <w:tcPr>
            <w:tcW w:w="555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4</w:t>
            </w:r>
          </w:p>
        </w:tc>
        <w:tc>
          <w:tcPr>
            <w:tcW w:w="188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Harden after the last hop</w:t>
            </w:r>
          </w:p>
        </w:tc>
        <w:tc>
          <w:tcPr>
            <w:tcW w:w="3818" w:type="dxa"/>
            <w:vAlign w:val="top"/>
          </w:tcPr>
          <w:p>
            <w:pPr>
              <w:pStyle w:val="TableText"/>
            </w:pPr>
            <w:r>
              <w:rPr/>
              <w:t xml:space="preserve">SMBv1 off, TLS 1.2+ only, NTLMv1 refused, old roles and agents reviewed. Activation (KMS or MAK). RDP checked. </w:t>
            </w:r>
            <w:r>
              <w:rPr>
                <w:b/>
              </w:rPr>
              <w:t xml:space="preserve">SQL services start</w:t>
            </w:r>
          </w:p>
        </w:tc>
        <w:tc>
          <w:tcPr>
            <w:tcW w:w="3820" w:type="dxa"/>
            <w:vAlign w:val="top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555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5</w:t>
            </w:r>
          </w:p>
        </w:tc>
        <w:tc>
          <w:tcPr>
            <w:tcW w:w="188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OS hand-off to the DBA</w:t>
            </w:r>
          </w:p>
        </w:tc>
        <w:tc>
          <w:tcPr>
            <w:tcW w:w="3818" w:type="dxa"/>
            <w:vAlign w:val="top"/>
          </w:tcPr>
          <w:p>
            <w:pPr>
              <w:pStyle w:val="TableText"/>
            </w:pPr>
            <w:r>
              <w:rPr/>
              <w:t xml:space="preserve">Record on the server page: final OS version, hardening done, snapshots kept, anything unusual seen. Tell the DBA</w:t>
            </w:r>
          </w:p>
        </w:tc>
        <w:tc>
          <w:tcPr>
            <w:tcW w:w="3820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Accepts the server. From here, the DBA is responsible</w:t>
            </w:r>
          </w:p>
        </w:tc>
      </w:tr>
      <w:tr>
        <w:trPr>
          <w:cantSplit/>
        </w:trPr>
        <w:tc>
          <w:tcPr>
            <w:tcW w:w="555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6</w:t>
            </w:r>
          </w:p>
        </w:tc>
        <w:tc>
          <w:tcPr>
            <w:tcW w:w="188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SQL to a newer version</w:t>
            </w:r>
          </w:p>
        </w:tc>
        <w:tc>
          <w:tcPr>
            <w:tcW w:w="3818" w:type="dxa"/>
            <w:vAlign w:val="top"/>
          </w:tcPr>
          <w:p>
            <w:pPr>
              <w:pStyle w:val="TableText"/>
            </w:pPr>
            <w:r>
              <w:rPr/>
              <w:t xml:space="preserve">Available for OS issues</w:t>
            </w:r>
          </w:p>
        </w:tc>
        <w:tc>
          <w:tcPr>
            <w:tcW w:w="3820" w:type="dxa"/>
            <w:vAlign w:val="top"/>
          </w:tcPr>
          <w:p>
            <w:pPr>
              <w:pStyle w:val="TableText"/>
            </w:pPr>
            <w:r>
              <w:rPr/>
              <w:t xml:space="preserve">SQL upgrade in place, or a new instance on the same server, then data validation and app test (</w:t>
            </w:r>
            <w:r>
              <w:rPr>
                <w:color w:val="1B4A78"/>
                <w:u w:val="single"/>
              </w:rPr>
              <w:t xml:space="preserve">DBA §6.1</w:t>
            </w: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W w:w="555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7</w:t>
            </w:r>
          </w:p>
        </w:tc>
        <w:tc>
          <w:tcPr>
            <w:tcW w:w="1887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Clean up after Gate 3</w:t>
            </w:r>
          </w:p>
        </w:tc>
        <w:tc>
          <w:tcPr>
            <w:tcW w:w="3818" w:type="dxa"/>
            <w:vAlign w:val="top"/>
          </w:tcPr>
          <w:p>
            <w:pPr>
              <w:pStyle w:val="TableText"/>
            </w:pPr>
            <w:r>
              <w:rPr/>
              <w:t xml:space="preserve">Delete the snapshots; remove </w:t>
            </w:r>
            <w:r>
              <w:rPr>
                <w:rFonts w:ascii="Consolas" w:hAnsi="Consolas" w:cs="Consolas"/>
                <w:color w:val="A0303B"/>
                <w:shd w:val="clear" w:color="auto" w:fill="F3F4F6"/>
              </w:rPr>
              <w:t xml:space="preserve">Windows.old</w:t>
            </w:r>
            <w:r>
              <w:rPr/>
              <w:t xml:space="preserve"> with Disk Cleanup</w:t>
            </w:r>
          </w:p>
        </w:tc>
        <w:tc>
          <w:tcPr>
            <w:tcW w:w="3820" w:type="dxa"/>
            <w:vAlign w:val="top"/>
          </w:tcPr>
          <w:p>
            <w:pPr>
              <w:pStyle w:val="TableText"/>
            </w:pPr>
          </w:p>
        </w:tc>
      </w:tr>
    </w:tbl>
    <w:p>
      <w:pPr>
        <w:pStyle w:val="Spacer"/>
      </w:pPr>
    </w:p>
    <w:p>
      <w:pPr/>
      <w:r>
        <w:rPr>
          <w:b/>
        </w:rPr>
        <w:t xml:space="preserve">Rollback:</w:t>
      </w:r>
      <w:r>
        <w:rPr/>
        <w:t xml:space="preserve"> revert to the snapshot taken before the failed hop. If a clone was used, its timings size the change window.</w:t>
      </w: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10080"/>
      </w:tblGrid>
      <w:tr>
        <w:tc>
          <w:tcPr>
            <w:tcW w:w="10080" w:type="dxa"/>
            <w:tcBorders>
              <w:top w:val="single" w:sz="4" w:space="0" w:color="DDF4FF"/>
              <w:left w:val="single" w:sz="24" w:space="0" w:color="0969DA"/>
              <w:bottom w:val="single" w:sz="4" w:space="0" w:color="DDF4FF"/>
              <w:right w:val="single" w:sz="4" w:space="0" w:color="DDF4FF"/>
            </w:tcBorders>
            <w:shd w:val="clear" w:color="auto" w:fill="DDF4FF"/>
            <w:vAlign w:val="top"/>
          </w:tcPr>
          <w:p>
            <w:pPr>
              <w:pStyle w:val="TableText"/>
              <w:spacing w:before="0" w:after="40"/>
            </w:pPr>
            <w:r>
              <w:rPr>
                <w:b/>
                <w:caps/>
                <w:color w:val="0969DA"/>
                <w:spacing w:val="20"/>
                <w:sz w:val="17"/>
                <w:szCs w:val="17"/>
              </w:rPr>
              <w:t xml:space="preserve">Note</w:t>
            </w:r>
          </w:p>
          <w:p>
            <w:pPr>
              <w:pStyle w:val="TableText"/>
            </w:pPr>
            <w:r>
              <w:rPr>
                <w:b/>
              </w:rPr>
              <w:t xml:space="preserve">An in-place upgrade doesn't create a new server, so there's no Phase 2 build</w:t>
            </w:r>
            <w:r>
              <w:rPr/>
              <w:t xml:space="preserve"> in the usual sense. Phase 2 becomes </w:t>
            </w:r>
            <w:r>
              <w:rPr>
                <w:b/>
              </w:rPr>
              <w:t xml:space="preserve">preparing the source</w:t>
            </w:r>
            <w:r>
              <w:rPr/>
              <w:t xml:space="preserve"> (step 1), and the hardening in step 6 replaces the standard build's security settings.</w:t>
            </w:r>
          </w:p>
        </w:tc>
      </w:tr>
    </w:tbl>
    <w:p>
      <w:pPr>
        <w:pStyle w:val="Spacer"/>
      </w:pPr>
    </w:p>
    <w:p>
      <w:pPr>
        <w:pStyle w:val="Heading3"/>
      </w:pPr>
      <w:r>
        <w:rPr/>
        <w:t xml:space="preserve">6.2 Retire: when Discovery shows the server isn't used</w:t>
      </w:r>
    </w:p>
    <w:p>
      <w:pPr/>
      <w:r>
        <w:rPr/>
        <w:t xml:space="preserve">If nobody and nothing uses the server any more, it </w:t>
      </w:r>
      <w:r>
        <w:rPr>
          <w:b/>
        </w:rPr>
        <w:t xml:space="preserve">isn't migrated at all</w:t>
      </w:r>
      <w:r>
        <w:rPr/>
        <w:t xml:space="preserve">. It goes straight to Phase 4 on the </w:t>
      </w:r>
      <w:r>
        <w:rPr>
          <w:b/>
        </w:rPr>
        <w:t xml:space="preserve">retire-only path</w:t>
      </w:r>
      <w:r>
        <w:rPr/>
        <w:t xml:space="preserve"> (</w:t>
      </w:r>
      <w:r>
        <w:rPr>
          <w:color w:val="1B4A78"/>
          <w:u w:val="single"/>
        </w:rPr>
        <w:t xml:space="preserve">governance, retire-only path</w:t>
      </w:r>
      <w:r>
        <w:rPr/>
        <w:t xml:space="preserve">).</w:t>
      </w:r>
    </w:p>
    <w:p>
      <w:pPr/>
      <w:r>
        <w:rPr>
          <w:b/>
        </w:rPr>
        <w:t xml:space="preserve">Evidence the sysadmin brings to Gate 1:</w:t>
      </w:r>
    </w:p>
    <w:tbl>
      <w:tblPr>
        <w:tblW w:w="10080" w:type="dxa"/>
        <w:tblBorders>
          <w:top w:val="single" w:sz="4" w:space="0" w:color="A9C6E2"/>
          <w:left w:val="single" w:sz="4" w:space="0" w:color="A9C6E2"/>
          <w:bottom w:val="single" w:sz="4" w:space="0" w:color="A9C6E2"/>
          <w:right w:val="single" w:sz="4" w:space="0" w:color="A9C6E2"/>
          <w:insideH w:val="single" w:sz="4" w:space="0" w:color="A9C6E2"/>
          <w:insideV w:val="single" w:sz="4" w:space="0" w:color="A9C6E2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801"/>
        <w:gridCol w:w="6279"/>
      </w:tblGrid>
      <w:tr>
        <w:trPr>
          <w:tblHeader/>
        </w:trPr>
        <w:tc>
          <w:tcPr>
            <w:tcW w:w="3801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Check</w:t>
            </w:r>
          </w:p>
        </w:tc>
        <w:tc>
          <w:tcPr>
            <w:tcW w:w="6279" w:type="dxa"/>
            <w:shd w:val="clear" w:color="auto" w:fill="1B4A78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"Not used" looks like</w:t>
            </w:r>
          </w:p>
        </w:tc>
      </w:tr>
      <w:tr>
        <w:trPr>
          <w:cantSplit/>
        </w:trPr>
        <w:tc>
          <w:tcPr>
            <w:tcW w:w="3801" w:type="dxa"/>
            <w:vAlign w:val="top"/>
          </w:tcPr>
          <w:p>
            <w:pPr>
              <w:pStyle w:val="TableText"/>
            </w:pPr>
            <w:r>
              <w:rPr/>
              <w:t xml:space="preserve">Inbound connections during the capture week</w:t>
            </w:r>
          </w:p>
        </w:tc>
        <w:tc>
          <w:tcPr>
            <w:tcW w:w="6279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None</w:t>
            </w:r>
            <w:r>
              <w:rPr/>
              <w:t xml:space="preserve">, apart from monitoring, backup and admin tools</w:t>
            </w:r>
          </w:p>
        </w:tc>
      </w:tr>
      <w:tr>
        <w:trPr>
          <w:cantSplit/>
        </w:trPr>
        <w:tc>
          <w:tcPr>
            <w:tcW w:w="3801" w:type="dxa"/>
            <w:vAlign w:val="top"/>
          </w:tcPr>
          <w:p>
            <w:pPr>
              <w:pStyle w:val="TableText"/>
            </w:pPr>
            <w:r>
              <w:rPr/>
              <w:t xml:space="preserve">SMB sessions and open files</w:t>
            </w:r>
          </w:p>
        </w:tc>
        <w:tc>
          <w:tcPr>
            <w:tcW w:w="6279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None</w:t>
            </w:r>
            <w:r>
              <w:rPr/>
              <w:t xml:space="preserve"> on the shares</w:t>
            </w:r>
          </w:p>
        </w:tc>
      </w:tr>
      <w:tr>
        <w:trPr>
          <w:cantSplit/>
        </w:trPr>
        <w:tc>
          <w:tcPr>
            <w:tcW w:w="3801" w:type="dxa"/>
            <w:vAlign w:val="top"/>
          </w:tcPr>
          <w:p>
            <w:pPr>
              <w:pStyle w:val="TableText"/>
            </w:pPr>
            <w:r>
              <w:rPr/>
              <w:t xml:space="preserve">Interactive and service logons (Security log)</w:t>
            </w:r>
          </w:p>
        </w:tc>
        <w:tc>
          <w:tcPr>
            <w:tcW w:w="6279" w:type="dxa"/>
            <w:vAlign w:val="top"/>
          </w:tcPr>
          <w:p>
            <w:pPr>
              <w:pStyle w:val="TableText"/>
            </w:pPr>
            <w:r>
              <w:rPr/>
              <w:t xml:space="preserve">Only admins and service accounts</w:t>
            </w:r>
          </w:p>
        </w:tc>
      </w:tr>
      <w:tr>
        <w:trPr>
          <w:cantSplit/>
        </w:trPr>
        <w:tc>
          <w:tcPr>
            <w:tcW w:w="3801" w:type="dxa"/>
            <w:vAlign w:val="top"/>
          </w:tcPr>
          <w:p>
            <w:pPr>
              <w:pStyle w:val="TableText"/>
            </w:pPr>
            <w:r>
              <w:rPr/>
              <w:t xml:space="preserve">FTP logs</w:t>
            </w:r>
          </w:p>
        </w:tc>
        <w:tc>
          <w:tcPr>
            <w:tcW w:w="6279" w:type="dxa"/>
            <w:vAlign w:val="top"/>
          </w:tcPr>
          <w:p>
            <w:pPr>
              <w:pStyle w:val="TableText"/>
            </w:pPr>
            <w:r>
              <w:rPr>
                <w:b/>
              </w:rPr>
              <w:t xml:space="preserve">No transfers</w:t>
            </w:r>
            <w:r>
              <w:rPr/>
              <w:t xml:space="preserve"> in the retained logs</w:t>
            </w:r>
          </w:p>
        </w:tc>
      </w:tr>
      <w:tr>
        <w:trPr>
          <w:cantSplit/>
        </w:trPr>
        <w:tc>
          <w:tcPr>
            <w:tcW w:w="3801" w:type="dxa"/>
            <w:vAlign w:val="top"/>
          </w:tcPr>
          <w:p>
            <w:pPr>
              <w:pStyle w:val="TableText"/>
            </w:pPr>
            <w:r>
              <w:rPr/>
              <w:t xml:space="preserve">Scheduled tasks</w:t>
            </w:r>
          </w:p>
        </w:tc>
        <w:tc>
          <w:tcPr>
            <w:tcW w:w="6279" w:type="dxa"/>
            <w:vAlign w:val="top"/>
          </w:tcPr>
          <w:p>
            <w:pPr>
              <w:pStyle w:val="TableText"/>
            </w:pPr>
            <w:r>
              <w:rPr/>
              <w:t xml:space="preserve">Only maintenance (cleanup, defrag, backup); no business jobs, or the jobs' output isn't used by anyone</w:t>
            </w:r>
          </w:p>
        </w:tc>
      </w:tr>
      <w:tr>
        <w:trPr>
          <w:cantSplit/>
        </w:trPr>
        <w:tc>
          <w:tcPr>
            <w:tcW w:w="3801" w:type="dxa"/>
            <w:vAlign w:val="top"/>
          </w:tcPr>
          <w:p>
            <w:pPr>
              <w:pStyle w:val="TableText"/>
            </w:pPr>
            <w:r>
              <w:rPr/>
              <w:t xml:space="preserve">IIS logs (if any)</w:t>
            </w:r>
          </w:p>
        </w:tc>
        <w:tc>
          <w:tcPr>
            <w:tcW w:w="6279" w:type="dxa"/>
            <w:vAlign w:val="top"/>
          </w:tcPr>
          <w:p>
            <w:pPr>
              <w:pStyle w:val="TableText"/>
            </w:pPr>
            <w:r>
              <w:rPr/>
              <w:t xml:space="preserve">No requests, or only health checks</w:t>
            </w:r>
          </w:p>
        </w:tc>
      </w:tr>
      <w:tr>
        <w:trPr>
          <w:cantSplit/>
        </w:trPr>
        <w:tc>
          <w:tcPr>
            <w:tcW w:w="3801" w:type="dxa"/>
            <w:vAlign w:val="top"/>
          </w:tcPr>
          <w:p>
            <w:pPr>
              <w:pStyle w:val="TableText"/>
            </w:pPr>
            <w:r>
              <w:rPr/>
              <w:t xml:space="preserve">DNS aliases pointing to it</w:t>
            </w:r>
          </w:p>
        </w:tc>
        <w:tc>
          <w:tcPr>
            <w:tcW w:w="6279" w:type="dxa"/>
            <w:vAlign w:val="top"/>
          </w:tcPr>
          <w:p>
            <w:pPr>
              <w:pStyle w:val="TableText"/>
            </w:pPr>
            <w:r>
              <w:rPr/>
              <w:t xml:space="preserve">None, or the systems that use them confirmed retired</w:t>
            </w:r>
          </w:p>
        </w:tc>
      </w:tr>
      <w:tr>
        <w:trPr>
          <w:cantSplit/>
        </w:trPr>
        <w:tc>
          <w:tcPr>
            <w:tcW w:w="3801" w:type="dxa"/>
            <w:vAlign w:val="top"/>
          </w:tcPr>
          <w:p>
            <w:pPr>
              <w:pStyle w:val="TableText"/>
            </w:pPr>
            <w:r>
              <w:rPr/>
              <w:t xml:space="preserve">Monthly or quarterly jobs</w:t>
            </w:r>
          </w:p>
        </w:tc>
        <w:tc>
          <w:tcPr>
            <w:tcW w:w="6279" w:type="dxa"/>
            <w:vAlign w:val="top"/>
          </w:tcPr>
          <w:p>
            <w:pPr>
              <w:pStyle w:val="TableText"/>
            </w:pPr>
            <w:r>
              <w:rPr/>
              <w:t xml:space="preserve">Each one checked with its owner: not needed</w:t>
            </w:r>
          </w:p>
        </w:tc>
      </w:tr>
    </w:tbl>
    <w:p>
      <w:pPr>
        <w:pStyle w:val="Spacer"/>
      </w:pP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10080"/>
      </w:tblGrid>
      <w:tr>
        <w:tc>
          <w:tcPr>
            <w:tcW w:w="10080" w:type="dxa"/>
            <w:tcBorders>
              <w:top w:val="single" w:sz="4" w:space="0" w:color="FBEFFF"/>
              <w:left w:val="single" w:sz="24" w:space="0" w:color="8250DF"/>
              <w:bottom w:val="single" w:sz="4" w:space="0" w:color="FBEFFF"/>
              <w:right w:val="single" w:sz="4" w:space="0" w:color="FBEFFF"/>
            </w:tcBorders>
            <w:shd w:val="clear" w:color="auto" w:fill="FBEFFF"/>
            <w:vAlign w:val="top"/>
          </w:tcPr>
          <w:p>
            <w:pPr>
              <w:pStyle w:val="TableText"/>
              <w:spacing w:before="0" w:after="40"/>
            </w:pPr>
            <w:r>
              <w:rPr>
                <w:b/>
                <w:caps/>
                <w:color w:val="8250DF"/>
                <w:spacing w:val="20"/>
                <w:sz w:val="17"/>
                <w:szCs w:val="17"/>
              </w:rPr>
              <w:t xml:space="preserve">Important</w:t>
            </w:r>
          </w:p>
          <w:p>
            <w:pPr>
              <w:pStyle w:val="TableText"/>
            </w:pPr>
            <w:r>
              <w:rPr>
                <w:b/>
              </w:rPr>
              <w:t xml:space="preserve">The sysadmin brings the evidence; the app owner decides.</w:t>
            </w:r>
            <w:r>
              <w:rPr/>
              <w:t xml:space="preserve"> "No connections in a week" isn't proof on its own. The app owner confirms in writing that the service is no longer needed and decides what happens to the data.</w:t>
            </w:r>
          </w:p>
        </w:tc>
      </w:tr>
    </w:tbl>
    <w:p>
      <w:pPr>
        <w:pStyle w:val="Spacer"/>
      </w:pPr>
    </w:p>
    <w:p>
      <w:pPr/>
      <w:r>
        <w:rPr>
          <w:b/>
        </w:rPr>
        <w:t xml:space="preserve">Sysadmin tasks on the retire-only path: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Announce the retirement date and a contact to the users and teams found in Discovery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Carry out the data decision for the file shares (archive, hand over, or delete under the retention policy), after a last full backup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>
          <w:b/>
        </w:rPr>
        <w:t xml:space="preserve">Scream test:</w:t>
      </w:r>
      <w:r>
        <w:rPr/>
        <w:t xml:space="preserve"> stop the services or disable the NIC, so it can be undone in minutes. </w:t>
      </w:r>
      <w:r>
        <w:rPr>
          <w:b/>
        </w:rPr>
        <w:t xml:space="preserve">At least 4 weeks, including a month-end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If someone is affected: re-enable, record the missed dependency, and go back to Gate 1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If nobody is affected: wait for the DBA's confirmation (if SQL is on it), power off, then the removal checklist (section 7, Phase 4)</w:t>
      </w:r>
    </w:p>
    <w:p>
      <w:pPr>
        <w:spacing w:before="160" w:after="160"/>
        <w:jc w:val="center"/>
      </w:pPr>
      <w:r>
        <w:rPr>
          <w:color w:val="5FA8E8"/>
          <w:sz w:val="18"/>
          <w:szCs w:val="18"/>
        </w:rPr>
        <w:t xml:space="preserve">———   ◆   ———</w:t>
      </w:r>
    </w:p>
    <w:p>
      <w:pPr>
        <w:pStyle w:val="Heading2"/>
      </w:pPr>
      <w:r>
        <w:rPr/>
        <w:t xml:space="preserve">7. Tasks by phase</w:t>
      </w:r>
    </w:p>
    <w:p>
      <w:pPr>
        <w:pStyle w:val="Heading3"/>
      </w:pPr>
      <w:r>
        <w:rPr/>
        <w:t xml:space="preserve">Phase 1 · Discovery</w:t>
      </w:r>
    </w:p>
    <w:p>
      <w:pPr/>
      <w:r>
        <w:rPr/>
        <w:t xml:space="preserve">Details and commands: </w:t>
      </w:r>
      <w:r>
        <w:rPr>
          <w:color w:val="1B4A78"/>
          <w:u w:val="single"/>
        </w:rPr>
        <w:t xml:space="preserve">governance §1.2 – 1.5</w:t>
      </w:r>
      <w:r>
        <w:rPr/>
        <w:t xml:space="preserve">.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Run the server discovery script (yours or the reference one); output in </w:t>
      </w:r>
      <w:r>
        <w:rPr>
          <w:rFonts w:ascii="Consolas" w:hAnsi="Consolas" w:cs="Consolas"/>
          <w:color w:val="A0303B"/>
          <w:shd w:val="clear" w:color="auto" w:fill="F3F4F6"/>
        </w:rPr>
        <w:t xml:space="preserve">Migration/&lt;BUNDLE&gt;/&lt;SERVER&gt;/1-Discovery/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Platform, identity, software, roles, services, </w:t>
      </w:r>
      <w:r>
        <w:rPr>
          <w:b/>
        </w:rPr>
        <w:t xml:space="preserve">scheduled tasks</w:t>
      </w:r>
      <w:r>
        <w:rPr/>
        <w:t xml:space="preserve"> (monthly or quarterly ones listed with an owner)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Network: IPs, DNS aliases, </w:t>
      </w:r>
      <w:r>
        <w:rPr>
          <w:rFonts w:ascii="Consolas" w:hAnsi="Consolas" w:cs="Consolas"/>
          <w:color w:val="A0303B"/>
          <w:shd w:val="clear" w:color="auto" w:fill="F3F4F6"/>
        </w:rPr>
        <w:t xml:space="preserve">hosts</w:t>
      </w:r>
      <w:r>
        <w:rPr/>
        <w:t xml:space="preserve"> entries, listening ports, </w:t>
      </w:r>
      <w:r>
        <w:rPr>
          <w:b/>
        </w:rPr>
        <w:t xml:space="preserve">connection capture</w:t>
      </w:r>
      <w:r>
        <w:rPr/>
        <w:t xml:space="preserve"> for the Discovery week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Certificates, backup, monitoring and AV agents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>
          <w:b/>
        </w:rPr>
        <w:t xml:space="preserve">Legacy protocols:</w:t>
      </w:r>
      <w:r>
        <w:rPr/>
        <w:t xml:space="preserve"> SMBv1 (server, clients, as a client), TLS, NTLMv1, telnet, SNMP. All documented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>
          <w:b/>
        </w:rPr>
        <w:t xml:space="preserve">FTP:</w:t>
      </w:r>
      <w:r>
        <w:rPr/>
        <w:t xml:space="preserve"> every flow, its partner, where the files land on the file shares, and what processes them. Listed for </w:t>
      </w:r>
      <w:r>
        <w:rPr>
          <w:b/>
        </w:rPr>
        <w:t xml:space="preserve">MFT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>
          <w:b/>
        </w:rPr>
        <w:t xml:space="preserve">Files and shares:</w:t>
      </w:r>
      <w:r>
        <w:rPr/>
        <w:t xml:space="preserve"> sizes, data by age, open-file sessions, orphaned home folders, risky file types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Server flags written to the summary file; OS path chosen with the DBA (section 4); sign the Gate 1 part</w:t>
      </w:r>
    </w:p>
    <w:p>
      <w:pPr>
        <w:pStyle w:val="Heading3"/>
      </w:pPr>
      <w:r>
        <w:rPr/>
        <w:t xml:space="preserve">Phase 2 · Install &amp; configure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Server from the </w:t>
      </w:r>
      <w:r>
        <w:rPr>
          <w:b/>
        </w:rPr>
        <w:t xml:space="preserve">standard build</w:t>
      </w:r>
      <w:r>
        <w:rPr/>
        <w:t xml:space="preserve">, patched, in the right OU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Disk layout to standard, including the </w:t>
      </w:r>
      <w:r>
        <w:rPr>
          <w:b/>
        </w:rPr>
        <w:t xml:space="preserve">SQL volumes</w:t>
      </w:r>
      <w:r>
        <w:rPr/>
        <w:t xml:space="preserve"> the DBA asked for (64 KB allocation unit)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Service accounts or gMSAs; passwords in the </w:t>
      </w:r>
      <w:r>
        <w:rPr>
          <w:b/>
        </w:rPr>
        <w:t xml:space="preserve">vault</w:t>
      </w:r>
      <w:r>
        <w:rPr/>
        <w:t xml:space="preserve">; IFI and lock pages in memory rights for SQL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Roles and features from Discovery (IIS, .NET 3.5, MSMQ, …)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>
          <w:b/>
        </w:rPr>
        <w:t xml:space="preserve">SMBv1 off, TLS 1.2+ only, NTLMv1 refused</w:t>
      </w:r>
      <w:r>
        <w:rPr/>
        <w:t xml:space="preserve">, unless an exception is logged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>
          <w:b/>
        </w:rPr>
        <w:t xml:space="preserve">MFT flows</w:t>
      </w:r>
      <w:r>
        <w:rPr/>
        <w:t xml:space="preserve"> set up for every FTP flow found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Certificates (SHA-256, 2048-bit+); firewall rules requested from Security / Network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Backup, monitoring, AV/EDR (with the DBA's exclusions), patching agents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Scheduled tasks prepared but </w:t>
      </w:r>
      <w:r>
        <w:rPr>
          <w:b/>
        </w:rPr>
        <w:t xml:space="preserve">disabled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Service recovery actions on critical services (lab finding: they aren't set by default for old software)</w:t>
      </w:r>
    </w:p>
    <w:p>
      <w:pPr>
        <w:pStyle w:val="Heading3"/>
      </w:pPr>
      <w:r>
        <w:rPr/>
        <w:t xml:space="preserve">Phase 3 · Migration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>
          <w:b/>
        </w:rPr>
        <w:t xml:space="preserve">If the path is uncertain:</w:t>
      </w:r>
      <w:r>
        <w:rPr/>
        <w:t xml:space="preserve"> clone and isolate the production VM, and rehearse the OS steps on it, timed (</w:t>
      </w:r>
      <w:r>
        <w:rPr>
          <w:color w:val="1B4A78"/>
          <w:u w:val="single"/>
        </w:rPr>
        <w:t xml:space="preserve">when to clone</w:t>
      </w:r>
      <w:r>
        <w:rPr/>
        <w:t xml:space="preserve">)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>
          <w:b/>
        </w:rPr>
        <w:t xml:space="preserve">OS in-place upgrade</w:t>
      </w:r>
      <w:r>
        <w:rPr/>
        <w:t xml:space="preserve"> on production (snapshot per hop), hardening, then the </w:t>
      </w:r>
      <w:r>
        <w:rPr>
          <w:b/>
        </w:rPr>
        <w:t xml:space="preserve">OS hand-off to the DBA</w:t>
      </w:r>
      <w:r>
        <w:rPr/>
        <w:t xml:space="preserve">, recorded on the server page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File shares: </w:t>
      </w:r>
      <w:r>
        <w:rPr>
          <w:b/>
        </w:rPr>
        <w:t xml:space="preserve">robocopy</w:t>
      </w:r>
      <w:r>
        <w:rPr/>
        <w:t xml:space="preserve"> with </w:t>
      </w:r>
      <w:r>
        <w:rPr>
          <w:rFonts w:ascii="Consolas" w:hAnsi="Consolas" w:cs="Consolas"/>
          <w:color w:val="A0303B"/>
          <w:shd w:val="clear" w:color="auto" w:fill="F3F4F6"/>
        </w:rPr>
        <w:t xml:space="preserve">/COPYALL</w:t>
      </w:r>
      <w:r>
        <w:rPr/>
        <w:t xml:space="preserve">, a preliminary pass days before, then a final delta during the freeze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Scheduled tasks enabled on the target, disabled on the source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>
          <w:b/>
        </w:rPr>
        <w:t xml:space="preserve">MFT flows</w:t>
      </w:r>
      <w:r>
        <w:rPr/>
        <w:t xml:space="preserve"> switched over and tested with each partner; FTP service on the old server stopped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>
          <w:b/>
        </w:rPr>
        <w:t xml:space="preserve">DNS and aliases</w:t>
      </w:r>
      <w:r>
        <w:rPr/>
        <w:t xml:space="preserve"> switched after the DBA's go; the old name kept as a CNAME only if the app needs it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Every Discovery dependency tested: scanners, MFT partners, interfaces, reports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Legacy-protocol flags closed, or covered by a logged exception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Monitoring green for 48 h</w:t>
      </w:r>
    </w:p>
    <w:p>
      <w:pPr>
        <w:pStyle w:val="Heading3"/>
      </w:pPr>
      <w:r>
        <w:rPr/>
        <w:t xml:space="preserve">Phase 4 · Decommissioning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>
          <w:b/>
        </w:rPr>
        <w:t xml:space="preserve">Quiet period</w:t>
      </w:r>
      <w:r>
        <w:rPr/>
        <w:t xml:space="preserve"> (or scream test for a retire): connection capture still running on the old server, </w:t>
      </w:r>
      <w:r>
        <w:rPr>
          <w:b/>
        </w:rPr>
        <w:t xml:space="preserve">including a month-end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File-share data decision carried out: archive, hand over or delete, </w:t>
      </w:r>
      <w:r>
        <w:rPr>
          <w:b/>
        </w:rPr>
        <w:t xml:space="preserve">signed by the data owner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Wait for the DBA's confirmation that the databases are offline and backed up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Server </w:t>
      </w:r>
      <w:r>
        <w:rPr>
          <w:b/>
        </w:rPr>
        <w:t xml:space="preserve">powered off, not deleted</w:t>
      </w:r>
      <w:r>
        <w:rPr/>
        <w:t xml:space="preserve">, for the agreed wait; final backup kept, with a restore test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Removed from </w:t>
      </w:r>
      <w:r>
        <w:rPr>
          <w:b/>
        </w:rPr>
        <w:t xml:space="preserve">AD, DNS, DHCP, firewall, monitoring, backup, AV/EDR, patching, CMDB</w:t>
      </w:r>
      <w:r>
        <w:rPr/>
        <w:t xml:space="preserve">; licences reclaimed; service accounts disabled; certificates revoked</w:t>
      </w:r>
    </w:p>
    <w:p>
      <w:pPr>
        <w:pStyle w:val="Check"/>
        <w:ind w:left="200"/>
      </w:pPr>
      <w:r>
        <w:rPr>
          <w:color w:val="1B4A78"/>
        </w:rPr>
        <w:t xml:space="preserve">☐  </w:t>
      </w:r>
      <w:r>
        <w:rPr/>
        <w:t xml:space="preserve">VM deleted or hardware disposed of, disks wiped</w:t>
      </w:r>
    </w:p>
    <w:p>
      <w:pPr>
        <w:spacing w:before="160" w:after="160"/>
        <w:jc w:val="center"/>
      </w:pPr>
      <w:r>
        <w:rPr>
          <w:color w:val="5FA8E8"/>
          <w:sz w:val="18"/>
          <w:szCs w:val="18"/>
        </w:rPr>
        <w:t xml:space="preserve">———   ◆   ———</w:t>
      </w:r>
    </w:p>
    <w:p>
      <w:pPr>
        <w:spacing w:before="0" w:after="120"/>
        <w:jc w:val="center"/>
      </w:pPr>
      <w:r>
        <w:rPr>
          <w:color w:val="6B7785"/>
          <w:sz w:val="16"/>
          <w:szCs w:val="16"/>
        </w:rPr>
        <w:t xml:space="preserve">Sysadmin guide · part of the </w:t>
      </w:r>
      <w:r>
        <w:rPr>
          <w:color w:val="6B7785"/>
          <w:sz w:val="16"/>
          <w:szCs w:val="16"/>
          <w:u w:val="single"/>
        </w:rPr>
        <w:t xml:space="preserve">migration governance</w:t>
      </w:r>
      <w:r>
        <w:rPr>
          <w:color w:val="6B7785"/>
          <w:sz w:val="16"/>
          <w:szCs w:val="16"/>
        </w:rPr>
        <w:t xml:space="preserve"> · lab evidence in </w:t>
      </w:r>
      <w:r>
        <w:rPr>
          <w:color w:val="6B7785"/>
          <w:sz w:val="16"/>
          <w:szCs w:val="16"/>
          <w:u w:val="single"/>
        </w:rPr>
        <w:t xml:space="preserve">legacy-migration</w:t>
      </w:r>
    </w:p>
    <w:sectPr>
      <w:footerReference w:type="default" r:id="rId4"/>
      <w:pgSz w:w="12240" w:h="15840"/>
      <w:pgMar w:top="1080" w:right="1080" w:bottom="1080" w:left="1080" w:header="600" w:footer="5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color w:val="6B7785"/>
        <w:sz w:val="16"/>
        <w:szCs w:val="16"/>
      </w:rPr>
      <w:t xml:space="preserve">Migration governance  ·  </w:t>
    </w:r>
    <w:fldSimple w:instr=" PAGE ">
      <w:r>
        <w:rPr>
          <w:color w:val="6B7785"/>
          <w:sz w:val="16"/>
        </w:rPr>
        <w:t>1</w:t>
      </w:r>
    </w:fldSimple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520" w:hanging="260"/>
      </w:pPr>
      <w:rPr>
        <w:color w:val="1B4A78"/>
      </w:rPr>
    </w:lvl>
    <w:lvl w:ilvl="1">
      <w:start w:val="1"/>
      <w:numFmt w:val="bullet"/>
      <w:lvlText w:val="–"/>
      <w:lvlJc w:val="left"/>
      <w:pPr>
        <w:ind w:left="880" w:hanging="260"/>
      </w:pPr>
      <w:rPr>
        <w:color w:val="5FA8E8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20" w:hanging="320"/>
      </w:pPr>
      <w:rPr>
        <w:b/>
        <w:color w:val="1B4A78"/>
      </w:rPr>
    </w:lvl>
    <w:lvl w:ilvl="1">
      <w:start w:val="1"/>
      <w:numFmt w:val="lowerLetter"/>
      <w:lvlText w:val="%2."/>
      <w:lvlJc w:val="left"/>
      <w:pPr>
        <w:ind w:left="880" w:hanging="30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hAnsi="Segoe UI" w:cs="Segoe UI" w:eastAsia="Segoe UI"/>
        <w:color w:val="1F2A36"/>
        <w:sz w:val="20"/>
        <w:szCs w:val="20"/>
        <w:lang w:val="en-CA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0" w:after="120"/>
      <w:outlineLvl w:val="0"/>
    </w:pPr>
    <w:rPr>
      <w:b/>
      <w:color w:val="1B4A78"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hd w:val="clear" w:color="auto" w:fill="1B4A78"/>
      <w:spacing w:before="280" w:after="140"/>
      <w:outlineLvl w:val="1"/>
    </w:pPr>
    <w:rPr>
      <w:b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pBdr>
        <w:bottom w:val="single" w:sz="6" w:space="2" w:color="A9C6E2"/>
      </w:pBdr>
      <w:spacing w:before="240" w:after="100"/>
      <w:outlineLvl w:val="2"/>
    </w:pPr>
    <w:rPr>
      <w:b/>
      <w:color w:val="1B4A7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180" w:after="80"/>
      <w:outlineLvl w:val="3"/>
    </w:pPr>
    <w:rPr>
      <w:b/>
      <w:color w:val="1B4A78"/>
      <w:sz w:val="21"/>
      <w:szCs w:val="21"/>
    </w:rPr>
  </w:style>
  <w:style w:type="paragraph" w:styleId="ListParagraph">
    <w:name w:val="List Paragraph"/>
    <w:basedOn w:val="Normal"/>
    <w:pPr>
      <w:spacing w:after="60"/>
    </w:pPr>
  </w:style>
  <w:style w:type="paragraph" w:styleId="Check">
    <w:name w:val="Checklist"/>
    <w:basedOn w:val="Normal"/>
    <w:pPr>
      <w:spacing w:after="60"/>
      <w:ind w:left="200"/>
    </w:pPr>
  </w:style>
  <w:style w:type="paragraph" w:styleId="TableText">
    <w:name w:val="Table Text"/>
    <w:basedOn w:val="Normal"/>
    <w:pPr>
      <w:spacing w:after="0" w:line="252" w:lineRule="auto"/>
    </w:pPr>
    <w:rPr>
      <w:sz w:val="18"/>
      <w:szCs w:val="18"/>
    </w:rPr>
  </w:style>
  <w:style w:type="paragraph" w:styleId="Code">
    <w:name w:val="Code"/>
    <w:basedOn w:val="Normal"/>
    <w:pPr>
      <w:spacing w:after="0" w:line="240" w:lineRule="auto"/>
    </w:pPr>
    <w:rPr>
      <w:rFonts w:ascii="Consolas" w:hAnsi="Consolas" w:cs="Consolas"/>
      <w:sz w:val="17"/>
      <w:szCs w:val="17"/>
    </w:rPr>
  </w:style>
  <w:style w:type="paragraph" w:styleId="Spacer">
    <w:name w:val="Spacer"/>
    <w:basedOn w:val="Normal"/>
    <w:pPr>
      <w:spacing w:after="100"/>
    </w:pPr>
    <w:rPr>
      <w:sz w:val="8"/>
      <w:szCs w:val="8"/>
    </w:rPr>
  </w:style>
  <w:style w:type="paragraph" w:styleId="TOC1">
    <w:name w:val="toc 1"/>
    <w:basedOn w:val="Normal"/>
    <w:next w:val="Normal"/>
    <w:pPr>
      <w:spacing w:before="120" w:after="40"/>
    </w:pPr>
    <w:rPr>
      <w:b/>
      <w:color w:val="1B4A78"/>
    </w:rPr>
  </w:style>
  <w:style w:type="paragraph" w:styleId="TOC2">
    <w:name w:val="toc 2"/>
    <w:basedOn w:val="Normal"/>
    <w:next w:val="Normal"/>
    <w:pPr>
      <w:spacing w:after="20"/>
      <w:ind w:left="28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1. Supported vs works but not supported</dc:title>
</cp:coreProperties>
</file>