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8"/>
        <w:gridCol w:w="4156"/>
        <w:gridCol w:w="4076"/>
      </w:tblGrid>
      <w:tr>
        <w:trPr>
          <w:tblHeader/>
        </w:trPr>
        <w:tc>
          <w:tcPr>
            <w:tcW w:w="1848" w:type="dxa"/>
            <w:shd w:val="clear" w:color="auto" w:fill="1B4A78"/>
            <w:vAlign w:val="top"/>
          </w:tcPr>
          <w:p>
            <w:pPr>
              <w:pStyle w:val="TableText"/>
            </w:pPr>
          </w:p>
        </w:tc>
        <w:tc>
          <w:tcPr>
            <w:tcW w:w="4156" w:type="dxa"/>
            <w:shd w:val="clear" w:color="auto" w:fill="1B4A78"/>
            <w:vAlign w:val="top"/>
          </w:tcPr>
          <w:p>
            <w:pPr>
              <w:pStyle w:val="TableText"/>
            </w:pPr>
            <w:r>
              <w:rPr>
                <w:b/>
                <w:color w:val="FFFFFF"/>
              </w:rPr>
              <w:t xml:space="preserve">SUPPORTED</w:t>
            </w:r>
          </w:p>
        </w:tc>
        <w:tc>
          <w:tcPr>
            <w:tcW w:w="4076" w:type="dxa"/>
            <w:shd w:val="clear" w:color="auto" w:fill="1B4A78"/>
            <w:vAlign w:val="top"/>
          </w:tcPr>
          <w:p>
            <w:pPr>
              <w:pStyle w:val="TableText"/>
            </w:pPr>
            <w:r>
              <w:rPr>
                <w:b/>
                <w:color w:val="FFFFFF"/>
              </w:rPr>
              <w:t xml:space="preserve">WORKS, BUT NOT SUPPORTED</w:t>
            </w:r>
          </w:p>
        </w:tc>
      </w:tr>
      <w:tr>
        <w:trPr>
          <w:cantSplit/>
        </w:trPr>
        <w:tc>
          <w:tcPr>
            <w:tcW w:w="1848" w:type="dxa"/>
            <w:vAlign w:val="top"/>
          </w:tcPr>
          <w:p>
            <w:pPr>
              <w:pStyle w:val="TableText"/>
            </w:pPr>
            <w:r>
              <w:rPr>
                <w:b/>
              </w:rPr>
              <w:t xml:space="preserve">Meaning</w:t>
            </w:r>
          </w:p>
        </w:tc>
        <w:tc>
          <w:tcPr>
            <w:tcW w:w="4156"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076"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848" w:type="dxa"/>
            <w:vAlign w:val="top"/>
          </w:tcPr>
          <w:p>
            <w:pPr>
              <w:pStyle w:val="TableText"/>
            </w:pPr>
            <w:r>
              <w:rPr>
                <w:b/>
              </w:rPr>
              <w:t xml:space="preserve">Fixes and security updates</w:t>
            </w:r>
          </w:p>
        </w:tc>
        <w:tc>
          <w:tcPr>
            <w:tcW w:w="4156" w:type="dxa"/>
            <w:vAlign w:val="top"/>
          </w:tcPr>
          <w:p>
            <w:pPr>
              <w:pStyle w:val="TableText"/>
            </w:pPr>
            <w:r>
              <w:rPr>
                <w:b/>
              </w:rPr>
              <w:t xml:space="preserve">Yes.</w:t>
            </w:r>
            <w:r>
              <w:rPr/>
              <w:t xml:space="preserve"> Bugs and vulnerabilities in this combination get fixed</w:t>
            </w:r>
          </w:p>
        </w:tc>
        <w:tc>
          <w:tcPr>
            <w:tcW w:w="4076" w:type="dxa"/>
            <w:vAlign w:val="top"/>
          </w:tcPr>
          <w:p>
            <w:pPr>
              <w:pStyle w:val="TableText"/>
            </w:pPr>
            <w:r>
              <w:rPr>
                <w:b/>
              </w:rPr>
              <w:t xml:space="preserve">No.</w:t>
            </w:r>
            <w:r>
              <w:rPr/>
              <w:t xml:space="preserve"> If it breaks because of the combination, nobody fixes it</w:t>
            </w:r>
          </w:p>
        </w:tc>
      </w:tr>
      <w:tr>
        <w:trPr>
          <w:cantSplit/>
        </w:trPr>
        <w:tc>
          <w:tcPr>
            <w:tcW w:w="1848" w:type="dxa"/>
            <w:vAlign w:val="top"/>
          </w:tcPr>
          <w:p>
            <w:pPr>
              <w:pStyle w:val="TableText"/>
            </w:pPr>
            <w:r>
              <w:rPr>
                <w:b/>
              </w:rPr>
              <w:t xml:space="preserve">Microsoft support case</w:t>
            </w:r>
          </w:p>
        </w:tc>
        <w:tc>
          <w:tcPr>
            <w:tcW w:w="4156" w:type="dxa"/>
            <w:vAlign w:val="top"/>
          </w:tcPr>
          <w:p>
            <w:pPr>
              <w:pStyle w:val="TableText"/>
            </w:pPr>
            <w:r>
              <w:rPr>
                <w:b/>
              </w:rPr>
              <w:t xml:space="preserve">Accepted</w:t>
            </w:r>
          </w:p>
        </w:tc>
        <w:tc>
          <w:tcPr>
            <w:tcW w:w="4076" w:type="dxa"/>
            <w:vAlign w:val="top"/>
          </w:tcPr>
          <w:p>
            <w:pPr>
              <w:pStyle w:val="TableText"/>
            </w:pPr>
            <w:r>
              <w:rPr>
                <w:b/>
              </w:rPr>
              <w:t xml:space="preserve">Can be refused.</w:t>
            </w:r>
            <w:r>
              <w:rPr/>
              <w:t xml:space="preserve"> The first answer is "move to a supported configuration"</w:t>
            </w:r>
          </w:p>
        </w:tc>
      </w:tr>
      <w:tr>
        <w:trPr>
          <w:cantSplit/>
        </w:trPr>
        <w:tc>
          <w:tcPr>
            <w:tcW w:w="1848" w:type="dxa"/>
            <w:vAlign w:val="top"/>
          </w:tcPr>
          <w:p>
            <w:pPr>
              <w:pStyle w:val="TableText"/>
            </w:pPr>
            <w:r>
              <w:rPr>
                <w:b/>
              </w:rPr>
              <w:t xml:space="preserve">Approval</w:t>
            </w:r>
          </w:p>
        </w:tc>
        <w:tc>
          <w:tcPr>
            <w:tcW w:w="4156" w:type="dxa"/>
            <w:vAlign w:val="top"/>
          </w:tcPr>
          <w:p>
            <w:pPr>
              <w:pStyle w:val="TableText"/>
            </w:pPr>
            <w:r>
              <w:rPr>
                <w:b/>
              </w:rPr>
              <w:t xml:space="preserve">Normal gate</w:t>
            </w:r>
          </w:p>
        </w:tc>
        <w:tc>
          <w:tcPr>
            <w:tcW w:w="4076"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48" w:type="dxa"/>
            <w:vAlign w:val="top"/>
          </w:tcPr>
          <w:p>
            <w:pPr>
              <w:pStyle w:val="TableText"/>
            </w:pPr>
            <w:r>
              <w:rPr>
                <w:b/>
              </w:rPr>
              <w:t xml:space="preserve">Can it be the end state?</w:t>
            </w:r>
          </w:p>
        </w:tc>
        <w:tc>
          <w:tcPr>
            <w:tcW w:w="4156" w:type="dxa"/>
            <w:vAlign w:val="top"/>
          </w:tcPr>
          <w:p>
            <w:pPr>
              <w:pStyle w:val="TableText"/>
            </w:pPr>
            <w:r>
              <w:rPr>
                <w:b/>
              </w:rPr>
              <w:t xml:space="preserve">Yes</w:t>
            </w:r>
          </w:p>
        </w:tc>
        <w:tc>
          <w:tcPr>
            <w:tcW w:w="4076" w:type="dxa"/>
            <w:vAlign w:val="top"/>
          </w:tcPr>
          <w:p>
            <w:pPr>
              <w:pStyle w:val="TableText"/>
            </w:pPr>
            <w:r>
              <w:rPr>
                <w:b/>
              </w:rPr>
              <w:t xml:space="preserve">No. A step on the way to a newer, supported SQL version</w:t>
            </w:r>
          </w:p>
        </w:tc>
      </w:tr>
      <w:tr>
        <w:trPr>
          <w:cantSplit/>
        </w:trPr>
        <w:tc>
          <w:tcPr>
            <w:tcW w:w="1848" w:type="dxa"/>
            <w:vAlign w:val="top"/>
          </w:tcPr>
          <w:p>
            <w:pPr>
              <w:pStyle w:val="TableText"/>
            </w:pPr>
            <w:r>
              <w:rPr>
                <w:b/>
              </w:rPr>
              <w:t xml:space="preserve">Who carries the risk</w:t>
            </w:r>
          </w:p>
        </w:tc>
        <w:tc>
          <w:tcPr>
            <w:tcW w:w="4156" w:type="dxa"/>
            <w:vAlign w:val="top"/>
          </w:tcPr>
          <w:p>
            <w:pPr>
              <w:pStyle w:val="TableText"/>
            </w:pPr>
            <w:r>
              <w:rPr/>
              <w:t xml:space="preserve">Shared with the vendor</w:t>
            </w:r>
          </w:p>
        </w:tc>
        <w:tc>
          <w:tcPr>
            <w:tcW w:w="4076"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7"/>
        <w:gridCol w:w="3062"/>
        <w:gridCol w:w="2572"/>
        <w:gridCol w:w="2359"/>
      </w:tblGrid>
      <w:tr>
        <w:trPr>
          <w:tblHeader/>
        </w:trPr>
        <w:tc>
          <w:tcPr>
            <w:tcW w:w="2087" w:type="dxa"/>
            <w:shd w:val="clear" w:color="auto" w:fill="1B4A78"/>
            <w:vAlign w:val="top"/>
          </w:tcPr>
          <w:p>
            <w:pPr>
              <w:pStyle w:val="TableText"/>
            </w:pPr>
            <w:r>
              <w:rPr>
                <w:b/>
                <w:color w:val="FFFFFF"/>
              </w:rPr>
              <w:t xml:space="preserve">Phase</w:t>
            </w:r>
          </w:p>
        </w:tc>
        <w:tc>
          <w:tcPr>
            <w:tcW w:w="3062"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2572"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235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2087" w:type="dxa"/>
            <w:vAlign w:val="top"/>
          </w:tcPr>
          <w:p>
            <w:pPr>
              <w:pStyle w:val="TableText"/>
            </w:pPr>
            <w:r>
              <w:rPr>
                <w:b/>
              </w:rPr>
              <w:t xml:space="preserve">1 · Discovery</w:t>
            </w:r>
          </w:p>
        </w:tc>
        <w:tc>
          <w:tcPr>
            <w:tcW w:w="3062" w:type="dxa"/>
            <w:vAlign w:val="top"/>
          </w:tcPr>
          <w:p>
            <w:pPr>
              <w:pStyle w:val="TableText"/>
            </w:pPr>
            <w:r>
              <w:rPr/>
              <w:t xml:space="preserve">SQL discovery script and output; SQL flags</w:t>
            </w:r>
          </w:p>
        </w:tc>
        <w:tc>
          <w:tcPr>
            <w:tcW w:w="2572" w:type="dxa"/>
            <w:vAlign w:val="top"/>
          </w:tcPr>
          <w:p>
            <w:pPr>
              <w:pStyle w:val="TableText"/>
            </w:pPr>
            <w:r>
              <w:rPr/>
              <w:t xml:space="preserve">Connection and activity capture inside SQL; dependency list (SQL side)</w:t>
            </w:r>
          </w:p>
        </w:tc>
        <w:tc>
          <w:tcPr>
            <w:tcW w:w="2359" w:type="dxa"/>
            <w:vAlign w:val="top"/>
          </w:tcPr>
          <w:p>
            <w:pPr>
              <w:pStyle w:val="TableText"/>
            </w:pPr>
            <w:r>
              <w:rPr/>
              <w:t xml:space="preserve">Server discovery; legacy protocols (TLS for SQL clients)</w:t>
            </w:r>
          </w:p>
        </w:tc>
      </w:tr>
      <w:tr>
        <w:trPr>
          <w:cantSplit/>
        </w:trPr>
        <w:tc>
          <w:tcPr>
            <w:tcW w:w="2087" w:type="dxa"/>
            <w:vAlign w:val="top"/>
          </w:tcPr>
          <w:p>
            <w:pPr>
              <w:pStyle w:val="TableText"/>
            </w:pPr>
            <w:r>
              <w:rPr>
                <w:b/>
              </w:rPr>
              <w:t xml:space="preserve">2 · Install &amp; configure</w:t>
            </w:r>
          </w:p>
        </w:tc>
        <w:tc>
          <w:tcPr>
            <w:tcW w:w="3062" w:type="dxa"/>
            <w:vAlign w:val="top"/>
          </w:tcPr>
          <w:p>
            <w:pPr>
              <w:pStyle w:val="TableText"/>
            </w:pPr>
            <w:r>
              <w:rPr/>
              <w:t xml:space="preserve">SQL install and configuration on the target</w:t>
            </w:r>
          </w:p>
        </w:tc>
        <w:tc>
          <w:tcPr>
            <w:tcW w:w="2572" w:type="dxa"/>
            <w:vAlign w:val="top"/>
          </w:tcPr>
          <w:p>
            <w:pPr>
              <w:pStyle w:val="TableText"/>
            </w:pPr>
            <w:r>
              <w:rPr/>
              <w:t xml:space="preserve">Smoke test (SQL side)</w:t>
            </w:r>
          </w:p>
        </w:tc>
        <w:tc>
          <w:tcPr>
            <w:tcW w:w="2359" w:type="dxa"/>
            <w:vAlign w:val="top"/>
          </w:tcPr>
          <w:p>
            <w:pPr>
              <w:pStyle w:val="TableText"/>
            </w:pPr>
            <w:r>
              <w:rPr/>
              <w:t xml:space="preserve">Server build (disk layout, service accounts)</w:t>
            </w:r>
          </w:p>
        </w:tc>
      </w:tr>
      <w:tr>
        <w:trPr>
          <w:cantSplit/>
        </w:trPr>
        <w:tc>
          <w:tcPr>
            <w:tcW w:w="2087" w:type="dxa"/>
            <w:vAlign w:val="top"/>
          </w:tcPr>
          <w:p>
            <w:pPr>
              <w:pStyle w:val="TableText"/>
            </w:pPr>
            <w:r>
              <w:rPr>
                <w:b/>
              </w:rPr>
              <w:t xml:space="preserve">3 · Migration</w:t>
            </w:r>
          </w:p>
        </w:tc>
        <w:tc>
          <w:tcPr>
            <w:tcW w:w="3062"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2572" w:type="dxa"/>
            <w:vAlign w:val="top"/>
          </w:tcPr>
          <w:p>
            <w:pPr>
              <w:pStyle w:val="TableText"/>
            </w:pPr>
            <w:r>
              <w:rPr/>
              <w:t xml:space="preserve">Rehearsal (on a clone if uncertain); cut-over and rollback plan (SQL side)</w:t>
            </w:r>
          </w:p>
        </w:tc>
        <w:tc>
          <w:tcPr>
            <w:tcW w:w="2359" w:type="dxa"/>
            <w:vAlign w:val="top"/>
          </w:tcPr>
          <w:p>
            <w:pPr>
              <w:pStyle w:val="TableText"/>
            </w:pPr>
            <w:r>
              <w:rPr/>
              <w:t xml:space="preserve">The OS in-place upgrade (done by the sysadmin); DNS / alias switch timing</w:t>
            </w:r>
          </w:p>
        </w:tc>
      </w:tr>
      <w:tr>
        <w:trPr>
          <w:cantSplit/>
        </w:trPr>
        <w:tc>
          <w:tcPr>
            <w:tcW w:w="2087" w:type="dxa"/>
            <w:vAlign w:val="top"/>
          </w:tcPr>
          <w:p>
            <w:pPr>
              <w:pStyle w:val="TableText"/>
            </w:pPr>
            <w:r>
              <w:rPr>
                <w:b/>
              </w:rPr>
              <w:t xml:space="preserve">4 · Decommissioning</w:t>
            </w:r>
          </w:p>
        </w:tc>
        <w:tc>
          <w:tcPr>
            <w:tcW w:w="3062" w:type="dxa"/>
            <w:vAlign w:val="top"/>
          </w:tcPr>
          <w:p>
            <w:pPr>
              <w:pStyle w:val="TableText"/>
            </w:pPr>
            <w:r>
              <w:rPr/>
              <w:t xml:space="preserve">Instance decommissioning: databases offline, final backups, logins disabled</w:t>
            </w:r>
          </w:p>
        </w:tc>
        <w:tc>
          <w:tcPr>
            <w:tcW w:w="2572" w:type="dxa"/>
            <w:vAlign w:val="top"/>
          </w:tcPr>
          <w:p>
            <w:pPr>
              <w:pStyle w:val="TableText"/>
            </w:pPr>
            <w:r>
              <w:rPr/>
              <w:t xml:space="preserve">Quiet-period monitoring inside SQL</w:t>
            </w:r>
          </w:p>
        </w:tc>
        <w:tc>
          <w:tcPr>
            <w:tcW w:w="235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2"/>
        <w:gridCol w:w="9158"/>
      </w:tblGrid>
      <w:tr>
        <w:trPr>
          <w:tblHeader/>
        </w:trPr>
        <w:tc>
          <w:tcPr>
            <w:tcW w:w="922" w:type="dxa"/>
            <w:shd w:val="clear" w:color="auto" w:fill="1B4A78"/>
            <w:vAlign w:val="top"/>
          </w:tcPr>
          <w:p>
            <w:pPr>
              <w:pStyle w:val="TableText"/>
            </w:pPr>
            <w:r>
              <w:rPr>
                <w:b/>
                <w:color w:val="FFFFFF"/>
              </w:rPr>
              <w:t xml:space="preserve">Gate</w:t>
            </w:r>
          </w:p>
        </w:tc>
        <w:tc>
          <w:tcPr>
            <w:tcW w:w="9158" w:type="dxa"/>
            <w:shd w:val="clear" w:color="auto" w:fill="1B4A78"/>
            <w:vAlign w:val="top"/>
          </w:tcPr>
          <w:p>
            <w:pPr>
              <w:pStyle w:val="TableText"/>
            </w:pPr>
            <w:r>
              <w:rPr>
                <w:b/>
                <w:color w:val="FFFFFF"/>
              </w:rPr>
              <w:t xml:space="preserve">DBA signature covers</w:t>
            </w:r>
          </w:p>
        </w:tc>
      </w:tr>
      <w:tr>
        <w:trPr>
          <w:cantSplit/>
        </w:trPr>
        <w:tc>
          <w:tcPr>
            <w:tcW w:w="922" w:type="dxa"/>
            <w:vAlign w:val="top"/>
          </w:tcPr>
          <w:p>
            <w:pPr>
              <w:pStyle w:val="TableText"/>
            </w:pPr>
            <w:r>
              <w:rPr>
                <w:b/>
              </w:rPr>
              <w:t xml:space="preserve">Gate 1</w:t>
            </w:r>
          </w:p>
        </w:tc>
        <w:tc>
          <w:tcPr>
            <w:tcW w:w="9158" w:type="dxa"/>
            <w:vAlign w:val="top"/>
          </w:tcPr>
          <w:p>
            <w:pPr>
              <w:pStyle w:val="TableText"/>
            </w:pPr>
            <w:r>
              <w:rPr/>
              <w:t xml:space="preserve">SQL summary reviewed; every SQL RED flag decided; migration path chosen (section 5)</w:t>
            </w:r>
          </w:p>
        </w:tc>
      </w:tr>
      <w:tr>
        <w:trPr>
          <w:cantSplit/>
        </w:trPr>
        <w:tc>
          <w:tcPr>
            <w:tcW w:w="922" w:type="dxa"/>
            <w:vAlign w:val="top"/>
          </w:tcPr>
          <w:p>
            <w:pPr>
              <w:pStyle w:val="TableText"/>
            </w:pPr>
            <w:r>
              <w:rPr>
                <w:b/>
              </w:rPr>
              <w:t xml:space="preserve">Gate 2</w:t>
            </w:r>
          </w:p>
        </w:tc>
        <w:tc>
          <w:tcPr>
            <w:tcW w:w="9158" w:type="dxa"/>
            <w:vAlign w:val="top"/>
          </w:tcPr>
          <w:p>
            <w:pPr>
              <w:pStyle w:val="TableText"/>
            </w:pPr>
            <w:r>
              <w:rPr/>
              <w:t xml:space="preserve">Instance built to standard; logins, jobs, linked servers scripted; backup and restore proven on the target</w:t>
            </w:r>
          </w:p>
        </w:tc>
      </w:tr>
      <w:tr>
        <w:trPr>
          <w:cantSplit/>
        </w:trPr>
        <w:tc>
          <w:tcPr>
            <w:tcW w:w="922" w:type="dxa"/>
            <w:vAlign w:val="top"/>
          </w:tcPr>
          <w:p>
            <w:pPr>
              <w:pStyle w:val="TableText"/>
            </w:pPr>
            <w:r>
              <w:rPr>
                <w:b/>
              </w:rPr>
              <w:t xml:space="preserve">Gate 3</w:t>
            </w:r>
          </w:p>
        </w:tc>
        <w:tc>
          <w:tcPr>
            <w:tcW w:w="9158" w:type="dxa"/>
            <w:vAlign w:val="top"/>
          </w:tcPr>
          <w:p>
            <w:pPr>
              <w:pStyle w:val="TableText"/>
            </w:pPr>
            <w:r>
              <w:rPr/>
              <w:t xml:space="preserve">Data validated (row counts, CHECKDB, key reports); jobs running; first backup and restore on the target</w:t>
            </w:r>
          </w:p>
        </w:tc>
      </w:tr>
      <w:tr>
        <w:trPr>
          <w:cantSplit/>
        </w:trPr>
        <w:tc>
          <w:tcPr>
            <w:tcW w:w="922" w:type="dxa"/>
            <w:vAlign w:val="top"/>
          </w:tcPr>
          <w:p>
            <w:pPr>
              <w:pStyle w:val="TableText"/>
            </w:pPr>
            <w:r>
              <w:rPr>
                <w:b/>
              </w:rPr>
              <w:t xml:space="preserve">Gate 4</w:t>
            </w:r>
          </w:p>
        </w:tc>
        <w:tc>
          <w:tcPr>
            <w:tcW w:w="9158"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2"/>
        </w:numPr>
      </w:pPr>
      <w:r>
        <w:rPr>
          <w:b/>
        </w:rPr>
        <w:t xml:space="preserve">After Discovery (Gate 1):</w:t>
      </w:r>
      <w:r>
        <w:rPr/>
        <w:t xml:space="preserve"> OS path and SQL path agreed together.</w:t>
      </w:r>
    </w:p>
    <w:p>
      <w:pPr>
        <w:pStyle w:val="ListParagraph"/>
        <w:numPr>
          <w:ilvl w:val="0"/>
          <w:numId w:val="2"/>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2"/>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05"/>
        <w:gridCol w:w="4975"/>
      </w:tblGrid>
      <w:tr>
        <w:trPr>
          <w:tblHeader/>
        </w:trPr>
        <w:tc>
          <w:tcPr>
            <w:tcW w:w="5105" w:type="dxa"/>
            <w:shd w:val="clear" w:color="auto" w:fill="1B4A78"/>
            <w:vAlign w:val="top"/>
          </w:tcPr>
          <w:p>
            <w:pPr>
              <w:pStyle w:val="TableText"/>
            </w:pPr>
            <w:r>
              <w:rPr>
                <w:b/>
                <w:color w:val="FFFFFF"/>
              </w:rPr>
              <w:t xml:space="preserve">DBA needs from the sysadmin</w:t>
            </w:r>
          </w:p>
        </w:tc>
        <w:tc>
          <w:tcPr>
            <w:tcW w:w="4975" w:type="dxa"/>
            <w:shd w:val="clear" w:color="auto" w:fill="1B4A78"/>
            <w:vAlign w:val="top"/>
          </w:tcPr>
          <w:p>
            <w:pPr>
              <w:pStyle w:val="TableText"/>
            </w:pPr>
            <w:r>
              <w:rPr>
                <w:b/>
                <w:color w:val="FFFFFF"/>
              </w:rPr>
              <w:t xml:space="preserve">Sysadmin needs from the DBA</w:t>
            </w:r>
          </w:p>
        </w:tc>
      </w:tr>
      <w:tr>
        <w:trPr>
          <w:cantSplit/>
        </w:trPr>
        <w:tc>
          <w:tcPr>
            <w:tcW w:w="5105"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4975" w:type="dxa"/>
            <w:vAlign w:val="top"/>
          </w:tcPr>
          <w:p>
            <w:pPr>
              <w:pStyle w:val="TableText"/>
            </w:pPr>
            <w:r>
              <w:rPr>
                <w:b/>
              </w:rPr>
              <w:t xml:space="preserve">SQL port(s)</w:t>
            </w:r>
            <w:r>
              <w:rPr/>
              <w:t xml:space="preserve"> and Browser need, for the firewall rules</w:t>
            </w:r>
          </w:p>
        </w:tc>
      </w:tr>
      <w:tr>
        <w:trPr>
          <w:cantSplit/>
        </w:trPr>
        <w:tc>
          <w:tcPr>
            <w:tcW w:w="5105"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4975"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105" w:type="dxa"/>
            <w:vAlign w:val="top"/>
          </w:tcPr>
          <w:p>
            <w:pPr>
              <w:pStyle w:val="TableText"/>
            </w:pPr>
            <w:r>
              <w:rPr/>
              <w:t xml:space="preserve">Backup agent installed; backup share reachable</w:t>
            </w:r>
          </w:p>
        </w:tc>
        <w:tc>
          <w:tcPr>
            <w:tcW w:w="4975" w:type="dxa"/>
            <w:vAlign w:val="top"/>
          </w:tcPr>
          <w:p>
            <w:pPr>
              <w:pStyle w:val="TableText"/>
            </w:pPr>
            <w:r>
              <w:rPr>
                <w:b/>
              </w:rPr>
              <w:t xml:space="preserve">Backup</w:t>
            </w:r>
            <w:r>
              <w:rPr/>
              <w:t xml:space="preserve"> schedule and retention for the agent</w:t>
            </w:r>
          </w:p>
        </w:tc>
      </w:tr>
      <w:tr>
        <w:trPr>
          <w:cantSplit/>
        </w:trPr>
        <w:tc>
          <w:tcPr>
            <w:tcW w:w="5105" w:type="dxa"/>
            <w:vAlign w:val="top"/>
          </w:tcPr>
          <w:p>
            <w:pPr>
              <w:pStyle w:val="TableText"/>
            </w:pPr>
            <w:r>
              <w:rPr/>
              <w:t xml:space="preserve">Firewall rules for 1433 / named instance ports</w:t>
            </w:r>
          </w:p>
        </w:tc>
        <w:tc>
          <w:tcPr>
            <w:tcW w:w="4975"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105" w:type="dxa"/>
            <w:vAlign w:val="top"/>
          </w:tcPr>
          <w:p>
            <w:pPr>
              <w:pStyle w:val="TableText"/>
            </w:pPr>
            <w:r>
              <w:rPr>
                <w:b/>
              </w:rPr>
              <w:t xml:space="preserve">DNS alias switch</w:t>
            </w:r>
            <w:r>
              <w:rPr/>
              <w:t xml:space="preserve"> at the agreed time in cut-over</w:t>
            </w:r>
          </w:p>
        </w:tc>
        <w:tc>
          <w:tcPr>
            <w:tcW w:w="4975" w:type="dxa"/>
            <w:vAlign w:val="top"/>
          </w:tcPr>
          <w:p>
            <w:pPr>
              <w:pStyle w:val="TableText"/>
            </w:pPr>
            <w:r>
              <w:rPr>
                <w:b/>
              </w:rPr>
              <w:t xml:space="preserve">Go / no-go</w:t>
            </w:r>
            <w:r>
              <w:rPr/>
              <w:t xml:space="preserve"> on the SQL side before the DNS switch</w:t>
            </w:r>
          </w:p>
        </w:tc>
      </w:tr>
      <w:tr>
        <w:trPr>
          <w:cantSplit/>
        </w:trPr>
        <w:tc>
          <w:tcPr>
            <w:tcW w:w="5105" w:type="dxa"/>
            <w:vAlign w:val="top"/>
          </w:tcPr>
          <w:p>
            <w:pPr>
              <w:pStyle w:val="TableText"/>
            </w:pPr>
            <w:r>
              <w:rPr/>
              <w:t xml:space="preserve">TLS certificate for SQL encryption</w:t>
            </w:r>
          </w:p>
        </w:tc>
        <w:tc>
          <w:tcPr>
            <w:tcW w:w="4975" w:type="dxa"/>
            <w:vAlign w:val="top"/>
          </w:tcPr>
          <w:p>
            <w:pPr>
              <w:pStyle w:val="TableText"/>
            </w:pPr>
            <w:r>
              <w:rPr>
                <w:b/>
              </w:rPr>
              <w:t xml:space="preserve">TLS level</w:t>
            </w:r>
            <w:r>
              <w:rPr/>
              <w:t xml:space="preserve"> needed by SQL clients (legacy 2005 clients need TLS 1.0)</w:t>
            </w:r>
          </w:p>
        </w:tc>
      </w:tr>
      <w:tr>
        <w:trPr>
          <w:cantSplit/>
        </w:trPr>
        <w:tc>
          <w:tcPr>
            <w:tcW w:w="5105" w:type="dxa"/>
            <w:vAlign w:val="top"/>
          </w:tcPr>
          <w:p>
            <w:pPr>
              <w:pStyle w:val="TableText"/>
            </w:pPr>
            <w:r>
              <w:rPr/>
              <w:t xml:space="preserve">Server kept powered on during the quiet period</w:t>
            </w:r>
          </w:p>
        </w:tc>
        <w:tc>
          <w:tcPr>
            <w:tcW w:w="4975"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50" w:type="dxa"/>
          <w:left w:w="30" w:type="dxa"/>
          <w:bottom w:w="50" w:type="dxa"/>
          <w:right w:w="30" w:type="dxa"/>
        </w:tblCellMar>
      </w:tblPr>
      <w:tblGrid>
        <w:gridCol w:w="1170"/>
        <w:gridCol w:w="990"/>
        <w:gridCol w:w="990"/>
        <w:gridCol w:w="990"/>
        <w:gridCol w:w="990"/>
        <w:gridCol w:w="990"/>
        <w:gridCol w:w="990"/>
        <w:gridCol w:w="990"/>
        <w:gridCol w:w="990"/>
        <w:gridCol w:w="990"/>
      </w:tblGrid>
      <w:tr>
        <w:trPr>
          <w:tblHeader/>
        </w:trPr>
        <w:tc>
          <w:tcPr>
            <w:tcW w:w="1170" w:type="dxa"/>
            <w:shd w:val="clear" w:color="auto" w:fill="12365A"/>
            <w:vAlign w:val="top"/>
          </w:tcPr>
          <w:p>
            <w:pPr>
              <w:pStyle w:val="TableText"/>
            </w:pPr>
            <w:r>
              <w:rPr>
                <w:b/>
                <w:color w:val="FFFFFF"/>
                <w:sz w:val="16"/>
                <w:szCs w:val="16"/>
              </w:rPr>
              <w:t xml:space="preserve">SQL \ Windows</w:t>
            </w:r>
          </w:p>
        </w:tc>
        <w:tc>
          <w:tcPr>
            <w:tcW w:w="990" w:type="dxa"/>
            <w:shd w:val="clear" w:color="auto" w:fill="12365A"/>
            <w:vAlign w:val="top"/>
          </w:tcPr>
          <w:p>
            <w:pPr>
              <w:pStyle w:val="TableText"/>
              <w:jc w:val="center"/>
            </w:pPr>
            <w:r>
              <w:rPr>
                <w:b/>
                <w:color w:val="FFFFFF"/>
                <w:sz w:val="18"/>
                <w:szCs w:val="18"/>
              </w:rPr>
              <w:t xml:space="preserve">2003</w:t>
            </w:r>
          </w:p>
        </w:tc>
        <w:tc>
          <w:tcPr>
            <w:tcW w:w="990" w:type="dxa"/>
            <w:shd w:val="clear" w:color="auto" w:fill="12365A"/>
            <w:vAlign w:val="top"/>
          </w:tcPr>
          <w:p>
            <w:pPr>
              <w:pStyle w:val="TableText"/>
              <w:jc w:val="center"/>
            </w:pPr>
            <w:r>
              <w:rPr>
                <w:b/>
                <w:color w:val="FFFFFF"/>
                <w:sz w:val="18"/>
                <w:szCs w:val="18"/>
              </w:rPr>
              <w:t xml:space="preserve">2008</w:t>
            </w:r>
          </w:p>
        </w:tc>
        <w:tc>
          <w:tcPr>
            <w:tcW w:w="990" w:type="dxa"/>
            <w:shd w:val="clear" w:color="auto" w:fill="12365A"/>
            <w:vAlign w:val="top"/>
          </w:tcPr>
          <w:p>
            <w:pPr>
              <w:pStyle w:val="TableText"/>
              <w:jc w:val="center"/>
            </w:pPr>
            <w:r>
              <w:rPr>
                <w:b/>
                <w:color w:val="FFFFFF"/>
                <w:sz w:val="18"/>
                <w:szCs w:val="18"/>
              </w:rPr>
              <w:t xml:space="preserve">2008 R2</w:t>
            </w:r>
          </w:p>
        </w:tc>
        <w:tc>
          <w:tcPr>
            <w:tcW w:w="990" w:type="dxa"/>
            <w:shd w:val="clear" w:color="auto" w:fill="12365A"/>
            <w:vAlign w:val="top"/>
          </w:tcPr>
          <w:p>
            <w:pPr>
              <w:pStyle w:val="TableText"/>
              <w:jc w:val="center"/>
            </w:pPr>
            <w:r>
              <w:rPr>
                <w:b/>
                <w:color w:val="FFFFFF"/>
                <w:sz w:val="18"/>
                <w:szCs w:val="18"/>
              </w:rPr>
              <w:t xml:space="preserve">2012</w:t>
            </w:r>
          </w:p>
        </w:tc>
        <w:tc>
          <w:tcPr>
            <w:tcW w:w="990" w:type="dxa"/>
            <w:shd w:val="clear" w:color="auto" w:fill="12365A"/>
            <w:vAlign w:val="top"/>
          </w:tcPr>
          <w:p>
            <w:pPr>
              <w:pStyle w:val="TableText"/>
              <w:jc w:val="center"/>
            </w:pPr>
            <w:r>
              <w:rPr>
                <w:b/>
                <w:color w:val="FFFFFF"/>
                <w:sz w:val="18"/>
                <w:szCs w:val="18"/>
              </w:rPr>
              <w:t xml:space="preserve">2012 R2</w:t>
            </w:r>
          </w:p>
        </w:tc>
        <w:tc>
          <w:tcPr>
            <w:tcW w:w="990" w:type="dxa"/>
            <w:shd w:val="clear" w:color="auto" w:fill="12365A"/>
            <w:vAlign w:val="top"/>
          </w:tcPr>
          <w:p>
            <w:pPr>
              <w:pStyle w:val="TableText"/>
              <w:jc w:val="center"/>
            </w:pPr>
            <w:r>
              <w:rPr>
                <w:b/>
                <w:color w:val="FFFFFF"/>
                <w:sz w:val="18"/>
                <w:szCs w:val="18"/>
              </w:rPr>
              <w:t xml:space="preserve">2016</w:t>
            </w:r>
          </w:p>
        </w:tc>
        <w:tc>
          <w:tcPr>
            <w:tcW w:w="990" w:type="dxa"/>
            <w:shd w:val="clear" w:color="auto" w:fill="12365A"/>
            <w:vAlign w:val="top"/>
          </w:tcPr>
          <w:p>
            <w:pPr>
              <w:pStyle w:val="TableText"/>
              <w:jc w:val="center"/>
            </w:pPr>
            <w:r>
              <w:rPr>
                <w:b/>
                <w:color w:val="FFFFFF"/>
                <w:sz w:val="18"/>
                <w:szCs w:val="18"/>
              </w:rPr>
              <w:t xml:space="preserve">2019</w:t>
            </w:r>
          </w:p>
        </w:tc>
        <w:tc>
          <w:tcPr>
            <w:tcW w:w="990" w:type="dxa"/>
            <w:shd w:val="clear" w:color="auto" w:fill="12365A"/>
            <w:vAlign w:val="top"/>
          </w:tcPr>
          <w:p>
            <w:pPr>
              <w:pStyle w:val="TableText"/>
              <w:jc w:val="center"/>
            </w:pPr>
            <w:r>
              <w:rPr>
                <w:b/>
                <w:color w:val="FFFFFF"/>
                <w:sz w:val="18"/>
                <w:szCs w:val="18"/>
              </w:rPr>
              <w:t xml:space="preserve">2022</w:t>
            </w:r>
          </w:p>
        </w:tc>
        <w:tc>
          <w:tcPr>
            <w:tcW w:w="990" w:type="dxa"/>
            <w:shd w:val="clear" w:color="auto" w:fill="12365A"/>
            <w:vAlign w:val="top"/>
          </w:tcPr>
          <w:p>
            <w:pPr>
              <w:pStyle w:val="TableText"/>
              <w:jc w:val="center"/>
            </w:pPr>
            <w:r>
              <w:rPr>
                <w:b/>
                <w:color w:val="FFFFFF"/>
                <w:sz w:val="18"/>
                <w:szCs w:val="18"/>
              </w:rPr>
              <w:t xml:space="preserve">2025</w:t>
            </w:r>
          </w:p>
        </w:tc>
      </w:tr>
      <w:tr>
        <w:trPr>
          <w:cantSplit/>
        </w:trPr>
        <w:tc>
          <w:tcPr>
            <w:tcW w:w="1170" w:type="dxa"/>
            <w:shd w:val="clear" w:color="auto" w:fill="DBE8F4"/>
            <w:vAlign w:val="top"/>
          </w:tcPr>
          <w:p>
            <w:pPr>
              <w:pStyle w:val="TableText"/>
            </w:pPr>
            <w:r>
              <w:rPr>
                <w:b/>
                <w:color w:val="1B4A78"/>
                <w:sz w:val="18"/>
                <w:szCs w:val="18"/>
              </w:rPr>
              <w:t xml:space="preserve">SQL 2000</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2005</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SP2</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r>
      <w:tr>
        <w:trPr>
          <w:cantSplit/>
        </w:trPr>
        <w:tc>
          <w:tcPr>
            <w:tcW w:w="1170" w:type="dxa"/>
            <w:shd w:val="clear" w:color="auto" w:fill="DBE8F4"/>
            <w:vAlign w:val="top"/>
          </w:tcPr>
          <w:p>
            <w:pPr>
              <w:pStyle w:val="TableText"/>
            </w:pPr>
            <w:r>
              <w:rPr>
                <w:b/>
                <w:color w:val="1B4A78"/>
                <w:sz w:val="18"/>
                <w:szCs w:val="18"/>
              </w:rPr>
              <w:t xml:space="preserve">SQL 2008</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SP1</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2008 R2</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2014</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2016</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2017</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2019</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2025</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61"/>
        <w:gridCol w:w="3281"/>
        <w:gridCol w:w="4338"/>
      </w:tblGrid>
      <w:tr>
        <w:trPr>
          <w:tblHeader/>
        </w:trPr>
        <w:tc>
          <w:tcPr>
            <w:tcW w:w="2461" w:type="dxa"/>
            <w:shd w:val="clear" w:color="auto" w:fill="1B4A78"/>
            <w:vAlign w:val="top"/>
          </w:tcPr>
          <w:p>
            <w:pPr>
              <w:pStyle w:val="TableText"/>
            </w:pPr>
            <w:r>
              <w:rPr>
                <w:b/>
                <w:color w:val="FFFFFF"/>
              </w:rPr>
              <w:t xml:space="preserve">Target Windows</w:t>
            </w:r>
          </w:p>
        </w:tc>
        <w:tc>
          <w:tcPr>
            <w:tcW w:w="3281" w:type="dxa"/>
            <w:shd w:val="clear" w:color="auto" w:fill="1B4A78"/>
            <w:vAlign w:val="top"/>
          </w:tcPr>
          <w:p>
            <w:pPr>
              <w:pStyle w:val="TableText"/>
            </w:pPr>
            <w:r>
              <w:rPr>
                <w:b/>
                <w:color w:val="FFFFFF"/>
              </w:rPr>
              <w:t xml:space="preserve">Supported SQL to install</w:t>
            </w:r>
          </w:p>
        </w:tc>
        <w:tc>
          <w:tcPr>
            <w:tcW w:w="4338" w:type="dxa"/>
            <w:shd w:val="clear" w:color="auto" w:fill="1B4A78"/>
            <w:vAlign w:val="top"/>
          </w:tcPr>
          <w:p>
            <w:pPr>
              <w:pStyle w:val="TableText"/>
            </w:pPr>
            <w:r>
              <w:rPr>
                <w:b/>
                <w:color w:val="FFFFFF"/>
              </w:rPr>
              <w:t xml:space="preserve">Recommended</w:t>
            </w:r>
          </w:p>
        </w:tc>
      </w:tr>
      <w:tr>
        <w:trPr>
          <w:cantSplit/>
        </w:trPr>
        <w:tc>
          <w:tcPr>
            <w:tcW w:w="2461" w:type="dxa"/>
            <w:vAlign w:val="top"/>
          </w:tcPr>
          <w:p>
            <w:pPr>
              <w:pStyle w:val="TableText"/>
            </w:pPr>
            <w:r>
              <w:rPr>
                <w:b/>
              </w:rPr>
              <w:t xml:space="preserve">Windows Server 2025</w:t>
            </w:r>
          </w:p>
        </w:tc>
        <w:tc>
          <w:tcPr>
            <w:tcW w:w="3281" w:type="dxa"/>
            <w:vAlign w:val="top"/>
          </w:tcPr>
          <w:p>
            <w:pPr>
              <w:pStyle w:val="TableText"/>
            </w:pPr>
            <w:r>
              <w:rPr/>
              <w:t xml:space="preserve">SQL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b/>
              </w:rPr>
              <w:t xml:space="preserve">Windows Server 2022</w:t>
            </w:r>
          </w:p>
        </w:tc>
        <w:tc>
          <w:tcPr>
            <w:tcW w:w="3281" w:type="dxa"/>
            <w:vAlign w:val="top"/>
          </w:tcPr>
          <w:p>
            <w:pPr>
              <w:pStyle w:val="TableText"/>
            </w:pPr>
            <w:r>
              <w:rPr/>
              <w:t xml:space="preserve">SQL 2017,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t xml:space="preserve">Windows Server 2019</w:t>
            </w:r>
          </w:p>
        </w:tc>
        <w:tc>
          <w:tcPr>
            <w:tcW w:w="3281" w:type="dxa"/>
            <w:vAlign w:val="top"/>
          </w:tcPr>
          <w:p>
            <w:pPr>
              <w:pStyle w:val="TableText"/>
            </w:pPr>
            <w:r>
              <w:rPr/>
              <w:t xml:space="preserve">SQL 2012 SP4 to 2025</w:t>
            </w:r>
          </w:p>
        </w:tc>
        <w:tc>
          <w:tcPr>
            <w:tcW w:w="4338"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2"/>
        <w:gridCol w:w="2821"/>
        <w:gridCol w:w="2842"/>
        <w:gridCol w:w="2915"/>
      </w:tblGrid>
      <w:tr>
        <w:trPr>
          <w:tblHeader/>
        </w:trPr>
        <w:tc>
          <w:tcPr>
            <w:tcW w:w="1502" w:type="dxa"/>
            <w:shd w:val="clear" w:color="auto" w:fill="1B4A78"/>
            <w:vAlign w:val="top"/>
          </w:tcPr>
          <w:p>
            <w:pPr>
              <w:pStyle w:val="TableText"/>
            </w:pPr>
            <w:r>
              <w:rPr>
                <w:b/>
                <w:color w:val="FFFFFF"/>
              </w:rPr>
              <w:t xml:space="preserve">Source</w:t>
            </w:r>
          </w:p>
        </w:tc>
        <w:tc>
          <w:tcPr>
            <w:tcW w:w="2821"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842" w:type="dxa"/>
            <w:shd w:val="clear" w:color="auto" w:fill="1B4A78"/>
            <w:vAlign w:val="top"/>
          </w:tcPr>
          <w:p>
            <w:pPr>
              <w:pStyle w:val="TableText"/>
            </w:pPr>
            <w:r>
              <w:rPr>
                <w:b/>
                <w:color w:val="FFFFFF"/>
              </w:rPr>
              <w:t xml:space="preserve">Minimal-downtime option</w:t>
            </w:r>
          </w:p>
        </w:tc>
        <w:tc>
          <w:tcPr>
            <w:tcW w:w="2915" w:type="dxa"/>
            <w:shd w:val="clear" w:color="auto" w:fill="1B4A78"/>
            <w:vAlign w:val="top"/>
          </w:tcPr>
          <w:p>
            <w:pPr>
              <w:pStyle w:val="TableText"/>
            </w:pPr>
            <w:r>
              <w:rPr>
                <w:b/>
                <w:color w:val="FFFFFF"/>
              </w:rPr>
              <w:t xml:space="preserve">Watch out for</w:t>
            </w:r>
          </w:p>
        </w:tc>
      </w:tr>
      <w:tr>
        <w:trPr>
          <w:cantSplit/>
        </w:trPr>
        <w:tc>
          <w:tcPr>
            <w:tcW w:w="1502" w:type="dxa"/>
            <w:vAlign w:val="top"/>
          </w:tcPr>
          <w:p>
            <w:pPr>
              <w:pStyle w:val="TableText"/>
            </w:pPr>
            <w:r>
              <w:rPr>
                <w:b/>
              </w:rPr>
              <w:t xml:space="preserve">SQL 2000</w:t>
            </w:r>
            <w:r>
              <w:rPr/>
              <w:t xml:space="preserve"> (compat 80)</w:t>
            </w:r>
          </w:p>
        </w:tc>
        <w:tc>
          <w:tcPr>
            <w:tcW w:w="2821"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842" w:type="dxa"/>
            <w:vAlign w:val="top"/>
          </w:tcPr>
          <w:p>
            <w:pPr>
              <w:pStyle w:val="TableText"/>
            </w:pPr>
            <w:r>
              <w:rPr/>
              <w:t xml:space="preserve">None: plan a full outage</w:t>
            </w:r>
          </w:p>
        </w:tc>
        <w:tc>
          <w:tcPr>
            <w:tcW w:w="2915" w:type="dxa"/>
            <w:vAlign w:val="top"/>
          </w:tcPr>
          <w:p>
            <w:pPr>
              <w:pStyle w:val="TableText"/>
            </w:pPr>
            <w:r>
              <w:rPr>
                <w:b/>
              </w:rPr>
              <w:t xml:space="preserve">DTS packages</w:t>
            </w:r>
            <w:r>
              <w:rPr/>
              <w:t xml:space="preserve"> need a rewrite to SSIS. No direct path exists</w:t>
            </w:r>
          </w:p>
        </w:tc>
      </w:tr>
      <w:tr>
        <w:trPr>
          <w:cantSplit/>
        </w:trPr>
        <w:tc>
          <w:tcPr>
            <w:tcW w:w="1502" w:type="dxa"/>
            <w:vAlign w:val="top"/>
          </w:tcPr>
          <w:p>
            <w:pPr>
              <w:pStyle w:val="TableText"/>
            </w:pPr>
            <w:r>
              <w:rPr>
                <w:b/>
              </w:rPr>
              <w:t xml:space="preserve">SQL 2005</w:t>
            </w:r>
            <w:r>
              <w:rPr/>
              <w:t xml:space="preserve"> (compat 90)</w:t>
            </w:r>
          </w:p>
        </w:tc>
        <w:tc>
          <w:tcPr>
            <w:tcW w:w="2821" w:type="dxa"/>
            <w:vAlign w:val="top"/>
          </w:tcPr>
          <w:p>
            <w:pPr>
              <w:pStyle w:val="TableText"/>
            </w:pPr>
            <w:r>
              <w:rPr>
                <w:b/>
              </w:rPr>
              <w:t xml:space="preserve">Direct backup / restore</w:t>
            </w:r>
            <w:r>
              <w:rPr/>
              <w:t xml:space="preserve"> on 2022 or 2025, which raises the database to compat 100</w:t>
            </w:r>
          </w:p>
        </w:tc>
        <w:tc>
          <w:tcPr>
            <w:tcW w:w="2842" w:type="dxa"/>
            <w:vAlign w:val="top"/>
          </w:tcPr>
          <w:p>
            <w:pPr>
              <w:pStyle w:val="TableText"/>
            </w:pPr>
            <w:r>
              <w:rPr/>
              <w:t xml:space="preserve">Differential + log backups restored before cut-over</w:t>
            </w:r>
          </w:p>
        </w:tc>
        <w:tc>
          <w:tcPr>
            <w:tcW w:w="2915"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502" w:type="dxa"/>
            <w:vAlign w:val="top"/>
          </w:tcPr>
          <w:p>
            <w:pPr>
              <w:pStyle w:val="TableText"/>
            </w:pPr>
            <w:r>
              <w:rPr>
                <w:b/>
              </w:rPr>
              <w:t xml:space="preserve">SQL 2008 SP3+ / 2008 R2 SP2+</w:t>
            </w:r>
          </w:p>
        </w:tc>
        <w:tc>
          <w:tcPr>
            <w:tcW w:w="2821" w:type="dxa"/>
            <w:vAlign w:val="top"/>
          </w:tcPr>
          <w:p>
            <w:pPr>
              <w:pStyle w:val="TableText"/>
            </w:pPr>
            <w:r>
              <w:rPr>
                <w:b/>
              </w:rPr>
              <w:t xml:space="preserve">Direct backup / restore</w:t>
            </w:r>
          </w:p>
        </w:tc>
        <w:tc>
          <w:tcPr>
            <w:tcW w:w="2842" w:type="dxa"/>
            <w:vAlign w:val="top"/>
          </w:tcPr>
          <w:p>
            <w:pPr>
              <w:pStyle w:val="TableText"/>
            </w:pPr>
            <w:r>
              <w:rPr>
                <w:b/>
              </w:rPr>
              <w:t xml:space="preserve">Log shipping</w:t>
            </w:r>
            <w:r>
              <w:rPr/>
              <w:t xml:space="preserve"> to 2022 / 2025 is supported</w:t>
            </w:r>
          </w:p>
        </w:tc>
        <w:tc>
          <w:tcPr>
            <w:tcW w:w="2915" w:type="dxa"/>
            <w:vAlign w:val="top"/>
          </w:tcPr>
          <w:p>
            <w:pPr>
              <w:pStyle w:val="TableText"/>
            </w:pPr>
            <w:r>
              <w:rPr/>
              <w:t xml:space="preserve">Once the new server is primary, the old one can't receive changes back. Rollback = the untouched source</w:t>
            </w:r>
          </w:p>
        </w:tc>
      </w:tr>
      <w:tr>
        <w:trPr>
          <w:cantSplit/>
        </w:trPr>
        <w:tc>
          <w:tcPr>
            <w:tcW w:w="1502" w:type="dxa"/>
            <w:vAlign w:val="top"/>
          </w:tcPr>
          <w:p>
            <w:pPr>
              <w:pStyle w:val="TableText"/>
            </w:pPr>
            <w:r>
              <w:rPr>
                <w:b/>
              </w:rPr>
              <w:t xml:space="preserve">SQL 2012 SP4</w:t>
            </w:r>
          </w:p>
        </w:tc>
        <w:tc>
          <w:tcPr>
            <w:tcW w:w="2821"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842" w:type="dxa"/>
            <w:vAlign w:val="top"/>
          </w:tcPr>
          <w:p>
            <w:pPr>
              <w:pStyle w:val="TableText"/>
            </w:pPr>
            <w:r>
              <w:rPr/>
              <w:t xml:space="preserve">Log shipping, or AG (Enterprise)</w:t>
            </w:r>
          </w:p>
        </w:tc>
        <w:tc>
          <w:tcPr>
            <w:tcW w:w="2915" w:type="dxa"/>
            <w:vAlign w:val="top"/>
          </w:tcPr>
          <w:p>
            <w:pPr>
              <w:pStyle w:val="TableText"/>
            </w:pPr>
            <w:r>
              <w:rPr/>
              <w:t xml:space="preserve">In-place: the OS must be Windows 2016+, and SQL 2012 often sits on 2012 R2</w:t>
            </w:r>
          </w:p>
        </w:tc>
      </w:tr>
      <w:tr>
        <w:trPr>
          <w:cantSplit/>
        </w:trPr>
        <w:tc>
          <w:tcPr>
            <w:tcW w:w="1502" w:type="dxa"/>
            <w:vAlign w:val="top"/>
          </w:tcPr>
          <w:p>
            <w:pPr>
              <w:pStyle w:val="TableText"/>
            </w:pPr>
            <w:r>
              <w:rPr>
                <w:b/>
              </w:rPr>
              <w:t xml:space="preserve">SQL 2014 SP3 / 2016 SP3</w:t>
            </w:r>
          </w:p>
        </w:tc>
        <w:tc>
          <w:tcPr>
            <w:tcW w:w="2821" w:type="dxa"/>
            <w:vAlign w:val="top"/>
          </w:tcPr>
          <w:p>
            <w:pPr>
              <w:pStyle w:val="TableText"/>
            </w:pPr>
            <w:r>
              <w:rPr/>
              <w:t xml:space="preserve">Backup / restore, or </w:t>
            </w:r>
            <w:r>
              <w:rPr>
                <w:b/>
              </w:rPr>
              <w:t xml:space="preserve">in-place upgrade</w:t>
            </w:r>
            <w:r>
              <w:rPr/>
              <w:t xml:space="preserve"> to 2022 / 2025</w:t>
            </w:r>
          </w:p>
        </w:tc>
        <w:tc>
          <w:tcPr>
            <w:tcW w:w="2842" w:type="dxa"/>
            <w:vAlign w:val="top"/>
          </w:tcPr>
          <w:p>
            <w:pPr>
              <w:pStyle w:val="TableText"/>
            </w:pPr>
            <w:r>
              <w:rPr/>
              <w:t xml:space="preserve">Log shipping, AG</w:t>
            </w:r>
          </w:p>
        </w:tc>
        <w:tc>
          <w:tcPr>
            <w:tcW w:w="2915" w:type="dxa"/>
            <w:vAlign w:val="top"/>
          </w:tcPr>
          <w:p>
            <w:pPr>
              <w:pStyle w:val="TableText"/>
            </w:pPr>
            <w:r>
              <w:rPr/>
              <w:t xml:space="preserve">In-place to 2025 needs Windows 2019+ under it</w:t>
            </w:r>
          </w:p>
        </w:tc>
      </w:tr>
      <w:tr>
        <w:trPr>
          <w:cantSplit/>
        </w:trPr>
        <w:tc>
          <w:tcPr>
            <w:tcW w:w="1502" w:type="dxa"/>
            <w:vAlign w:val="top"/>
          </w:tcPr>
          <w:p>
            <w:pPr>
              <w:pStyle w:val="TableText"/>
            </w:pPr>
            <w:r>
              <w:rPr>
                <w:b/>
              </w:rPr>
              <w:t xml:space="preserve">SQL 2017 / 2019</w:t>
            </w:r>
          </w:p>
        </w:tc>
        <w:tc>
          <w:tcPr>
            <w:tcW w:w="2821" w:type="dxa"/>
            <w:vAlign w:val="top"/>
          </w:tcPr>
          <w:p>
            <w:pPr>
              <w:pStyle w:val="TableText"/>
            </w:pPr>
            <w:r>
              <w:rPr/>
              <w:t xml:space="preserve">Backup / restore, or in-place upgrade to 2022 / 2025</w:t>
            </w:r>
          </w:p>
        </w:tc>
        <w:tc>
          <w:tcPr>
            <w:tcW w:w="2842" w:type="dxa"/>
            <w:vAlign w:val="top"/>
          </w:tcPr>
          <w:p>
            <w:pPr>
              <w:pStyle w:val="TableText"/>
            </w:pPr>
            <w:r>
              <w:rPr/>
              <w:t xml:space="preserve">Log shipping, AG, distributed AG</w:t>
            </w:r>
          </w:p>
        </w:tc>
        <w:tc>
          <w:tcPr>
            <w:tcW w:w="2915"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760"/>
        <w:gridCol w:w="5320"/>
      </w:tblGrid>
      <w:tr>
        <w:trPr>
          <w:tblHeader/>
        </w:trPr>
        <w:tc>
          <w:tcPr>
            <w:tcW w:w="4760" w:type="dxa"/>
            <w:shd w:val="clear" w:color="auto" w:fill="1B4A78"/>
            <w:vAlign w:val="top"/>
          </w:tcPr>
          <w:p>
            <w:pPr>
              <w:pStyle w:val="TableText"/>
            </w:pPr>
            <w:r>
              <w:rPr>
                <w:b/>
                <w:color w:val="FFFFFF"/>
              </w:rPr>
              <w:t xml:space="preserve">Situation</w:t>
            </w:r>
          </w:p>
        </w:tc>
        <w:tc>
          <w:tcPr>
            <w:tcW w:w="5320" w:type="dxa"/>
            <w:shd w:val="clear" w:color="auto" w:fill="1B4A78"/>
            <w:vAlign w:val="top"/>
          </w:tcPr>
          <w:p>
            <w:pPr>
              <w:pStyle w:val="TableText"/>
            </w:pPr>
            <w:r>
              <w:rPr>
                <w:b/>
                <w:color w:val="FFFFFF"/>
              </w:rPr>
              <w:t xml:space="preserve">Method</w:t>
            </w:r>
          </w:p>
        </w:tc>
      </w:tr>
      <w:tr>
        <w:trPr>
          <w:cantSplit/>
        </w:trPr>
        <w:tc>
          <w:tcPr>
            <w:tcW w:w="4760"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320"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4760" w:type="dxa"/>
            <w:vAlign w:val="top"/>
          </w:tcPr>
          <w:p>
            <w:pPr>
              <w:pStyle w:val="TableText"/>
            </w:pPr>
            <w:r>
              <w:rPr/>
              <w:t xml:space="preserve">The OS is upgraded in place, but the SQL version can't be upgraded in place (SQL 2005, 2008, 2008 R2)</w:t>
            </w:r>
          </w:p>
        </w:tc>
        <w:tc>
          <w:tcPr>
            <w:tcW w:w="5320"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4760" w:type="dxa"/>
            <w:vAlign w:val="top"/>
          </w:tcPr>
          <w:p>
            <w:pPr>
              <w:pStyle w:val="TableText"/>
            </w:pPr>
            <w:r>
              <w:rPr>
                <w:b/>
              </w:rPr>
              <w:t xml:space="preserve">2nd choice: side-by-side</w:t>
            </w:r>
            <w:r>
              <w:rPr/>
              <w:t xml:space="preserve">, small or medium database, outage window of a few hours</w:t>
            </w:r>
          </w:p>
        </w:tc>
        <w:tc>
          <w:tcPr>
            <w:tcW w:w="5320" w:type="dxa"/>
            <w:vAlign w:val="top"/>
          </w:tcPr>
          <w:p>
            <w:pPr>
              <w:pStyle w:val="TableText"/>
            </w:pPr>
            <w:r>
              <w:rPr>
                <w:b/>
              </w:rPr>
              <w:t xml:space="preserve">Full backup → restore</w:t>
            </w:r>
            <w:r>
              <w:rPr/>
              <w:t xml:space="preserve">, then a final differential or log backup at cut-over</w:t>
            </w:r>
          </w:p>
        </w:tc>
      </w:tr>
      <w:tr>
        <w:trPr>
          <w:cantSplit/>
        </w:trPr>
        <w:tc>
          <w:tcPr>
            <w:tcW w:w="4760" w:type="dxa"/>
            <w:vAlign w:val="top"/>
          </w:tcPr>
          <w:p>
            <w:pPr>
              <w:pStyle w:val="TableText"/>
            </w:pPr>
            <w:r>
              <w:rPr/>
              <w:t xml:space="preserve">Large database, short window, source 2008 SP3+</w:t>
            </w:r>
          </w:p>
        </w:tc>
        <w:tc>
          <w:tcPr>
            <w:tcW w:w="5320" w:type="dxa"/>
            <w:vAlign w:val="top"/>
          </w:tcPr>
          <w:p>
            <w:pPr>
              <w:pStyle w:val="TableText"/>
            </w:pPr>
            <w:r>
              <w:rPr>
                <w:b/>
              </w:rPr>
              <w:t xml:space="preserve">Log shipping</w:t>
            </w:r>
            <w:r>
              <w:rPr/>
              <w:t xml:space="preserve">, then a final log backup and recovery at cut-over</w:t>
            </w:r>
          </w:p>
        </w:tc>
      </w:tr>
      <w:tr>
        <w:trPr>
          <w:cantSplit/>
        </w:trPr>
        <w:tc>
          <w:tcPr>
            <w:tcW w:w="4760" w:type="dxa"/>
            <w:vAlign w:val="top"/>
          </w:tcPr>
          <w:p>
            <w:pPr>
              <w:pStyle w:val="TableText"/>
            </w:pPr>
            <w:r>
              <w:rPr/>
              <w:t xml:space="preserve">Many databases, logins and jobs on one instance</w:t>
            </w:r>
          </w:p>
        </w:tc>
        <w:tc>
          <w:tcPr>
            <w:tcW w:w="5320"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4760" w:type="dxa"/>
            <w:vAlign w:val="top"/>
          </w:tcPr>
          <w:p>
            <w:pPr>
              <w:pStyle w:val="TableText"/>
            </w:pPr>
            <w:r>
              <w:rPr/>
              <w:t xml:space="preserve">SQL 2000</w:t>
            </w:r>
          </w:p>
        </w:tc>
        <w:tc>
          <w:tcPr>
            <w:tcW w:w="5320" w:type="dxa"/>
            <w:vAlign w:val="top"/>
          </w:tcPr>
          <w:p>
            <w:pPr>
              <w:pStyle w:val="TableText"/>
            </w:pPr>
            <w:r>
              <w:rPr/>
              <w:t xml:space="preserve">Hop instance (5.1) and a full outage</w:t>
            </w:r>
          </w:p>
        </w:tc>
      </w:tr>
      <w:tr>
        <w:trPr>
          <w:cantSplit/>
        </w:trPr>
        <w:tc>
          <w:tcPr>
            <w:tcW w:w="4760" w:type="dxa"/>
            <w:vAlign w:val="top"/>
          </w:tcPr>
          <w:p>
            <w:pPr>
              <w:pStyle w:val="TableText"/>
            </w:pPr>
            <w:r>
              <w:rPr/>
              <w:t xml:space="preserve">The app can't move yet, but the OS must leave 2008 R2</w:t>
            </w:r>
          </w:p>
        </w:tc>
        <w:tc>
          <w:tcPr>
            <w:tcW w:w="5320"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047"/>
        <w:gridCol w:w="6033"/>
      </w:tblGrid>
      <w:tr>
        <w:trPr>
          <w:tblHeader/>
        </w:trPr>
        <w:tc>
          <w:tcPr>
            <w:tcW w:w="4047" w:type="dxa"/>
            <w:shd w:val="clear" w:color="auto" w:fill="1B4A78"/>
            <w:vAlign w:val="top"/>
          </w:tcPr>
          <w:p>
            <w:pPr>
              <w:pStyle w:val="TableText"/>
            </w:pPr>
            <w:r>
              <w:rPr>
                <w:b/>
                <w:color w:val="FFFFFF"/>
              </w:rPr>
              <w:t xml:space="preserve">Lab check (on Windows 2025)</w:t>
            </w:r>
          </w:p>
        </w:tc>
        <w:tc>
          <w:tcPr>
            <w:tcW w:w="6033" w:type="dxa"/>
            <w:shd w:val="clear" w:color="auto" w:fill="1B4A78"/>
            <w:vAlign w:val="top"/>
          </w:tcPr>
          <w:p>
            <w:pPr>
              <w:pStyle w:val="TableText"/>
            </w:pPr>
            <w:r>
              <w:rPr>
                <w:b/>
                <w:color w:val="FFFFFF"/>
              </w:rPr>
              <w:t xml:space="preserve">Result</w:t>
            </w:r>
          </w:p>
        </w:tc>
      </w:tr>
      <w:tr>
        <w:trPr>
          <w:cantSplit/>
        </w:trPr>
        <w:tc>
          <w:tcPr>
            <w:tcW w:w="4047" w:type="dxa"/>
            <w:vAlign w:val="top"/>
          </w:tcPr>
          <w:p>
            <w:pPr>
              <w:pStyle w:val="TableText"/>
            </w:pPr>
            <w:r>
              <w:rPr/>
              <w:t xml:space="preserve">SQL services, logins, databases after each OS hop</w:t>
            </w:r>
          </w:p>
        </w:tc>
        <w:tc>
          <w:tcPr>
            <w:tcW w:w="6033"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047" w:type="dxa"/>
            <w:vAlign w:val="top"/>
          </w:tcPr>
          <w:p>
            <w:pPr>
              <w:pStyle w:val="TableText"/>
            </w:pPr>
            <w:r>
              <w:rPr/>
              <w:t xml:space="preserve">Service stop / start</w:t>
            </w:r>
          </w:p>
        </w:tc>
        <w:tc>
          <w:tcPr>
            <w:tcW w:w="6033" w:type="dxa"/>
            <w:vAlign w:val="top"/>
          </w:tcPr>
          <w:p>
            <w:pPr>
              <w:pStyle w:val="TableText"/>
            </w:pPr>
            <w:r>
              <w:rPr/>
              <w:t xml:space="preserve">Stopped in about 3 s, restarted cleanly; app reconnected</w:t>
            </w:r>
          </w:p>
        </w:tc>
      </w:tr>
      <w:tr>
        <w:trPr>
          <w:cantSplit/>
        </w:trPr>
        <w:tc>
          <w:tcPr>
            <w:tcW w:w="4047"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6033"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047" w:type="dxa"/>
            <w:vAlign w:val="top"/>
          </w:tcPr>
          <w:p>
            <w:pPr>
              <w:pStyle w:val="TableText"/>
            </w:pPr>
            <w:r>
              <w:rPr/>
              <w:t xml:space="preserve">Disk full</w:t>
            </w:r>
          </w:p>
        </w:tc>
        <w:tc>
          <w:tcPr>
            <w:tcW w:w="6033" w:type="dxa"/>
            <w:vAlign w:val="top"/>
          </w:tcPr>
          <w:p>
            <w:pPr>
              <w:pStyle w:val="TableText"/>
            </w:pPr>
            <w:r>
              <w:rPr/>
              <w:t xml:space="preserve">Reads fine; writes failed with the correct errors (9002, 3202); full recovery</w:t>
            </w:r>
          </w:p>
        </w:tc>
      </w:tr>
      <w:tr>
        <w:trPr>
          <w:cantSplit/>
        </w:trPr>
        <w:tc>
          <w:tcPr>
            <w:tcW w:w="4047" w:type="dxa"/>
            <w:vAlign w:val="top"/>
          </w:tcPr>
          <w:p>
            <w:pPr>
              <w:pStyle w:val="TableText"/>
            </w:pPr>
            <w:r>
              <w:rPr/>
              <w:t xml:space="preserve">Memory pressure (to about 900 MB free)</w:t>
            </w:r>
          </w:p>
        </w:tc>
        <w:tc>
          <w:tcPr>
            <w:tcW w:w="6033" w:type="dxa"/>
            <w:vAlign w:val="top"/>
          </w:tcPr>
          <w:p>
            <w:pPr>
              <w:pStyle w:val="TableText"/>
            </w:pPr>
            <w:r>
              <w:rPr/>
              <w:t xml:space="preserve">Kept answering; full recovery</w:t>
            </w:r>
          </w:p>
        </w:tc>
      </w:tr>
      <w:tr>
        <w:trPr>
          <w:cantSplit/>
        </w:trPr>
        <w:tc>
          <w:tcPr>
            <w:tcW w:w="4047" w:type="dxa"/>
            <w:vAlign w:val="top"/>
          </w:tcPr>
          <w:p>
            <w:pPr>
              <w:pStyle w:val="TableText"/>
            </w:pPr>
            <w:r>
              <w:rPr>
                <w:b/>
              </w:rPr>
              <w:t xml:space="preserve">Weakness found</w:t>
            </w:r>
          </w:p>
        </w:tc>
        <w:tc>
          <w:tcPr>
            <w:tcW w:w="6033"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45"/>
        <w:gridCol w:w="3967"/>
        <w:gridCol w:w="3968"/>
      </w:tblGrid>
      <w:tr>
        <w:trPr>
          <w:tblHeader/>
        </w:trPr>
        <w:tc>
          <w:tcPr>
            <w:tcW w:w="2145" w:type="dxa"/>
            <w:shd w:val="clear" w:color="auto" w:fill="1B4A78"/>
            <w:vAlign w:val="top"/>
          </w:tcPr>
          <w:p>
            <w:pPr>
              <w:pStyle w:val="TableText"/>
            </w:pPr>
            <w:r>
              <w:rPr>
                <w:b/>
                <w:color w:val="FFFFFF"/>
              </w:rPr>
              <w:t xml:space="preserve">Form</w:t>
            </w:r>
          </w:p>
        </w:tc>
        <w:tc>
          <w:tcPr>
            <w:tcW w:w="3967" w:type="dxa"/>
            <w:shd w:val="clear" w:color="auto" w:fill="1B4A78"/>
            <w:vAlign w:val="top"/>
          </w:tcPr>
          <w:p>
            <w:pPr>
              <w:pStyle w:val="TableText"/>
            </w:pPr>
            <w:r>
              <w:rPr>
                <w:b/>
                <w:color w:val="FFFFFF"/>
              </w:rPr>
              <w:t xml:space="preserve">When</w:t>
            </w:r>
          </w:p>
        </w:tc>
        <w:tc>
          <w:tcPr>
            <w:tcW w:w="3968" w:type="dxa"/>
            <w:shd w:val="clear" w:color="auto" w:fill="1B4A78"/>
            <w:vAlign w:val="top"/>
          </w:tcPr>
          <w:p>
            <w:pPr>
              <w:pStyle w:val="TableText"/>
            </w:pPr>
            <w:r>
              <w:rPr>
                <w:b/>
                <w:color w:val="FFFFFF"/>
              </w:rPr>
              <w:t xml:space="preserve">What the DBA does</w:t>
            </w:r>
          </w:p>
        </w:tc>
      </w:tr>
      <w:tr>
        <w:trPr>
          <w:cantSplit/>
        </w:trPr>
        <w:tc>
          <w:tcPr>
            <w:tcW w:w="2145" w:type="dxa"/>
            <w:vAlign w:val="top"/>
          </w:tcPr>
          <w:p>
            <w:pPr>
              <w:pStyle w:val="TableText"/>
            </w:pPr>
            <w:r>
              <w:rPr>
                <w:b/>
              </w:rPr>
              <w:t xml:space="preserve">A. OS upgraded under SQL</w:t>
            </w:r>
          </w:p>
        </w:tc>
        <w:tc>
          <w:tcPr>
            <w:tcW w:w="3967"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3968" w:type="dxa"/>
            <w:vAlign w:val="top"/>
          </w:tcPr>
          <w:p>
            <w:pPr>
              <w:pStyle w:val="TableText"/>
            </w:pPr>
            <w:r>
              <w:rPr/>
              <w:t xml:space="preserve">Backups before, a quick SQL check after each hop; </w:t>
            </w:r>
            <w:r>
              <w:rPr>
                <w:b/>
              </w:rPr>
              <w:t xml:space="preserve">take over at the OS hand-off</w:t>
            </w:r>
          </w:p>
        </w:tc>
      </w:tr>
      <w:tr>
        <w:trPr>
          <w:cantSplit/>
        </w:trPr>
        <w:tc>
          <w:tcPr>
            <w:tcW w:w="2145" w:type="dxa"/>
            <w:vAlign w:val="top"/>
          </w:tcPr>
          <w:p>
            <w:pPr>
              <w:pStyle w:val="TableText"/>
            </w:pPr>
            <w:r>
              <w:rPr>
                <w:b/>
              </w:rPr>
              <w:t xml:space="preserve">B. SQL upgraded in place</w:t>
            </w:r>
          </w:p>
        </w:tc>
        <w:tc>
          <w:tcPr>
            <w:tcW w:w="3967"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3968" w:type="dxa"/>
            <w:vAlign w:val="top"/>
          </w:tcPr>
          <w:p>
            <w:pPr>
              <w:pStyle w:val="TableText"/>
            </w:pPr>
            <w:r>
              <w:rPr/>
              <w:t xml:space="preserve">Run SQL setup in upgrade mode</w:t>
            </w:r>
          </w:p>
        </w:tc>
      </w:tr>
      <w:tr>
        <w:trPr>
          <w:cantSplit/>
        </w:trPr>
        <w:tc>
          <w:tcPr>
            <w:tcW w:w="2145" w:type="dxa"/>
            <w:vAlign w:val="top"/>
          </w:tcPr>
          <w:p>
            <w:pPr>
              <w:pStyle w:val="TableText"/>
            </w:pPr>
            <w:r>
              <w:rPr>
                <w:b/>
              </w:rPr>
              <w:t xml:space="preserve">C. New instance on the same server</w:t>
            </w:r>
          </w:p>
        </w:tc>
        <w:tc>
          <w:tcPr>
            <w:tcW w:w="3967" w:type="dxa"/>
            <w:vAlign w:val="top"/>
          </w:tcPr>
          <w:p>
            <w:pPr>
              <w:pStyle w:val="TableText"/>
            </w:pPr>
            <w:r>
              <w:rPr/>
              <w:t xml:space="preserve">SQL can't be upgraded in place (</w:t>
            </w:r>
            <w:r>
              <w:rPr>
                <w:b/>
              </w:rPr>
              <w:t xml:space="preserve">SQL 2005, 2008, 2008 R2</w:t>
            </w:r>
            <w:r>
              <w:rPr/>
              <w:t xml:space="preserve">), but the server stays</w:t>
            </w:r>
          </w:p>
        </w:tc>
        <w:tc>
          <w:tcPr>
            <w:tcW w:w="3968"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60"/>
        <w:gridCol w:w="2750"/>
        <w:gridCol w:w="3132"/>
        <w:gridCol w:w="3038"/>
      </w:tblGrid>
      <w:tr>
        <w:trPr>
          <w:tblHeader/>
        </w:trPr>
        <w:tc>
          <w:tcPr>
            <w:tcW w:w="1160" w:type="dxa"/>
            <w:shd w:val="clear" w:color="auto" w:fill="1B4A78"/>
            <w:vAlign w:val="top"/>
          </w:tcPr>
          <w:p>
            <w:pPr>
              <w:pStyle w:val="TableText"/>
            </w:pPr>
            <w:r>
              <w:rPr>
                <w:b/>
                <w:color w:val="FFFFFF"/>
              </w:rPr>
              <w:t xml:space="preserve">#</w:t>
            </w:r>
          </w:p>
        </w:tc>
        <w:tc>
          <w:tcPr>
            <w:tcW w:w="2750" w:type="dxa"/>
            <w:shd w:val="clear" w:color="auto" w:fill="1B4A78"/>
            <w:vAlign w:val="top"/>
          </w:tcPr>
          <w:p>
            <w:pPr>
              <w:pStyle w:val="TableText"/>
            </w:pPr>
            <w:r>
              <w:rPr>
                <w:b/>
                <w:color w:val="FFFFFF"/>
              </w:rPr>
              <w:t xml:space="preserve">A. OS upgraded under SQL</w:t>
            </w:r>
          </w:p>
        </w:tc>
        <w:tc>
          <w:tcPr>
            <w:tcW w:w="3132" w:type="dxa"/>
            <w:shd w:val="clear" w:color="auto" w:fill="1B4A78"/>
            <w:vAlign w:val="top"/>
          </w:tcPr>
          <w:p>
            <w:pPr>
              <w:pStyle w:val="TableText"/>
            </w:pPr>
            <w:r>
              <w:rPr>
                <w:b/>
                <w:color w:val="FFFFFF"/>
              </w:rPr>
              <w:t xml:space="preserve">B. SQL upgraded in place</w:t>
            </w:r>
          </w:p>
        </w:tc>
        <w:tc>
          <w:tcPr>
            <w:tcW w:w="3038" w:type="dxa"/>
            <w:shd w:val="clear" w:color="auto" w:fill="1B4A78"/>
            <w:vAlign w:val="top"/>
          </w:tcPr>
          <w:p>
            <w:pPr>
              <w:pStyle w:val="TableText"/>
            </w:pPr>
            <w:r>
              <w:rPr>
                <w:b/>
                <w:color w:val="FFFFFF"/>
              </w:rPr>
              <w:t xml:space="preserve">C. New instance on the same server</w:t>
            </w:r>
          </w:p>
        </w:tc>
      </w:tr>
      <w:tr>
        <w:trPr>
          <w:cantSplit/>
        </w:trPr>
        <w:tc>
          <w:tcPr>
            <w:tcW w:w="1160" w:type="dxa"/>
            <w:vAlign w:val="top"/>
          </w:tcPr>
          <w:p>
            <w:pPr>
              <w:pStyle w:val="TableText"/>
            </w:pPr>
            <w:r>
              <w:rPr>
                <w:b/>
              </w:rPr>
              <w:t xml:space="preserve">1</w:t>
            </w:r>
          </w:p>
        </w:tc>
        <w:tc>
          <w:tcPr>
            <w:tcW w:w="2750" w:type="dxa"/>
            <w:vAlign w:val="top"/>
          </w:tcPr>
          <w:p>
            <w:pPr>
              <w:pStyle w:val="TableText"/>
            </w:pPr>
            <w:r>
              <w:rPr/>
              <w:t xml:space="preserve">Full backups of </w:t>
            </w:r>
            <w:r>
              <w:rPr>
                <w:b/>
              </w:rPr>
              <w:t xml:space="preserve">all</w:t>
            </w:r>
            <w:r>
              <w:rPr/>
              <w:t xml:space="preserve"> databases, system databases included; script logins and jobs</w:t>
            </w:r>
          </w:p>
        </w:tc>
        <w:tc>
          <w:tcPr>
            <w:tcW w:w="3132" w:type="dxa"/>
            <w:vAlign w:val="top"/>
          </w:tcPr>
          <w:p>
            <w:pPr>
              <w:pStyle w:val="TableText"/>
            </w:pPr>
            <w:r>
              <w:rPr/>
              <w:t xml:space="preserve">Full backups; check the prerequisites: no pending restart, Agent account in sysadmin, supported edition path</w:t>
            </w:r>
          </w:p>
        </w:tc>
        <w:tc>
          <w:tcPr>
            <w:tcW w:w="3038" w:type="dxa"/>
            <w:vAlign w:val="top"/>
          </w:tcPr>
          <w:p>
            <w:pPr>
              <w:pStyle w:val="TableText"/>
            </w:pPr>
            <w:r>
              <w:rPr/>
              <w:t xml:space="preserve">Full backups; script logins (with SIDs), jobs, linked servers</w:t>
            </w:r>
          </w:p>
        </w:tc>
      </w:tr>
      <w:tr>
        <w:trPr>
          <w:cantSplit/>
        </w:trPr>
        <w:tc>
          <w:tcPr>
            <w:tcW w:w="1160" w:type="dxa"/>
            <w:vAlign w:val="top"/>
          </w:tcPr>
          <w:p>
            <w:pPr>
              <w:pStyle w:val="TableText"/>
            </w:pPr>
            <w:r>
              <w:rPr>
                <w:b/>
              </w:rPr>
              <w:t xml:space="preserve">2</w:t>
            </w:r>
          </w:p>
        </w:tc>
        <w:tc>
          <w:tcPr>
            <w:tcW w:w="2750" w:type="dxa"/>
            <w:vAlign w:val="top"/>
          </w:tcPr>
          <w:p>
            <w:pPr>
              <w:pStyle w:val="TableText"/>
            </w:pPr>
            <w:r>
              <w:rPr/>
              <w:t xml:space="preserve">Note the baseline: version, databases, logins, jobs, row counts of key tables</w:t>
            </w:r>
          </w:p>
        </w:tc>
        <w:tc>
          <w:tcPr>
            <w:tcW w:w="3132" w:type="dxa"/>
            <w:vAlign w:val="top"/>
          </w:tcPr>
          <w:p>
            <w:pPr>
              <w:pStyle w:val="TableText"/>
            </w:pPr>
            <w:r>
              <w:rPr/>
              <w:t xml:space="preserve">Run </w:t>
            </w:r>
            <w:r>
              <w:rPr>
                <w:b/>
              </w:rPr>
              <w:t xml:space="preserve">Data Migration Assistant</w:t>
            </w:r>
            <w:r>
              <w:rPr/>
              <w:t xml:space="preserve"> from the admin workstation for breaking changes</w:t>
            </w:r>
          </w:p>
        </w:tc>
        <w:tc>
          <w:tcPr>
            <w:tcW w:w="3038" w:type="dxa"/>
            <w:vAlign w:val="top"/>
          </w:tcPr>
          <w:p>
            <w:pPr>
              <w:pStyle w:val="TableText"/>
            </w:pPr>
            <w:r>
              <w:rPr/>
              <w:t xml:space="preserve">Install the new instance (named, or default after the old one is removed); standard configuration</w:t>
            </w:r>
          </w:p>
        </w:tc>
      </w:tr>
      <w:tr>
        <w:trPr>
          <w:cantSplit/>
        </w:trPr>
        <w:tc>
          <w:tcPr>
            <w:tcW w:w="1160" w:type="dxa"/>
            <w:vAlign w:val="top"/>
          </w:tcPr>
          <w:p>
            <w:pPr>
              <w:pStyle w:val="TableText"/>
            </w:pPr>
            <w:r>
              <w:rPr>
                <w:b/>
              </w:rPr>
              <w:t xml:space="preserve">3</w:t>
            </w:r>
          </w:p>
        </w:tc>
        <w:tc>
          <w:tcPr>
            <w:tcW w:w="2750" w:type="dxa"/>
            <w:vAlign w:val="top"/>
          </w:tcPr>
          <w:p>
            <w:pPr>
              <w:pStyle w:val="TableText"/>
            </w:pPr>
            <w:r>
              <w:rPr/>
              <w:t xml:space="preserve">The sysadmin runs the OS hop</w:t>
            </w:r>
          </w:p>
        </w:tc>
        <w:tc>
          <w:tcPr>
            <w:tcW w:w="3132" w:type="dxa"/>
            <w:vAlign w:val="top"/>
          </w:tcPr>
          <w:p>
            <w:pPr>
              <w:pStyle w:val="TableText"/>
            </w:pPr>
            <w:r>
              <w:rPr/>
              <w:t xml:space="preserve">Run SQL </w:t>
            </w:r>
            <w:r>
              <w:rPr>
                <w:b/>
              </w:rPr>
              <w:t xml:space="preserve">setup in upgrade mode</w:t>
            </w:r>
          </w:p>
        </w:tc>
        <w:tc>
          <w:tcPr>
            <w:tcW w:w="3038" w:type="dxa"/>
            <w:vAlign w:val="top"/>
          </w:tcPr>
          <w:p>
            <w:pPr>
              <w:pStyle w:val="TableText"/>
            </w:pPr>
            <w:r>
              <w:rPr/>
              <w:t xml:space="preserve">Restore the databases; recreate logins, jobs and linked servers (dbatools)</w:t>
            </w:r>
          </w:p>
        </w:tc>
      </w:tr>
      <w:tr>
        <w:trPr>
          <w:cantSplit/>
        </w:trPr>
        <w:tc>
          <w:tcPr>
            <w:tcW w:w="1160" w:type="dxa"/>
            <w:vAlign w:val="top"/>
          </w:tcPr>
          <w:p>
            <w:pPr>
              <w:pStyle w:val="TableText"/>
            </w:pPr>
            <w:r>
              <w:rPr>
                <w:b/>
              </w:rPr>
              <w:t xml:space="preserve">4</w:t>
            </w:r>
          </w:p>
        </w:tc>
        <w:tc>
          <w:tcPr>
            <w:tcW w:w="2750"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132"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038"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1160" w:type="dxa"/>
            <w:vAlign w:val="top"/>
          </w:tcPr>
          <w:p>
            <w:pPr>
              <w:pStyle w:val="TableText"/>
            </w:pPr>
            <w:r>
              <w:rPr>
                <w:b/>
              </w:rPr>
              <w:t xml:space="preserve">5</w:t>
            </w:r>
          </w:p>
        </w:tc>
        <w:tc>
          <w:tcPr>
            <w:tcW w:w="2750"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132"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038" w:type="dxa"/>
            <w:vAlign w:val="top"/>
          </w:tcPr>
          <w:p>
            <w:pPr>
              <w:pStyle w:val="TableText"/>
            </w:pPr>
            <w:r>
              <w:rPr/>
              <w:t xml:space="preserve">Old instance stopped and kept as the rollback until Gate 3, then uninstalled</w:t>
            </w:r>
          </w:p>
        </w:tc>
      </w:tr>
      <w:tr>
        <w:trPr>
          <w:cantSplit/>
        </w:trPr>
        <w:tc>
          <w:tcPr>
            <w:tcW w:w="1160" w:type="dxa"/>
            <w:vAlign w:val="top"/>
          </w:tcPr>
          <w:p>
            <w:pPr>
              <w:pStyle w:val="TableText"/>
            </w:pPr>
            <w:r>
              <w:rPr>
                <w:b/>
              </w:rPr>
              <w:t xml:space="preserve">Rollback</w:t>
            </w:r>
          </w:p>
        </w:tc>
        <w:tc>
          <w:tcPr>
            <w:tcW w:w="2750" w:type="dxa"/>
            <w:vAlign w:val="top"/>
          </w:tcPr>
          <w:p>
            <w:pPr>
              <w:pStyle w:val="TableText"/>
            </w:pPr>
            <w:r>
              <w:rPr/>
              <w:t xml:space="preserve">VM snapshot before the hop</w:t>
            </w:r>
          </w:p>
        </w:tc>
        <w:tc>
          <w:tcPr>
            <w:tcW w:w="3132" w:type="dxa"/>
            <w:vAlign w:val="top"/>
          </w:tcPr>
          <w:p>
            <w:pPr>
              <w:pStyle w:val="TableText"/>
            </w:pPr>
            <w:r>
              <w:rPr>
                <w:b/>
              </w:rPr>
              <w:t xml:space="preserve">VM snapshot</w:t>
            </w:r>
            <w:r>
              <w:rPr/>
              <w:t xml:space="preserve">; an in-place SQL upgrade can't be undone otherwise</w:t>
            </w:r>
          </w:p>
        </w:tc>
        <w:tc>
          <w:tcPr>
            <w:tcW w:w="3038"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3"/>
        <w:gridCol w:w="5907"/>
      </w:tblGrid>
      <w:tr>
        <w:trPr>
          <w:tblHeader/>
        </w:trPr>
        <w:tc>
          <w:tcPr>
            <w:tcW w:w="4173" w:type="dxa"/>
            <w:shd w:val="clear" w:color="auto" w:fill="1B4A78"/>
            <w:vAlign w:val="top"/>
          </w:tcPr>
          <w:p>
            <w:pPr>
              <w:pStyle w:val="TableText"/>
            </w:pPr>
            <w:r>
              <w:rPr>
                <w:b/>
                <w:color w:val="FFFFFF"/>
              </w:rPr>
              <w:t xml:space="preserve">Check</w:t>
            </w:r>
          </w:p>
        </w:tc>
        <w:tc>
          <w:tcPr>
            <w:tcW w:w="5907" w:type="dxa"/>
            <w:shd w:val="clear" w:color="auto" w:fill="1B4A78"/>
            <w:vAlign w:val="top"/>
          </w:tcPr>
          <w:p>
            <w:pPr>
              <w:pStyle w:val="TableText"/>
            </w:pPr>
            <w:r>
              <w:rPr>
                <w:b/>
                <w:color w:val="FFFFFF"/>
              </w:rPr>
              <w:t xml:space="preserve">"Not used" looks like</w:t>
            </w:r>
          </w:p>
        </w:tc>
      </w:tr>
      <w:tr>
        <w:trPr>
          <w:cantSplit/>
        </w:trPr>
        <w:tc>
          <w:tcPr>
            <w:tcW w:w="4173" w:type="dxa"/>
            <w:vAlign w:val="top"/>
          </w:tcPr>
          <w:p>
            <w:pPr>
              <w:pStyle w:val="TableText"/>
            </w:pPr>
            <w:r>
              <w:rPr/>
              <w:t xml:space="preserve">Connection capture during the Discovery week</w:t>
            </w:r>
          </w:p>
        </w:tc>
        <w:tc>
          <w:tcPr>
            <w:tcW w:w="5907" w:type="dxa"/>
            <w:vAlign w:val="top"/>
          </w:tcPr>
          <w:p>
            <w:pPr>
              <w:pStyle w:val="TableText"/>
            </w:pPr>
            <w:r>
              <w:rPr>
                <w:b/>
              </w:rPr>
              <w:t xml:space="preserve">No user connections</w:t>
            </w:r>
            <w:r>
              <w:rPr/>
              <w:t xml:space="preserve"> to the database, apart from maintenance and backup</w:t>
            </w:r>
          </w:p>
        </w:tc>
      </w:tr>
      <w:tr>
        <w:trPr>
          <w:cantSplit/>
        </w:trPr>
        <w:tc>
          <w:tcPr>
            <w:tcW w:w="4173"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5907"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4173" w:type="dxa"/>
            <w:vAlign w:val="top"/>
          </w:tcPr>
          <w:p>
            <w:pPr>
              <w:pStyle w:val="TableText"/>
            </w:pPr>
            <w:r>
              <w:rPr/>
              <w:t xml:space="preserve">Login auditing / error log</w:t>
            </w:r>
          </w:p>
        </w:tc>
        <w:tc>
          <w:tcPr>
            <w:tcW w:w="5907" w:type="dxa"/>
            <w:vAlign w:val="top"/>
          </w:tcPr>
          <w:p>
            <w:pPr>
              <w:pStyle w:val="TableText"/>
            </w:pPr>
            <w:r>
              <w:rPr/>
              <w:t xml:space="preserve">No successful logins by application accounts</w:t>
            </w:r>
          </w:p>
        </w:tc>
      </w:tr>
      <w:tr>
        <w:trPr>
          <w:cantSplit/>
        </w:trPr>
        <w:tc>
          <w:tcPr>
            <w:tcW w:w="4173" w:type="dxa"/>
            <w:vAlign w:val="top"/>
          </w:tcPr>
          <w:p>
            <w:pPr>
              <w:pStyle w:val="TableText"/>
            </w:pPr>
            <w:r>
              <w:rPr/>
              <w:t xml:space="preserve">Agent jobs</w:t>
            </w:r>
          </w:p>
        </w:tc>
        <w:tc>
          <w:tcPr>
            <w:tcW w:w="5907" w:type="dxa"/>
            <w:vAlign w:val="top"/>
          </w:tcPr>
          <w:p>
            <w:pPr>
              <w:pStyle w:val="TableText"/>
            </w:pPr>
            <w:r>
              <w:rPr/>
              <w:t xml:space="preserve">Only maintenance jobs touch it; no business jobs, or their output isn't used</w:t>
            </w:r>
          </w:p>
        </w:tc>
      </w:tr>
      <w:tr>
        <w:trPr>
          <w:cantSplit/>
        </w:trPr>
        <w:tc>
          <w:tcPr>
            <w:tcW w:w="4173" w:type="dxa"/>
            <w:vAlign w:val="top"/>
          </w:tcPr>
          <w:p>
            <w:pPr>
              <w:pStyle w:val="TableText"/>
            </w:pPr>
            <w:r>
              <w:rPr/>
              <w:t xml:space="preserve">Linked servers and cross-database queries</w:t>
            </w:r>
          </w:p>
        </w:tc>
        <w:tc>
          <w:tcPr>
            <w:tcW w:w="5907"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4173" w:type="dxa"/>
            <w:vAlign w:val="top"/>
          </w:tcPr>
          <w:p>
            <w:pPr>
              <w:pStyle w:val="TableText"/>
            </w:pPr>
            <w:r>
              <w:rPr/>
              <w:t xml:space="preserve">SSRS / SSIS</w:t>
            </w:r>
          </w:p>
        </w:tc>
        <w:tc>
          <w:tcPr>
            <w:tcW w:w="5907" w:type="dxa"/>
            <w:vAlign w:val="top"/>
          </w:tcPr>
          <w:p>
            <w:pPr>
              <w:pStyle w:val="TableText"/>
            </w:pPr>
            <w:r>
              <w:rPr/>
              <w:t xml:space="preserve">No reports or packages use it as a data source</w:t>
            </w:r>
          </w:p>
        </w:tc>
      </w:tr>
      <w:tr>
        <w:trPr>
          <w:cantSplit/>
        </w:trPr>
        <w:tc>
          <w:tcPr>
            <w:tcW w:w="4173" w:type="dxa"/>
            <w:vAlign w:val="top"/>
          </w:tcPr>
          <w:p>
            <w:pPr>
              <w:pStyle w:val="TableText"/>
            </w:pPr>
            <w:r>
              <w:rPr/>
              <w:t xml:space="preserve">Size and last write</w:t>
            </w:r>
          </w:p>
        </w:tc>
        <w:tc>
          <w:tcPr>
            <w:tcW w:w="5907"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1"/>
        <w:gridCol w:w="4121"/>
        <w:gridCol w:w="4358"/>
      </w:tblGrid>
      <w:tr>
        <w:trPr>
          <w:tblHeader/>
        </w:trPr>
        <w:tc>
          <w:tcPr>
            <w:tcW w:w="1601" w:type="dxa"/>
            <w:shd w:val="clear" w:color="auto" w:fill="1B4A78"/>
            <w:vAlign w:val="top"/>
          </w:tcPr>
          <w:p>
            <w:pPr>
              <w:pStyle w:val="TableText"/>
            </w:pPr>
            <w:r>
              <w:rPr>
                <w:b/>
                <w:color w:val="FFFFFF"/>
              </w:rPr>
              <w:t xml:space="preserve">Kind</w:t>
            </w:r>
          </w:p>
        </w:tc>
        <w:tc>
          <w:tcPr>
            <w:tcW w:w="4121" w:type="dxa"/>
            <w:shd w:val="clear" w:color="auto" w:fill="1B4A78"/>
            <w:vAlign w:val="top"/>
          </w:tcPr>
          <w:p>
            <w:pPr>
              <w:pStyle w:val="TableText"/>
            </w:pPr>
            <w:r>
              <w:rPr>
                <w:b/>
                <w:color w:val="FFFFFF"/>
              </w:rPr>
              <w:t xml:space="preserve">Examples</w:t>
            </w:r>
          </w:p>
        </w:tc>
        <w:tc>
          <w:tcPr>
            <w:tcW w:w="4358" w:type="dxa"/>
            <w:shd w:val="clear" w:color="auto" w:fill="1B4A78"/>
            <w:vAlign w:val="top"/>
          </w:tcPr>
          <w:p>
            <w:pPr>
              <w:pStyle w:val="TableText"/>
            </w:pPr>
            <w:r>
              <w:rPr>
                <w:b/>
                <w:color w:val="FFFFFF"/>
              </w:rPr>
              <w:t xml:space="preserve">Why it matters</w:t>
            </w:r>
          </w:p>
        </w:tc>
      </w:tr>
      <w:tr>
        <w:trPr>
          <w:cantSplit/>
        </w:trPr>
        <w:tc>
          <w:tcPr>
            <w:tcW w:w="1601" w:type="dxa"/>
            <w:vAlign w:val="top"/>
          </w:tcPr>
          <w:p>
            <w:pPr>
              <w:pStyle w:val="TableText"/>
            </w:pPr>
            <w:r>
              <w:rPr>
                <w:b/>
              </w:rPr>
              <w:t xml:space="preserve">Logins</w:t>
            </w:r>
          </w:p>
        </w:tc>
        <w:tc>
          <w:tcPr>
            <w:tcW w:w="4121" w:type="dxa"/>
            <w:vAlign w:val="top"/>
          </w:tcPr>
          <w:p>
            <w:pPr>
              <w:pStyle w:val="TableText"/>
            </w:pPr>
            <w:r>
              <w:rPr/>
              <w:t xml:space="preserve">Successful and failed logins: login name, client host, application, time</w:t>
            </w:r>
          </w:p>
        </w:tc>
        <w:tc>
          <w:tcPr>
            <w:tcW w:w="4358"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601" w:type="dxa"/>
            <w:vAlign w:val="top"/>
          </w:tcPr>
          <w:p>
            <w:pPr>
              <w:pStyle w:val="TableText"/>
            </w:pPr>
            <w:r>
              <w:rPr>
                <w:b/>
              </w:rPr>
              <w:t xml:space="preserve">Security changes</w:t>
            </w:r>
          </w:p>
        </w:tc>
        <w:tc>
          <w:tcPr>
            <w:tcW w:w="4121"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358" w:type="dxa"/>
            <w:vAlign w:val="top"/>
          </w:tcPr>
          <w:p>
            <w:pPr>
              <w:pStyle w:val="TableText"/>
            </w:pPr>
            <w:r>
              <w:rPr/>
              <w:t xml:space="preserve">Privilege escalation; Cyber and audit requirements</w:t>
            </w:r>
          </w:p>
        </w:tc>
      </w:tr>
      <w:tr>
        <w:trPr>
          <w:cantSplit/>
        </w:trPr>
        <w:tc>
          <w:tcPr>
            <w:tcW w:w="1601" w:type="dxa"/>
            <w:vAlign w:val="top"/>
          </w:tcPr>
          <w:p>
            <w:pPr>
              <w:pStyle w:val="TableText"/>
            </w:pPr>
            <w:r>
              <w:rPr>
                <w:b/>
              </w:rPr>
              <w:t xml:space="preserve">Schema changes (DDL)</w:t>
            </w:r>
          </w:p>
        </w:tc>
        <w:tc>
          <w:tcPr>
            <w:tcW w:w="4121"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358" w:type="dxa"/>
            <w:vAlign w:val="top"/>
          </w:tcPr>
          <w:p>
            <w:pPr>
              <w:pStyle w:val="TableText"/>
            </w:pPr>
            <w:r>
              <w:rPr/>
              <w:t xml:space="preserve">Unplanned changes; troubleshooting after a release</w:t>
            </w:r>
          </w:p>
        </w:tc>
      </w:tr>
      <w:tr>
        <w:trPr>
          <w:cantSplit/>
        </w:trPr>
        <w:tc>
          <w:tcPr>
            <w:tcW w:w="1601" w:type="dxa"/>
            <w:vAlign w:val="top"/>
          </w:tcPr>
          <w:p>
            <w:pPr>
              <w:pStyle w:val="TableText"/>
            </w:pPr>
            <w:r>
              <w:rPr>
                <w:b/>
              </w:rPr>
              <w:t xml:space="preserve">Data access (DML)</w:t>
            </w:r>
          </w:p>
        </w:tc>
        <w:tc>
          <w:tcPr>
            <w:tcW w:w="4121"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358"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85"/>
        <w:gridCol w:w="3598"/>
        <w:gridCol w:w="4897"/>
      </w:tblGrid>
      <w:tr>
        <w:trPr>
          <w:tblHeader/>
        </w:trPr>
        <w:tc>
          <w:tcPr>
            <w:tcW w:w="1585" w:type="dxa"/>
            <w:shd w:val="clear" w:color="auto" w:fill="1B4A78"/>
            <w:vAlign w:val="top"/>
          </w:tcPr>
          <w:p>
            <w:pPr>
              <w:pStyle w:val="TableText"/>
            </w:pPr>
            <w:r>
              <w:rPr>
                <w:b/>
                <w:color w:val="FFFFFF"/>
              </w:rPr>
              <w:t xml:space="preserve">Version</w:t>
            </w:r>
          </w:p>
        </w:tc>
        <w:tc>
          <w:tcPr>
            <w:tcW w:w="3598" w:type="dxa"/>
            <w:shd w:val="clear" w:color="auto" w:fill="1B4A78"/>
            <w:vAlign w:val="top"/>
          </w:tcPr>
          <w:p>
            <w:pPr>
              <w:pStyle w:val="TableText"/>
            </w:pPr>
            <w:r>
              <w:rPr>
                <w:b/>
                <w:color w:val="FFFFFF"/>
              </w:rPr>
              <w:t xml:space="preserve">Native </w:t>
            </w:r>
            <w:r>
              <w:rPr>
                <w:b/>
                <w:color w:val="FFFFFF"/>
              </w:rPr>
              <w:t xml:space="preserve">SQL Server Audit</w:t>
            </w:r>
          </w:p>
        </w:tc>
        <w:tc>
          <w:tcPr>
            <w:tcW w:w="4897" w:type="dxa"/>
            <w:shd w:val="clear" w:color="auto" w:fill="1B4A78"/>
            <w:vAlign w:val="top"/>
          </w:tcPr>
          <w:p>
            <w:pPr>
              <w:pStyle w:val="TableText"/>
            </w:pPr>
            <w:r>
              <w:rPr>
                <w:b/>
                <w:color w:val="FFFFFF"/>
              </w:rPr>
              <w:t xml:space="preserve">Other built-in options</w:t>
            </w:r>
          </w:p>
        </w:tc>
      </w:tr>
      <w:tr>
        <w:trPr>
          <w:cantSplit/>
        </w:trPr>
        <w:tc>
          <w:tcPr>
            <w:tcW w:w="1585" w:type="dxa"/>
            <w:vAlign w:val="top"/>
          </w:tcPr>
          <w:p>
            <w:pPr>
              <w:pStyle w:val="TableText"/>
            </w:pPr>
            <w:r>
              <w:rPr>
                <w:b/>
              </w:rPr>
              <w:t xml:space="preserve">SQL 2000</w:t>
            </w:r>
          </w:p>
        </w:tc>
        <w:tc>
          <w:tcPr>
            <w:tcW w:w="3598" w:type="dxa"/>
            <w:vAlign w:val="top"/>
          </w:tcPr>
          <w:p>
            <w:pPr>
              <w:pStyle w:val="TableText"/>
            </w:pPr>
            <w:r>
              <w:rPr>
                <w:b/>
              </w:rPr>
              <w:t xml:space="preserve">None</w:t>
            </w:r>
          </w:p>
        </w:tc>
        <w:tc>
          <w:tcPr>
            <w:tcW w:w="4897" w:type="dxa"/>
            <w:vAlign w:val="top"/>
          </w:tcPr>
          <w:p>
            <w:pPr>
              <w:pStyle w:val="TableText"/>
            </w:pPr>
            <w:r>
              <w:rPr/>
              <w:t xml:space="preserve">SQL Trace (server-side), C2 audit mode, login auditing to the error log, DML triggers</w:t>
            </w:r>
          </w:p>
        </w:tc>
      </w:tr>
      <w:tr>
        <w:trPr>
          <w:cantSplit/>
        </w:trPr>
        <w:tc>
          <w:tcPr>
            <w:tcW w:w="1585" w:type="dxa"/>
            <w:vAlign w:val="top"/>
          </w:tcPr>
          <w:p>
            <w:pPr>
              <w:pStyle w:val="TableText"/>
            </w:pPr>
            <w:r>
              <w:rPr>
                <w:b/>
              </w:rPr>
              <w:t xml:space="preserve">SQL 2005</w:t>
            </w:r>
          </w:p>
        </w:tc>
        <w:tc>
          <w:tcPr>
            <w:tcW w:w="3598" w:type="dxa"/>
            <w:vAlign w:val="top"/>
          </w:tcPr>
          <w:p>
            <w:pPr>
              <w:pStyle w:val="TableText"/>
            </w:pPr>
            <w:r>
              <w:rPr>
                <w:b/>
              </w:rPr>
              <w:t xml:space="preserve">None</w:t>
            </w:r>
          </w:p>
        </w:tc>
        <w:tc>
          <w:tcPr>
            <w:tcW w:w="4897"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585" w:type="dxa"/>
            <w:vAlign w:val="top"/>
          </w:tcPr>
          <w:p>
            <w:pPr>
              <w:pStyle w:val="TableText"/>
            </w:pPr>
            <w:r>
              <w:rPr>
                <w:b/>
              </w:rPr>
              <w:t xml:space="preserve">SQL 2008 / 2008 R2</w:t>
            </w:r>
          </w:p>
        </w:tc>
        <w:tc>
          <w:tcPr>
            <w:tcW w:w="3598" w:type="dxa"/>
            <w:vAlign w:val="top"/>
          </w:tcPr>
          <w:p>
            <w:pPr>
              <w:pStyle w:val="TableText"/>
            </w:pPr>
            <w:r>
              <w:rPr>
                <w:b/>
              </w:rPr>
              <w:t xml:space="preserve">Enterprise only</w:t>
            </w:r>
            <w:r>
              <w:rPr/>
              <w:t xml:space="preserve"> (server and database level)</w:t>
            </w:r>
          </w:p>
        </w:tc>
        <w:tc>
          <w:tcPr>
            <w:tcW w:w="4897" w:type="dxa"/>
            <w:vAlign w:val="top"/>
          </w:tcPr>
          <w:p>
            <w:pPr>
              <w:pStyle w:val="TableText"/>
            </w:pPr>
            <w:r>
              <w:rPr/>
              <w:t xml:space="preserve">Standard edition: the 2005 options, plus Extended Events</w:t>
            </w:r>
          </w:p>
        </w:tc>
      </w:tr>
      <w:tr>
        <w:trPr>
          <w:cantSplit/>
        </w:trPr>
        <w:tc>
          <w:tcPr>
            <w:tcW w:w="1585" w:type="dxa"/>
            <w:vAlign w:val="top"/>
          </w:tcPr>
          <w:p>
            <w:pPr>
              <w:pStyle w:val="TableText"/>
            </w:pPr>
            <w:r>
              <w:rPr>
                <w:b/>
              </w:rPr>
              <w:t xml:space="preserve">SQL 2012 / 2014</w:t>
            </w:r>
          </w:p>
        </w:tc>
        <w:tc>
          <w:tcPr>
            <w:tcW w:w="3598" w:type="dxa"/>
            <w:vAlign w:val="top"/>
          </w:tcPr>
          <w:p>
            <w:pPr>
              <w:pStyle w:val="TableText"/>
            </w:pPr>
            <w:r>
              <w:rPr>
                <w:b/>
              </w:rPr>
              <w:t xml:space="preserve">Server level: all editions.</w:t>
            </w:r>
            <w:r>
              <w:rPr/>
              <w:t xml:space="preserve"> Database level: Enterprise only</w:t>
            </w:r>
          </w:p>
        </w:tc>
        <w:tc>
          <w:tcPr>
            <w:tcW w:w="4897" w:type="dxa"/>
            <w:vAlign w:val="top"/>
          </w:tcPr>
          <w:p>
            <w:pPr>
              <w:pStyle w:val="TableText"/>
            </w:pPr>
            <w:r>
              <w:rPr/>
              <w:t xml:space="preserve">Audit filtering, user-defined audit events, Extended Events</w:t>
            </w:r>
          </w:p>
        </w:tc>
      </w:tr>
      <w:tr>
        <w:trPr>
          <w:cantSplit/>
        </w:trPr>
        <w:tc>
          <w:tcPr>
            <w:tcW w:w="1585" w:type="dxa"/>
            <w:vAlign w:val="top"/>
          </w:tcPr>
          <w:p>
            <w:pPr>
              <w:pStyle w:val="TableText"/>
            </w:pPr>
            <w:r>
              <w:rPr>
                <w:b/>
              </w:rPr>
              <w:t xml:space="preserve">SQL 2016 SP1 – 2025</w:t>
            </w:r>
          </w:p>
        </w:tc>
        <w:tc>
          <w:tcPr>
            <w:tcW w:w="3598" w:type="dxa"/>
            <w:vAlign w:val="top"/>
          </w:tcPr>
          <w:p>
            <w:pPr>
              <w:pStyle w:val="TableText"/>
            </w:pPr>
            <w:r>
              <w:rPr>
                <w:b/>
              </w:rPr>
              <w:t xml:space="preserve">Server and database level: all editions</w:t>
            </w:r>
          </w:p>
        </w:tc>
        <w:tc>
          <w:tcPr>
            <w:tcW w:w="4897"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78"/>
        <w:gridCol w:w="1464"/>
        <w:gridCol w:w="3305"/>
        <w:gridCol w:w="3033"/>
      </w:tblGrid>
      <w:tr>
        <w:trPr>
          <w:tblHeader/>
        </w:trPr>
        <w:tc>
          <w:tcPr>
            <w:tcW w:w="2278" w:type="dxa"/>
            <w:shd w:val="clear" w:color="auto" w:fill="1B4A78"/>
            <w:vAlign w:val="top"/>
          </w:tcPr>
          <w:p>
            <w:pPr>
              <w:pStyle w:val="TableText"/>
            </w:pPr>
            <w:r>
              <w:rPr>
                <w:b/>
                <w:color w:val="FFFFFF"/>
              </w:rPr>
              <w:t xml:space="preserve">Option</w:t>
            </w:r>
          </w:p>
        </w:tc>
        <w:tc>
          <w:tcPr>
            <w:tcW w:w="1464" w:type="dxa"/>
            <w:shd w:val="clear" w:color="auto" w:fill="1B4A78"/>
            <w:vAlign w:val="top"/>
          </w:tcPr>
          <w:p>
            <w:pPr>
              <w:pStyle w:val="TableText"/>
            </w:pPr>
            <w:r>
              <w:rPr>
                <w:b/>
                <w:color w:val="FFFFFF"/>
              </w:rPr>
              <w:t xml:space="preserve">Versions</w:t>
            </w:r>
          </w:p>
        </w:tc>
        <w:tc>
          <w:tcPr>
            <w:tcW w:w="3305" w:type="dxa"/>
            <w:shd w:val="clear" w:color="auto" w:fill="1B4A78"/>
            <w:vAlign w:val="top"/>
          </w:tcPr>
          <w:p>
            <w:pPr>
              <w:pStyle w:val="TableText"/>
            </w:pPr>
            <w:r>
              <w:rPr>
                <w:b/>
                <w:color w:val="FFFFFF"/>
              </w:rPr>
              <w:t xml:space="preserve">Covers</w:t>
            </w:r>
          </w:p>
        </w:tc>
        <w:tc>
          <w:tcPr>
            <w:tcW w:w="3033" w:type="dxa"/>
            <w:shd w:val="clear" w:color="auto" w:fill="1B4A78"/>
            <w:vAlign w:val="top"/>
          </w:tcPr>
          <w:p>
            <w:pPr>
              <w:pStyle w:val="TableText"/>
            </w:pPr>
            <w:r>
              <w:rPr>
                <w:b/>
                <w:color w:val="FFFFFF"/>
              </w:rPr>
              <w:t xml:space="preserve">Cost and risks</w:t>
            </w:r>
          </w:p>
        </w:tc>
      </w:tr>
      <w:tr>
        <w:trPr>
          <w:cantSplit/>
        </w:trPr>
        <w:tc>
          <w:tcPr>
            <w:tcW w:w="2278" w:type="dxa"/>
            <w:vAlign w:val="top"/>
          </w:tcPr>
          <w:p>
            <w:pPr>
              <w:pStyle w:val="TableText"/>
            </w:pPr>
            <w:r>
              <w:rPr>
                <w:b/>
              </w:rPr>
              <w:t xml:space="preserve">1. Login auditing to the error log</w:t>
            </w:r>
          </w:p>
        </w:tc>
        <w:tc>
          <w:tcPr>
            <w:tcW w:w="1464" w:type="dxa"/>
            <w:vAlign w:val="top"/>
          </w:tcPr>
          <w:p>
            <w:pPr>
              <w:pStyle w:val="TableText"/>
            </w:pPr>
            <w:r>
              <w:rPr/>
              <w:t xml:space="preserve">2000+</w:t>
            </w:r>
          </w:p>
        </w:tc>
        <w:tc>
          <w:tcPr>
            <w:tcW w:w="3305" w:type="dxa"/>
            <w:vAlign w:val="top"/>
          </w:tcPr>
          <w:p>
            <w:pPr>
              <w:pStyle w:val="TableText"/>
            </w:pPr>
            <w:r>
              <w:rPr/>
              <w:t xml:space="preserve">Successful and failed logins</w:t>
            </w:r>
          </w:p>
        </w:tc>
        <w:tc>
          <w:tcPr>
            <w:tcW w:w="3033" w:type="dxa"/>
            <w:vAlign w:val="top"/>
          </w:tcPr>
          <w:p>
            <w:pPr>
              <w:pStyle w:val="TableText"/>
            </w:pPr>
            <w:r>
              <w:rPr/>
              <w:t xml:space="preserve">Very low. The error log grows: </w:t>
            </w:r>
            <w:r>
              <w:rPr>
                <w:b/>
              </w:rPr>
              <w:t xml:space="preserve">recycle it daily and keep 30 files</w:t>
            </w:r>
          </w:p>
        </w:tc>
      </w:tr>
      <w:tr>
        <w:trPr>
          <w:cantSplit/>
        </w:trPr>
        <w:tc>
          <w:tcPr>
            <w:tcW w:w="2278" w:type="dxa"/>
            <w:vAlign w:val="top"/>
          </w:tcPr>
          <w:p>
            <w:pPr>
              <w:pStyle w:val="TableText"/>
            </w:pPr>
            <w:r>
              <w:rPr>
                <w:b/>
              </w:rPr>
              <w:t xml:space="preserve">2. Default trace</w:t>
            </w:r>
          </w:p>
        </w:tc>
        <w:tc>
          <w:tcPr>
            <w:tcW w:w="1464" w:type="dxa"/>
            <w:vAlign w:val="top"/>
          </w:tcPr>
          <w:p>
            <w:pPr>
              <w:pStyle w:val="TableText"/>
            </w:pPr>
            <w:r>
              <w:rPr/>
              <w:t xml:space="preserve">2005+</w:t>
            </w:r>
          </w:p>
        </w:tc>
        <w:tc>
          <w:tcPr>
            <w:tcW w:w="3305" w:type="dxa"/>
            <w:vAlign w:val="top"/>
          </w:tcPr>
          <w:p>
            <w:pPr>
              <w:pStyle w:val="TableText"/>
            </w:pPr>
            <w:r>
              <w:rPr/>
              <w:t xml:space="preserve">Object created, altered, dropped; logins and users added; some permission changes; DBCC; server config changes</w:t>
            </w:r>
          </w:p>
        </w:tc>
        <w:tc>
          <w:tcPr>
            <w:tcW w:w="3033"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278" w:type="dxa"/>
            <w:vAlign w:val="top"/>
          </w:tcPr>
          <w:p>
            <w:pPr>
              <w:pStyle w:val="TableText"/>
            </w:pPr>
            <w:r>
              <w:rPr>
                <w:b/>
              </w:rPr>
              <w:t xml:space="preserve">3. Server-side SQL Trace</w:t>
            </w:r>
            <w:r>
              <w:rPr/>
              <w:t xml:space="preserve"> (audit events only)</w:t>
            </w:r>
          </w:p>
        </w:tc>
        <w:tc>
          <w:tcPr>
            <w:tcW w:w="1464" w:type="dxa"/>
            <w:vAlign w:val="top"/>
          </w:tcPr>
          <w:p>
            <w:pPr>
              <w:pStyle w:val="TableText"/>
            </w:pPr>
            <w:r>
              <w:rPr/>
              <w:t xml:space="preserve">2000+</w:t>
            </w:r>
          </w:p>
        </w:tc>
        <w:tc>
          <w:tcPr>
            <w:tcW w:w="3305" w:type="dxa"/>
            <w:vAlign w:val="top"/>
          </w:tcPr>
          <w:p>
            <w:pPr>
              <w:pStyle w:val="TableText"/>
            </w:pPr>
            <w:r>
              <w:rPr/>
              <w:t xml:space="preserve">Logins, failed logins, security changes, DDL. DML on chosen tables possible</w:t>
            </w:r>
          </w:p>
        </w:tc>
        <w:tc>
          <w:tcPr>
            <w:tcW w:w="3033"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278" w:type="dxa"/>
            <w:vAlign w:val="top"/>
          </w:tcPr>
          <w:p>
            <w:pPr>
              <w:pStyle w:val="TableText"/>
            </w:pPr>
            <w:r>
              <w:rPr>
                <w:b/>
              </w:rPr>
              <w:t xml:space="preserve">4. DDL triggers</w:t>
            </w:r>
          </w:p>
        </w:tc>
        <w:tc>
          <w:tcPr>
            <w:tcW w:w="1464" w:type="dxa"/>
            <w:vAlign w:val="top"/>
          </w:tcPr>
          <w:p>
            <w:pPr>
              <w:pStyle w:val="TableText"/>
            </w:pPr>
            <w:r>
              <w:rPr/>
              <w:t xml:space="preserve">2005+</w:t>
            </w:r>
          </w:p>
        </w:tc>
        <w:tc>
          <w:tcPr>
            <w:tcW w:w="3305"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033"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278" w:type="dxa"/>
            <w:vAlign w:val="top"/>
          </w:tcPr>
          <w:p>
            <w:pPr>
              <w:pStyle w:val="TableText"/>
            </w:pPr>
            <w:r>
              <w:rPr>
                <w:b/>
              </w:rPr>
              <w:t xml:space="preserve">5. Logon trigger</w:t>
            </w:r>
          </w:p>
        </w:tc>
        <w:tc>
          <w:tcPr>
            <w:tcW w:w="1464" w:type="dxa"/>
            <w:vAlign w:val="top"/>
          </w:tcPr>
          <w:p>
            <w:pPr>
              <w:pStyle w:val="TableText"/>
            </w:pPr>
            <w:r>
              <w:rPr/>
              <w:t xml:space="preserve">2005 SP2+</w:t>
            </w:r>
          </w:p>
        </w:tc>
        <w:tc>
          <w:tcPr>
            <w:tcW w:w="3305" w:type="dxa"/>
            <w:vAlign w:val="top"/>
          </w:tcPr>
          <w:p>
            <w:pPr>
              <w:pStyle w:val="TableText"/>
            </w:pPr>
            <w:r>
              <w:rPr/>
              <w:t xml:space="preserve">Logins, with host and application</w:t>
            </w:r>
          </w:p>
        </w:tc>
        <w:tc>
          <w:tcPr>
            <w:tcW w:w="3033"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278" w:type="dxa"/>
            <w:vAlign w:val="top"/>
          </w:tcPr>
          <w:p>
            <w:pPr>
              <w:pStyle w:val="TableText"/>
            </w:pPr>
            <w:r>
              <w:rPr>
                <w:b/>
              </w:rPr>
              <w:t xml:space="preserve">6. DML triggers</w:t>
            </w:r>
            <w:r>
              <w:rPr/>
              <w:t xml:space="preserve"> on sensitive tables</w:t>
            </w:r>
          </w:p>
        </w:tc>
        <w:tc>
          <w:tcPr>
            <w:tcW w:w="1464" w:type="dxa"/>
            <w:vAlign w:val="top"/>
          </w:tcPr>
          <w:p>
            <w:pPr>
              <w:pStyle w:val="TableText"/>
            </w:pPr>
            <w:r>
              <w:rPr/>
              <w:t xml:space="preserve">2000+</w:t>
            </w:r>
          </w:p>
        </w:tc>
        <w:tc>
          <w:tcPr>
            <w:tcW w:w="3305" w:type="dxa"/>
            <w:vAlign w:val="top"/>
          </w:tcPr>
          <w:p>
            <w:pPr>
              <w:pStyle w:val="TableText"/>
            </w:pPr>
            <w:r>
              <w:rPr/>
              <w:t xml:space="preserve">Data changes on those tables</w:t>
            </w:r>
          </w:p>
        </w:tc>
        <w:tc>
          <w:tcPr>
            <w:tcW w:w="3033"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278" w:type="dxa"/>
            <w:vAlign w:val="top"/>
          </w:tcPr>
          <w:p>
            <w:pPr>
              <w:pStyle w:val="TableText"/>
            </w:pPr>
            <w:r>
              <w:rPr>
                <w:b/>
              </w:rPr>
              <w:t xml:space="preserve">7. C2 audit mode</w:t>
            </w:r>
            <w:r>
              <w:rPr/>
              <w:t xml:space="preserve"> / Common Criteria</w:t>
            </w:r>
          </w:p>
        </w:tc>
        <w:tc>
          <w:tcPr>
            <w:tcW w:w="1464" w:type="dxa"/>
            <w:vAlign w:val="top"/>
          </w:tcPr>
          <w:p>
            <w:pPr>
              <w:pStyle w:val="TableText"/>
            </w:pPr>
            <w:r>
              <w:rPr/>
              <w:t xml:space="preserve">2000+ / 2005 SP2 Ent.</w:t>
            </w:r>
          </w:p>
        </w:tc>
        <w:tc>
          <w:tcPr>
            <w:tcW w:w="3305" w:type="dxa"/>
            <w:vAlign w:val="top"/>
          </w:tcPr>
          <w:p>
            <w:pPr>
              <w:pStyle w:val="TableText"/>
            </w:pPr>
            <w:r>
              <w:rPr/>
              <w:t xml:space="preserve">Everything</w:t>
            </w:r>
          </w:p>
        </w:tc>
        <w:tc>
          <w:tcPr>
            <w:tcW w:w="3033"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278" w:type="dxa"/>
            <w:vAlign w:val="top"/>
          </w:tcPr>
          <w:p>
            <w:pPr>
              <w:pStyle w:val="TableText"/>
            </w:pPr>
            <w:r>
              <w:rPr>
                <w:b/>
              </w:rPr>
              <w:t xml:space="preserve">8. Network and OS side</w:t>
            </w:r>
            <w:r>
              <w:rPr/>
              <w:t xml:space="preserve"> (sysadmin)</w:t>
            </w:r>
          </w:p>
        </w:tc>
        <w:tc>
          <w:tcPr>
            <w:tcW w:w="1464" w:type="dxa"/>
            <w:vAlign w:val="top"/>
          </w:tcPr>
          <w:p>
            <w:pPr>
              <w:pStyle w:val="TableText"/>
            </w:pPr>
            <w:r>
              <w:rPr/>
              <w:t xml:space="preserve">Any</w:t>
            </w:r>
          </w:p>
        </w:tc>
        <w:tc>
          <w:tcPr>
            <w:tcW w:w="3305" w:type="dxa"/>
            <w:vAlign w:val="top"/>
          </w:tcPr>
          <w:p>
            <w:pPr>
              <w:pStyle w:val="TableText"/>
            </w:pPr>
            <w:r>
              <w:rPr/>
              <w:t xml:space="preserve">Who connects to the SQL port, from where</w:t>
            </w:r>
          </w:p>
        </w:tc>
        <w:tc>
          <w:tcPr>
            <w:tcW w:w="3033"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Supported vs works but not supported</dc:title>
</cp:coreProperties>
</file>