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AFEFC" w14:textId="77777777" w:rsidR="004B2065" w:rsidRPr="004B2065" w:rsidRDefault="004B2065" w:rsidP="004B2065">
      <w:pPr>
        <w:jc w:val="both"/>
        <w:rPr>
          <w:rFonts w:ascii="Times New Roman" w:hAnsi="Times New Roman" w:cs="Times New Roman"/>
          <w:b/>
          <w:bCs/>
          <w:sz w:val="20"/>
          <w:szCs w:val="20"/>
        </w:rPr>
      </w:pPr>
      <w:r w:rsidRPr="004B2065">
        <w:rPr>
          <w:rFonts w:ascii="Times New Roman" w:hAnsi="Times New Roman" w:cs="Times New Roman"/>
          <w:b/>
          <w:bCs/>
          <w:sz w:val="20"/>
          <w:szCs w:val="20"/>
        </w:rPr>
        <w:t>CHAPTER ONE: GENERAL INTRODUCTION</w:t>
      </w:r>
    </w:p>
    <w:p w14:paraId="354F68DE" w14:textId="6523EF0F" w:rsidR="004B2065" w:rsidRPr="007E5380" w:rsidRDefault="004B2065">
      <w:pPr>
        <w:pStyle w:val="ListParagraph"/>
        <w:numPr>
          <w:ilvl w:val="0"/>
          <w:numId w:val="1"/>
        </w:numPr>
        <w:jc w:val="both"/>
        <w:rPr>
          <w:rFonts w:ascii="Times New Roman" w:hAnsi="Times New Roman" w:cs="Times New Roman"/>
          <w:sz w:val="20"/>
          <w:szCs w:val="20"/>
        </w:rPr>
      </w:pPr>
      <w:r w:rsidRPr="007E5380">
        <w:rPr>
          <w:rFonts w:ascii="Times New Roman" w:hAnsi="Times New Roman" w:cs="Times New Roman"/>
          <w:sz w:val="20"/>
          <w:szCs w:val="20"/>
        </w:rPr>
        <w:t>Distinguish susceptibility assessment from landslide forecasting</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The chapter treats identifying susceptible locations and predicting impending landslides as equivalent tasks. Susceptibility concerns where failures are more likely, while early warning also requires a defined prediction period.</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Correction: Specify the spatial prediction unit, forecast period, update interval and useful warning lead time. Explain how static terrain information will combine with changing rainfall and soil conditions.</w:t>
      </w:r>
    </w:p>
    <w:p w14:paraId="31AFE8C9" w14:textId="14A05C7F" w:rsidR="004B2065" w:rsidRPr="007E5380" w:rsidRDefault="004B2065">
      <w:pPr>
        <w:pStyle w:val="ListParagraph"/>
        <w:numPr>
          <w:ilvl w:val="0"/>
          <w:numId w:val="1"/>
        </w:numPr>
        <w:jc w:val="both"/>
        <w:rPr>
          <w:rFonts w:ascii="Times New Roman" w:hAnsi="Times New Roman" w:cs="Times New Roman"/>
          <w:sz w:val="20"/>
          <w:szCs w:val="20"/>
        </w:rPr>
      </w:pPr>
      <w:r w:rsidRPr="007E5380">
        <w:rPr>
          <w:rFonts w:ascii="Times New Roman" w:hAnsi="Times New Roman" w:cs="Times New Roman"/>
          <w:sz w:val="20"/>
          <w:szCs w:val="20"/>
        </w:rPr>
        <w:t>Strengthen the background and establish a substantive research gap</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Sections 1.1, 1.2 and 1.8 explain the importance of landslides but rely on broad claims that integrating predictors and applying machine learning in Rwanda will establish originality. These features alone do not demonstrate a doctoral contribution.</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Correction: Organize the background around verified global, regional and Rwanda evidence. Connect rainfall infiltration, pore-water pressure and shear resistance to the warning problem. Identify a specific unresolved issue, such as false-alarm reduction, spatial transferability, prospective forecasting or probability calibration.</w:t>
      </w:r>
    </w:p>
    <w:p w14:paraId="21DD4E62" w14:textId="253AE6C5" w:rsidR="004B2065" w:rsidRPr="007E5380" w:rsidRDefault="004B2065">
      <w:pPr>
        <w:pStyle w:val="ListParagraph"/>
        <w:numPr>
          <w:ilvl w:val="0"/>
          <w:numId w:val="1"/>
        </w:numPr>
        <w:jc w:val="both"/>
        <w:rPr>
          <w:rFonts w:ascii="Times New Roman" w:hAnsi="Times New Roman" w:cs="Times New Roman"/>
          <w:sz w:val="20"/>
          <w:szCs w:val="20"/>
        </w:rPr>
      </w:pPr>
      <w:r w:rsidRPr="007E5380">
        <w:rPr>
          <w:rFonts w:ascii="Times New Roman" w:hAnsi="Times New Roman" w:cs="Times New Roman"/>
          <w:sz w:val="20"/>
          <w:szCs w:val="20"/>
        </w:rPr>
        <w:t>Verify disaster statistics and distinguish hazard categories</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The claims concerning annual global deaths, economic losses and May 2020 Rwanda impacts lack precise supporting documents and locations. The local figures may combine floods, landslides and other rainfall-related disasters.</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Correction: Provide the exact source, period, location and hazard category for each figure. Distinguish annual averages from individual-event totals and landslide impacts from combined disaster impacts. Remove figures that cannot be substantiated.</w:t>
      </w:r>
    </w:p>
    <w:p w14:paraId="2735E874" w14:textId="5586CA05" w:rsidR="004B2065" w:rsidRPr="007E5380" w:rsidRDefault="004B2065">
      <w:pPr>
        <w:pStyle w:val="ListParagraph"/>
        <w:numPr>
          <w:ilvl w:val="0"/>
          <w:numId w:val="1"/>
        </w:numPr>
        <w:jc w:val="both"/>
        <w:rPr>
          <w:rFonts w:ascii="Times New Roman" w:hAnsi="Times New Roman" w:cs="Times New Roman"/>
          <w:sz w:val="20"/>
          <w:szCs w:val="20"/>
        </w:rPr>
      </w:pPr>
      <w:r w:rsidRPr="007E5380">
        <w:rPr>
          <w:rFonts w:ascii="Times New Roman" w:hAnsi="Times New Roman" w:cs="Times New Roman"/>
          <w:sz w:val="20"/>
          <w:szCs w:val="20"/>
        </w:rPr>
        <w:t>Correct the terrain percentage and reconcile elevation descriptions</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Chapter One changes the claim that 73% of Rwanda consists of steep hills into a claim that 73% has slopes above 30 degrees. These statements are not equivalent. Its elevation description also differs from the wider range presented in Chapter Two.</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Correction: Verify terrain statistics through an identifiable DEM analysis. Specify resolution, slope threshold and geographic coverage. Distinguish degrees from percentage gradient: 30 degrees corresponds to approximately 57.7% gradient. Use consistent elevation descriptions for the actual study area.</w:t>
      </w:r>
    </w:p>
    <w:p w14:paraId="0638A133" w14:textId="61E71FED" w:rsidR="004B2065" w:rsidRPr="007E5380" w:rsidRDefault="004B2065">
      <w:pPr>
        <w:pStyle w:val="ListParagraph"/>
        <w:numPr>
          <w:ilvl w:val="0"/>
          <w:numId w:val="1"/>
        </w:numPr>
        <w:jc w:val="both"/>
        <w:rPr>
          <w:rFonts w:ascii="Times New Roman" w:hAnsi="Times New Roman" w:cs="Times New Roman"/>
          <w:sz w:val="20"/>
          <w:szCs w:val="20"/>
        </w:rPr>
      </w:pPr>
      <w:r w:rsidRPr="007E5380">
        <w:rPr>
          <w:rFonts w:ascii="Times New Roman" w:hAnsi="Times New Roman" w:cs="Times New Roman"/>
          <w:sz w:val="20"/>
          <w:szCs w:val="20"/>
        </w:rPr>
        <w:t>Verify the landslide trend chart and correct its percentage interpretation</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The chart presents annual event counts from 2013 to 2023 without supplying the underlying dataset. The claimed increase exceeding 150% is incorrect: the change from 53 to 132 events is approximately 149.1%. The chart also cannot establish that rainfall intensification, deforestation or population pressure caused the increase.</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Correction: Supply the annual records, event definition, duplicate-removal procedure and reporting coverage. Correct the percentage and discuss reporting changes as a possible explanation. Remove the chart if its data cannot be verified.</w:t>
      </w:r>
    </w:p>
    <w:p w14:paraId="4196ECDE" w14:textId="6B355DF9" w:rsidR="004B2065" w:rsidRPr="007E5380" w:rsidRDefault="004B2065">
      <w:pPr>
        <w:pStyle w:val="ListParagraph"/>
        <w:numPr>
          <w:ilvl w:val="0"/>
          <w:numId w:val="1"/>
        </w:numPr>
        <w:jc w:val="both"/>
        <w:rPr>
          <w:rFonts w:ascii="Times New Roman" w:hAnsi="Times New Roman" w:cs="Times New Roman"/>
          <w:sz w:val="20"/>
          <w:szCs w:val="20"/>
        </w:rPr>
      </w:pPr>
      <w:r w:rsidRPr="007E5380">
        <w:rPr>
          <w:rFonts w:ascii="Times New Roman" w:hAnsi="Times New Roman" w:cs="Times New Roman"/>
          <w:sz w:val="20"/>
          <w:szCs w:val="20"/>
        </w:rPr>
        <w:t>Replace blanket absence claims with a documented capability gap</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The chapter repeatedly states that Rwanda lacks predictive landslide warning capability. This overlooks identifiable research on precipitation thresholds, antecedent soil moisture and site-specific warning conditions.</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Correction: Examine existing Rwanda studies and distinguish research models from deployed warning services. Explain precisely what remains inadequate in coverage, validation, accuracy, lead time or operational implementation.</w:t>
      </w:r>
    </w:p>
    <w:p w14:paraId="4B9476FC" w14:textId="2B8384FE" w:rsidR="004B2065" w:rsidRPr="007E5380" w:rsidRDefault="004B2065">
      <w:pPr>
        <w:pStyle w:val="ListParagraph"/>
        <w:numPr>
          <w:ilvl w:val="0"/>
          <w:numId w:val="1"/>
        </w:numPr>
        <w:jc w:val="both"/>
        <w:rPr>
          <w:rFonts w:ascii="Times New Roman" w:hAnsi="Times New Roman" w:cs="Times New Roman"/>
          <w:sz w:val="20"/>
          <w:szCs w:val="20"/>
        </w:rPr>
      </w:pPr>
      <w:r w:rsidRPr="007E5380">
        <w:rPr>
          <w:rFonts w:ascii="Times New Roman" w:hAnsi="Times New Roman" w:cs="Times New Roman"/>
          <w:sz w:val="20"/>
          <w:szCs w:val="20"/>
        </w:rPr>
        <w:t>Align objectives, questions, hypotheses and contextual variables</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Chapter One contains seven objectives and hypotheses, while Chapter Two presents six environmental predictor groups and treats population density and land-use enforcement as controls. Their analytical roles therefore change between chapters.</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Correction: Prepare one alignment matrix linking each objective, question, hypothesis, predictor, outcome and analysis. Decide whether socioeconomic conditions are substantive predictors, contextual adjustments or components of exposure and vulnerability.</w:t>
      </w:r>
    </w:p>
    <w:p w14:paraId="4E239866" w14:textId="72BC7F78" w:rsidR="004B2065" w:rsidRPr="007E5380" w:rsidRDefault="004B2065">
      <w:pPr>
        <w:pStyle w:val="ListParagraph"/>
        <w:numPr>
          <w:ilvl w:val="0"/>
          <w:numId w:val="1"/>
        </w:numPr>
        <w:jc w:val="both"/>
        <w:rPr>
          <w:rFonts w:ascii="Times New Roman" w:hAnsi="Times New Roman" w:cs="Times New Roman"/>
          <w:sz w:val="20"/>
          <w:szCs w:val="20"/>
        </w:rPr>
      </w:pPr>
      <w:r w:rsidRPr="007E5380">
        <w:rPr>
          <w:rFonts w:ascii="Times New Roman" w:hAnsi="Times New Roman" w:cs="Times New Roman"/>
          <w:sz w:val="20"/>
          <w:szCs w:val="20"/>
        </w:rPr>
        <w:t>Separate statistical hypothesis testing from predictive model interpretation</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The hypotheses refer to significant influence, but the proposed machine learning framework does not explain how statistical significance will be tested. Feature importance and SHAP values do not automatically establish causal effects or provide p-values.</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Correction: Specify an inferential model where hypothesis testing is required. For forecasting objectives, define comparisons of independently validated predictive performance. Match the interpretation to the selected analytical method.</w:t>
      </w:r>
    </w:p>
    <w:p w14:paraId="254A099E" w14:textId="19EB5214" w:rsidR="004B2065" w:rsidRPr="007E5380" w:rsidRDefault="004B2065">
      <w:pPr>
        <w:pStyle w:val="ListParagraph"/>
        <w:numPr>
          <w:ilvl w:val="0"/>
          <w:numId w:val="1"/>
        </w:numPr>
        <w:jc w:val="both"/>
        <w:rPr>
          <w:rFonts w:ascii="Times New Roman" w:hAnsi="Times New Roman" w:cs="Times New Roman"/>
          <w:sz w:val="20"/>
          <w:szCs w:val="20"/>
        </w:rPr>
      </w:pPr>
      <w:r w:rsidRPr="007E5380">
        <w:rPr>
          <w:rFonts w:ascii="Times New Roman" w:hAnsi="Times New Roman" w:cs="Times New Roman"/>
          <w:sz w:val="20"/>
          <w:szCs w:val="20"/>
        </w:rPr>
        <w:t>Define the failure processes and geographical coverage</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The study treats landslides broadly and claims national relevance while concentrating on selected Northern and Western districts. Different movement types require different predictors and warning methods.</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Correction: Identify the movement types, materials and inventory eligibility rules. Specify development locations, geological coverage and external validation areas. Limit national applicability claims unless performance is tested beyond the development setting.</w:t>
      </w:r>
    </w:p>
    <w:p w14:paraId="06685268" w14:textId="2CD76C7A" w:rsidR="004B2065" w:rsidRPr="007E5380" w:rsidRDefault="004B2065">
      <w:pPr>
        <w:pStyle w:val="ListParagraph"/>
        <w:numPr>
          <w:ilvl w:val="0"/>
          <w:numId w:val="1"/>
        </w:numPr>
        <w:jc w:val="both"/>
        <w:rPr>
          <w:rFonts w:ascii="Times New Roman" w:hAnsi="Times New Roman" w:cs="Times New Roman"/>
          <w:sz w:val="20"/>
          <w:szCs w:val="20"/>
        </w:rPr>
      </w:pPr>
      <w:r w:rsidRPr="007E5380">
        <w:rPr>
          <w:rFonts w:ascii="Times New Roman" w:hAnsi="Times New Roman" w:cs="Times New Roman"/>
          <w:sz w:val="20"/>
          <w:szCs w:val="20"/>
        </w:rPr>
        <w:t>Clarify the study period, feasibility and measurable contributions</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Section 1.6.3 combines the observation period and research schedule, despite the documents containing later material. Claims of scalability, cost effectiveness, reduced losses and improved resilience also lack assessment criteria.</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Correction: Separate historical data coverage, fieldwork dates, development dates and validation dates. Define measurable contributions through warning performance, processing latency, transferability or cost. Present wider community benefits as expected applications unless demonstrated through implementation.</w:t>
      </w:r>
    </w:p>
    <w:p w14:paraId="72F5F1AC" w14:textId="77777777" w:rsidR="007E5380" w:rsidRDefault="007E5380">
      <w:pPr>
        <w:rPr>
          <w:rFonts w:ascii="Times New Roman" w:hAnsi="Times New Roman" w:cs="Times New Roman"/>
          <w:b/>
          <w:bCs/>
          <w:sz w:val="20"/>
          <w:szCs w:val="20"/>
        </w:rPr>
      </w:pPr>
      <w:r>
        <w:rPr>
          <w:rFonts w:ascii="Times New Roman" w:hAnsi="Times New Roman" w:cs="Times New Roman"/>
          <w:b/>
          <w:bCs/>
          <w:sz w:val="20"/>
          <w:szCs w:val="20"/>
        </w:rPr>
        <w:br w:type="page"/>
      </w:r>
    </w:p>
    <w:p w14:paraId="6B2E06D1" w14:textId="64E65273" w:rsidR="004B2065" w:rsidRPr="004B2065" w:rsidRDefault="004B2065" w:rsidP="004B2065">
      <w:pPr>
        <w:jc w:val="both"/>
        <w:rPr>
          <w:rFonts w:ascii="Times New Roman" w:hAnsi="Times New Roman" w:cs="Times New Roman"/>
          <w:b/>
          <w:bCs/>
          <w:sz w:val="20"/>
          <w:szCs w:val="20"/>
        </w:rPr>
      </w:pPr>
      <w:r w:rsidRPr="004B2065">
        <w:rPr>
          <w:rFonts w:ascii="Times New Roman" w:hAnsi="Times New Roman" w:cs="Times New Roman"/>
          <w:b/>
          <w:bCs/>
          <w:sz w:val="20"/>
          <w:szCs w:val="20"/>
        </w:rPr>
        <w:lastRenderedPageBreak/>
        <w:t>CHAPTER TWO: LITERATURE REVIEW</w:t>
      </w:r>
    </w:p>
    <w:p w14:paraId="41092A3B" w14:textId="50358139" w:rsidR="004B2065" w:rsidRPr="007E5380" w:rsidRDefault="004B2065">
      <w:pPr>
        <w:pStyle w:val="ListParagraph"/>
        <w:numPr>
          <w:ilvl w:val="0"/>
          <w:numId w:val="1"/>
        </w:numPr>
        <w:jc w:val="both"/>
        <w:rPr>
          <w:rFonts w:ascii="Times New Roman" w:hAnsi="Times New Roman" w:cs="Times New Roman"/>
          <w:sz w:val="20"/>
          <w:szCs w:val="20"/>
        </w:rPr>
      </w:pPr>
      <w:r w:rsidRPr="007E5380">
        <w:rPr>
          <w:rFonts w:ascii="Times New Roman" w:hAnsi="Times New Roman" w:cs="Times New Roman"/>
          <w:sz w:val="20"/>
          <w:szCs w:val="20"/>
        </w:rPr>
        <w:t>Establish consistent theoretical foundations and explain their functions</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Section 2.2 reviews geotechnical, rainfall-threshold, hydrological, systems and statistical-learning foundations. Sections 2.6 and 2.7 introduce the Pressure and Release Model and Socio-Ecological Systems Theory instead. The chapter also treats physical criteria, empirical relationships and organizational frameworks as equivalent theories.</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Correction: Use one consistent set of foundations. Explain which describes material failure, water movement, empirical forecasting, computational learning or warning-system organization. Retain social theories only where their mechanisms are reviewed and relevant variables are measured.</w:t>
      </w:r>
    </w:p>
    <w:p w14:paraId="5CCDF00D" w14:textId="02ECCB4D" w:rsidR="004B2065" w:rsidRPr="007E5380" w:rsidRDefault="004B2065">
      <w:pPr>
        <w:pStyle w:val="ListParagraph"/>
        <w:numPr>
          <w:ilvl w:val="0"/>
          <w:numId w:val="1"/>
        </w:numPr>
        <w:jc w:val="both"/>
        <w:rPr>
          <w:rFonts w:ascii="Times New Roman" w:hAnsi="Times New Roman" w:cs="Times New Roman"/>
          <w:sz w:val="20"/>
          <w:szCs w:val="20"/>
        </w:rPr>
      </w:pPr>
      <w:r w:rsidRPr="007E5380">
        <w:rPr>
          <w:rFonts w:ascii="Times New Roman" w:hAnsi="Times New Roman" w:cs="Times New Roman"/>
          <w:sz w:val="20"/>
          <w:szCs w:val="20"/>
        </w:rPr>
        <w:t>Present the governing geotechnical equations mathematically</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The chapter discusses effective stress, shear strength and stability without adequately presenting their mathematical relationships or assumptions.</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Correction: Present the effective-stress Mohr–Coulomb relationship and define every symbol, unit and drainage assumption. Explain how matric suction and unsaturated conditions will be represented. Use Word’s Equation Editor with proper subscripts, superscripts, fractions and equation numbering.</w:t>
      </w:r>
    </w:p>
    <w:p w14:paraId="15DC54FD" w14:textId="4784E3DC" w:rsidR="004B2065" w:rsidRPr="007E5380" w:rsidRDefault="004B2065">
      <w:pPr>
        <w:pStyle w:val="ListParagraph"/>
        <w:numPr>
          <w:ilvl w:val="0"/>
          <w:numId w:val="1"/>
        </w:numPr>
        <w:jc w:val="both"/>
        <w:rPr>
          <w:rFonts w:ascii="Times New Roman" w:hAnsi="Times New Roman" w:cs="Times New Roman"/>
          <w:sz w:val="20"/>
          <w:szCs w:val="20"/>
        </w:rPr>
      </w:pPr>
      <w:r w:rsidRPr="007E5380">
        <w:rPr>
          <w:rFonts w:ascii="Times New Roman" w:hAnsi="Times New Roman" w:cs="Times New Roman"/>
          <w:sz w:val="20"/>
          <w:szCs w:val="20"/>
        </w:rPr>
        <w:t>Distinguish slope stability measurements from conditioning factors</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Slope stability is represented through slope angle, geology, previous landslides and seepage. These describe conditions associated with instability but do not directly measure a factor of safety. The framework also gives insufficient attention to strength parameters, soil depth, unit weight and discontinuities.</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Correction: Rename the group slope instability conditioning factors, or specify a defensible stability calculation. Identify required engineering parameters, laboratory or field tests, sampling depths, replication and uncertainty. Distinguish measured properties from map-derived proxies.</w:t>
      </w:r>
    </w:p>
    <w:p w14:paraId="180E94CB" w14:textId="7A151E94" w:rsidR="004B2065" w:rsidRPr="007E5380" w:rsidRDefault="004B2065">
      <w:pPr>
        <w:pStyle w:val="ListParagraph"/>
        <w:numPr>
          <w:ilvl w:val="0"/>
          <w:numId w:val="1"/>
        </w:numPr>
        <w:jc w:val="both"/>
        <w:rPr>
          <w:rFonts w:ascii="Times New Roman" w:hAnsi="Times New Roman" w:cs="Times New Roman"/>
          <w:sz w:val="20"/>
          <w:szCs w:val="20"/>
        </w:rPr>
      </w:pPr>
      <w:r w:rsidRPr="007E5380">
        <w:rPr>
          <w:rFonts w:ascii="Times New Roman" w:hAnsi="Times New Roman" w:cs="Times New Roman"/>
          <w:sz w:val="20"/>
          <w:szCs w:val="20"/>
        </w:rPr>
        <w:t>Strengthen rainfall-trigger mechanisms and threshold formulation</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The explanation that landslides occur when rainfall exceeds a slope’s capacity to absorb, store or drain water is too general. The review also discusses intensity–duration thresholds without adequately defining their equations, units or calibration procedures.</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Correction: Explain how infiltration, antecedent wetness, preferential flow and transient pore pressure alter stability. Present the selected threshold equation, coefficient units, event-separation rules, calibration range and uncertainty. Include non-triggering rainfall events when assessing threshold performance.</w:t>
      </w:r>
    </w:p>
    <w:p w14:paraId="6423C16B" w14:textId="141C36A9" w:rsidR="004B2065" w:rsidRPr="007E5380" w:rsidRDefault="004B2065">
      <w:pPr>
        <w:pStyle w:val="ListParagraph"/>
        <w:numPr>
          <w:ilvl w:val="0"/>
          <w:numId w:val="1"/>
        </w:numPr>
        <w:jc w:val="both"/>
        <w:rPr>
          <w:rFonts w:ascii="Times New Roman" w:hAnsi="Times New Roman" w:cs="Times New Roman"/>
          <w:sz w:val="20"/>
          <w:szCs w:val="20"/>
        </w:rPr>
      </w:pPr>
      <w:r w:rsidRPr="007E5380">
        <w:rPr>
          <w:rFonts w:ascii="Times New Roman" w:hAnsi="Times New Roman" w:cs="Times New Roman"/>
          <w:sz w:val="20"/>
          <w:szCs w:val="20"/>
        </w:rPr>
        <w:t>Operationalize rainfall frequency and antecedent wetness consistently</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The review repeatedly emphasizes antecedent rainfall and cumulative rainfall, but the final framework retains only intensity, duration and frequency. Rainfall frequency itself remains ambiguous.</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Correction: Define frequency as a specific measurable quantity. Include justified antecedent rainfall and wetness measures with stated accumulation windows and lags. Ensure every feature uses information available before the predicted event.</w:t>
      </w:r>
    </w:p>
    <w:p w14:paraId="2C209712" w14:textId="490593D7" w:rsidR="004B2065" w:rsidRPr="007E5380" w:rsidRDefault="004B2065">
      <w:pPr>
        <w:pStyle w:val="ListParagraph"/>
        <w:numPr>
          <w:ilvl w:val="0"/>
          <w:numId w:val="1"/>
        </w:numPr>
        <w:jc w:val="both"/>
        <w:rPr>
          <w:rFonts w:ascii="Times New Roman" w:hAnsi="Times New Roman" w:cs="Times New Roman"/>
          <w:sz w:val="20"/>
          <w:szCs w:val="20"/>
        </w:rPr>
      </w:pPr>
      <w:r w:rsidRPr="007E5380">
        <w:rPr>
          <w:rFonts w:ascii="Times New Roman" w:hAnsi="Times New Roman" w:cs="Times New Roman"/>
          <w:sz w:val="20"/>
          <w:szCs w:val="20"/>
        </w:rPr>
        <w:t>Define one primary forecasting target and separate event metadata</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The chapter claims that binary occurrence is inadequate and combines type, frequency, magnitude, location and seasonal variation as indicators of one dependent variable. These fields represent different analytical quantities.</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Correction: Define the primary target within a stated spatial and temporal window. Separate event identifiers, coordinates, dates, physical attributes and prediction labels. Model movement type, magnitude or recurrence separately where objectives and data support them.</w:t>
      </w:r>
    </w:p>
    <w:p w14:paraId="4B929777" w14:textId="62FCB864" w:rsidR="004B2065" w:rsidRPr="007E5380" w:rsidRDefault="004B2065">
      <w:pPr>
        <w:pStyle w:val="ListParagraph"/>
        <w:numPr>
          <w:ilvl w:val="0"/>
          <w:numId w:val="1"/>
        </w:numPr>
        <w:jc w:val="both"/>
        <w:rPr>
          <w:rFonts w:ascii="Times New Roman" w:hAnsi="Times New Roman" w:cs="Times New Roman"/>
          <w:sz w:val="20"/>
          <w:szCs w:val="20"/>
        </w:rPr>
      </w:pPr>
      <w:r w:rsidRPr="007E5380">
        <w:rPr>
          <w:rFonts w:ascii="Times New Roman" w:hAnsi="Times New Roman" w:cs="Times New Roman"/>
          <w:sz w:val="20"/>
          <w:szCs w:val="20"/>
        </w:rPr>
        <w:t>Standardize magnitude and distinguish physical size from consequences</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Magnitude may be measured through area, volume, runout or reported impact. These quantities are not interchangeable. Casualties and property losses also depend on exposure and vulnerability.</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 xml:space="preserve">Correction: Select a primary physical measure or </w:t>
      </w:r>
      <w:proofErr w:type="spellStart"/>
      <w:r w:rsidRPr="007E5380">
        <w:rPr>
          <w:rFonts w:ascii="Times New Roman" w:hAnsi="Times New Roman" w:cs="Times New Roman"/>
          <w:sz w:val="20"/>
          <w:szCs w:val="20"/>
        </w:rPr>
        <w:t>analyse</w:t>
      </w:r>
      <w:proofErr w:type="spellEnd"/>
      <w:r w:rsidRPr="007E5380">
        <w:rPr>
          <w:rFonts w:ascii="Times New Roman" w:hAnsi="Times New Roman" w:cs="Times New Roman"/>
          <w:sz w:val="20"/>
          <w:szCs w:val="20"/>
        </w:rPr>
        <w:t xml:space="preserve"> distinct measures separately. Define category thresholds and missing-data rules. Keep physical landslide magnitude separate from human and economic consequences.</w:t>
      </w:r>
    </w:p>
    <w:p w14:paraId="2BCDAD95" w14:textId="21B87955" w:rsidR="004B2065" w:rsidRPr="007E5380" w:rsidRDefault="004B2065">
      <w:pPr>
        <w:pStyle w:val="ListParagraph"/>
        <w:numPr>
          <w:ilvl w:val="0"/>
          <w:numId w:val="1"/>
        </w:numPr>
        <w:jc w:val="both"/>
        <w:rPr>
          <w:rFonts w:ascii="Times New Roman" w:hAnsi="Times New Roman" w:cs="Times New Roman"/>
          <w:sz w:val="20"/>
          <w:szCs w:val="20"/>
        </w:rPr>
      </w:pPr>
      <w:r w:rsidRPr="007E5380">
        <w:rPr>
          <w:rFonts w:ascii="Times New Roman" w:hAnsi="Times New Roman" w:cs="Times New Roman"/>
          <w:sz w:val="20"/>
          <w:szCs w:val="20"/>
        </w:rPr>
        <w:t>Prevent leakage from inventories and post-event information</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Previous landslide history is proposed as both a predictor and a source of training and validation labels. Land-cover information may also capture vegetation loss caused by the event itself.</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Correction: Construct historical features only from events documented before each prediction time. Exclude validation events from predictor construction. Use pre-event environmental observations and explain how reactivated landslides and duplicate records will be handled.</w:t>
      </w:r>
    </w:p>
    <w:p w14:paraId="7AA1F16D" w14:textId="2CE6AF1C" w:rsidR="004B2065" w:rsidRPr="007E5380" w:rsidRDefault="004B2065">
      <w:pPr>
        <w:pStyle w:val="ListParagraph"/>
        <w:numPr>
          <w:ilvl w:val="0"/>
          <w:numId w:val="1"/>
        </w:numPr>
        <w:jc w:val="both"/>
        <w:rPr>
          <w:rFonts w:ascii="Times New Roman" w:hAnsi="Times New Roman" w:cs="Times New Roman"/>
          <w:sz w:val="20"/>
          <w:szCs w:val="20"/>
        </w:rPr>
      </w:pPr>
      <w:r w:rsidRPr="007E5380">
        <w:rPr>
          <w:rFonts w:ascii="Times New Roman" w:hAnsi="Times New Roman" w:cs="Times New Roman"/>
          <w:sz w:val="20"/>
          <w:szCs w:val="20"/>
        </w:rPr>
        <w:t>Remove variable overlap and clarify physical pathways</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Slope angle overlaps with topography, moisture overlaps with hydrological conditions, and rainfall overlaps with meteorological information. Slope stability is also presented as both a predictor group and the physical process leading to failure.</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Correction: Define clear boundaries between predictor groups. Distinguish environmental causes, intermediate physical states, calculated stability measures and outcomes. Identify duplicated measurements and avoid unsupported claims that their independent contributions have been isolated.</w:t>
      </w:r>
    </w:p>
    <w:p w14:paraId="1519D8C2" w14:textId="18C2697A" w:rsidR="004B2065" w:rsidRPr="007E5380" w:rsidRDefault="004B2065">
      <w:pPr>
        <w:pStyle w:val="ListParagraph"/>
        <w:numPr>
          <w:ilvl w:val="0"/>
          <w:numId w:val="1"/>
        </w:numPr>
        <w:jc w:val="both"/>
        <w:rPr>
          <w:rFonts w:ascii="Times New Roman" w:hAnsi="Times New Roman" w:cs="Times New Roman"/>
          <w:sz w:val="20"/>
          <w:szCs w:val="20"/>
        </w:rPr>
      </w:pPr>
      <w:r w:rsidRPr="007E5380">
        <w:rPr>
          <w:rFonts w:ascii="Times New Roman" w:hAnsi="Times New Roman" w:cs="Times New Roman"/>
          <w:sz w:val="20"/>
          <w:szCs w:val="20"/>
        </w:rPr>
        <w:t>Address coordinate use, circular variables and terrain scale</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 xml:space="preserve">Coordinates may allow a model to memorize known locations. Aspect and wind direction are circular variables, while relief and terrain derivatives depend on DEM resolution and </w:t>
      </w:r>
      <w:proofErr w:type="spellStart"/>
      <w:r w:rsidRPr="007E5380">
        <w:rPr>
          <w:rFonts w:ascii="Times New Roman" w:hAnsi="Times New Roman" w:cs="Times New Roman"/>
          <w:sz w:val="20"/>
          <w:szCs w:val="20"/>
        </w:rPr>
        <w:t>neighbourhood</w:t>
      </w:r>
      <w:proofErr w:type="spellEnd"/>
      <w:r w:rsidRPr="007E5380">
        <w:rPr>
          <w:rFonts w:ascii="Times New Roman" w:hAnsi="Times New Roman" w:cs="Times New Roman"/>
          <w:sz w:val="20"/>
          <w:szCs w:val="20"/>
        </w:rPr>
        <w:t xml:space="preserve"> size.</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 xml:space="preserve">Correction: Justify coordinate use and compare performance with and without coordinates. Explain directional encoding and flat-terrain treatment. Specify DEM resolution, </w:t>
      </w:r>
      <w:proofErr w:type="spellStart"/>
      <w:r w:rsidRPr="007E5380">
        <w:rPr>
          <w:rFonts w:ascii="Times New Roman" w:hAnsi="Times New Roman" w:cs="Times New Roman"/>
          <w:sz w:val="20"/>
          <w:szCs w:val="20"/>
        </w:rPr>
        <w:t>neighbourhood</w:t>
      </w:r>
      <w:proofErr w:type="spellEnd"/>
      <w:r w:rsidRPr="007E5380">
        <w:rPr>
          <w:rFonts w:ascii="Times New Roman" w:hAnsi="Times New Roman" w:cs="Times New Roman"/>
          <w:sz w:val="20"/>
          <w:szCs w:val="20"/>
        </w:rPr>
        <w:t xml:space="preserve"> size and derivation procedures, then use spatially separated validation.</w:t>
      </w:r>
    </w:p>
    <w:p w14:paraId="4EC9A486" w14:textId="53BBE879" w:rsidR="004B2065" w:rsidRPr="007E5380" w:rsidRDefault="004B2065">
      <w:pPr>
        <w:pStyle w:val="ListParagraph"/>
        <w:numPr>
          <w:ilvl w:val="0"/>
          <w:numId w:val="1"/>
        </w:numPr>
        <w:jc w:val="both"/>
        <w:rPr>
          <w:rFonts w:ascii="Times New Roman" w:hAnsi="Times New Roman" w:cs="Times New Roman"/>
          <w:sz w:val="20"/>
          <w:szCs w:val="20"/>
        </w:rPr>
      </w:pPr>
      <w:r w:rsidRPr="007E5380">
        <w:rPr>
          <w:rFonts w:ascii="Times New Roman" w:hAnsi="Times New Roman" w:cs="Times New Roman"/>
          <w:sz w:val="20"/>
          <w:szCs w:val="20"/>
        </w:rPr>
        <w:t>Standardize soil and land-cover measurements</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The chapter uses permeability, moisture and compaction without sufficiently distinguishing their meanings and units. It also combines vegetation conditions at one date with rates of land-cover change.</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 xml:space="preserve">Correction: Distinguish hydraulic conductivity from intrinsic permeability and gravimetric moisture from volumetric moisture </w:t>
      </w:r>
      <w:r w:rsidRPr="007E5380">
        <w:rPr>
          <w:rFonts w:ascii="Times New Roman" w:hAnsi="Times New Roman" w:cs="Times New Roman"/>
          <w:sz w:val="20"/>
          <w:szCs w:val="20"/>
        </w:rPr>
        <w:lastRenderedPageBreak/>
        <w:t>and saturation. Define compaction measurements. For land cover, specify image dates, change intervals, classification accuracy and separate mechanisms such as road cutting, loading and drainage alteration.</w:t>
      </w:r>
    </w:p>
    <w:p w14:paraId="609F8074" w14:textId="5DA65C91" w:rsidR="004B2065" w:rsidRPr="007E5380" w:rsidRDefault="004B2065">
      <w:pPr>
        <w:pStyle w:val="ListParagraph"/>
        <w:numPr>
          <w:ilvl w:val="0"/>
          <w:numId w:val="1"/>
        </w:numPr>
        <w:jc w:val="both"/>
        <w:rPr>
          <w:rFonts w:ascii="Times New Roman" w:hAnsi="Times New Roman" w:cs="Times New Roman"/>
          <w:sz w:val="20"/>
          <w:szCs w:val="20"/>
        </w:rPr>
      </w:pPr>
      <w:r w:rsidRPr="007E5380">
        <w:rPr>
          <w:rFonts w:ascii="Times New Roman" w:hAnsi="Times New Roman" w:cs="Times New Roman"/>
          <w:sz w:val="20"/>
          <w:szCs w:val="20"/>
        </w:rPr>
        <w:t>Demonstrate the added value of broader meteorological variables</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The chapter assumes that temperature, humidity, wind, pressure and precipitation type improve prediction. General physical relevance does not establish additional forecasting value in Rwanda.</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Correction: Compare a core rainfall, terrain and wetness model with an expanded model using independent validation. Retain additional variables where improvement is reproducible and operational data are available. Verify that cited studies actually examined the claimed variables.</w:t>
      </w:r>
    </w:p>
    <w:p w14:paraId="7771F194" w14:textId="7F8BCAE6" w:rsidR="004B2065" w:rsidRPr="007E5380" w:rsidRDefault="004B2065">
      <w:pPr>
        <w:pStyle w:val="ListParagraph"/>
        <w:numPr>
          <w:ilvl w:val="0"/>
          <w:numId w:val="1"/>
        </w:numPr>
        <w:jc w:val="both"/>
        <w:rPr>
          <w:rFonts w:ascii="Times New Roman" w:hAnsi="Times New Roman" w:cs="Times New Roman"/>
          <w:sz w:val="20"/>
          <w:szCs w:val="20"/>
        </w:rPr>
      </w:pPr>
      <w:r w:rsidRPr="007E5380">
        <w:rPr>
          <w:rFonts w:ascii="Times New Roman" w:hAnsi="Times New Roman" w:cs="Times New Roman"/>
          <w:sz w:val="20"/>
          <w:szCs w:val="20"/>
        </w:rPr>
        <w:t>Rebuild the empirical review and correct study descriptions</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 xml:space="preserve">Tables 2.40 to 2.46 combine primary studies, reviews, policy documents and unnamed Rwanda studies. Several descriptions do not match the identified publications, including the scope of Intrieri et al., Guzzetti et al., Halter et al. and </w:t>
      </w:r>
      <w:proofErr w:type="spellStart"/>
      <w:r w:rsidRPr="007E5380">
        <w:rPr>
          <w:rFonts w:ascii="Times New Roman" w:hAnsi="Times New Roman" w:cs="Times New Roman"/>
          <w:sz w:val="20"/>
          <w:szCs w:val="20"/>
        </w:rPr>
        <w:t>Onyelowe</w:t>
      </w:r>
      <w:proofErr w:type="spellEnd"/>
      <w:r w:rsidRPr="007E5380">
        <w:rPr>
          <w:rFonts w:ascii="Times New Roman" w:hAnsi="Times New Roman" w:cs="Times New Roman"/>
          <w:sz w:val="20"/>
          <w:szCs w:val="20"/>
        </w:rPr>
        <w:t xml:space="preserve"> et al.</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Correction: Report each study’s location, inventory size, observation period, predictors, target, validation design, numerical findings and limitations. Label reviews accurately. Distinguish factor-of-safety prediction, susceptibility mapping and operational forecasting.</w:t>
      </w:r>
    </w:p>
    <w:p w14:paraId="36AF38A9" w14:textId="0E179FD3" w:rsidR="004B2065" w:rsidRPr="007E5380" w:rsidRDefault="004B2065">
      <w:pPr>
        <w:pStyle w:val="ListParagraph"/>
        <w:numPr>
          <w:ilvl w:val="0"/>
          <w:numId w:val="1"/>
        </w:numPr>
        <w:jc w:val="both"/>
        <w:rPr>
          <w:rFonts w:ascii="Times New Roman" w:hAnsi="Times New Roman" w:cs="Times New Roman"/>
          <w:sz w:val="20"/>
          <w:szCs w:val="20"/>
        </w:rPr>
      </w:pPr>
      <w:r w:rsidRPr="007E5380">
        <w:rPr>
          <w:rFonts w:ascii="Times New Roman" w:hAnsi="Times New Roman" w:cs="Times New Roman"/>
          <w:sz w:val="20"/>
          <w:szCs w:val="20"/>
        </w:rPr>
        <w:t>Establish novelty through comparison with the closest studies</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The chapter claims that previous research rarely integrates environmental variables or explainability, although its cited literature includes multivariable and explainable approaches. Adding machine learning or SHAP alone does not establish originality.</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Correction: Compare the proposed work directly with the closest Rwanda and international studies. Identify the precise advance in data, physical representation, validation, transferability or operational evaluation. Remove generalized claims contradicted by the reviewed evidence.</w:t>
      </w:r>
    </w:p>
    <w:p w14:paraId="1CC59351" w14:textId="31AC6C51" w:rsidR="004B2065" w:rsidRPr="007E5380" w:rsidRDefault="004B2065">
      <w:pPr>
        <w:pStyle w:val="ListParagraph"/>
        <w:numPr>
          <w:ilvl w:val="0"/>
          <w:numId w:val="1"/>
        </w:numPr>
        <w:jc w:val="both"/>
        <w:rPr>
          <w:rFonts w:ascii="Times New Roman" w:hAnsi="Times New Roman" w:cs="Times New Roman"/>
          <w:sz w:val="20"/>
          <w:szCs w:val="20"/>
        </w:rPr>
      </w:pPr>
      <w:r w:rsidRPr="007E5380">
        <w:rPr>
          <w:rFonts w:ascii="Times New Roman" w:hAnsi="Times New Roman" w:cs="Times New Roman"/>
          <w:sz w:val="20"/>
          <w:szCs w:val="20"/>
        </w:rPr>
        <w:t>Establish independent validation and meaningful warning metrics</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The review emphasizes accuracy without adequately addressing spatial dependence, clustered events, temporal leakage, class imbalance or warning usefulness.</w:t>
      </w:r>
      <w:r w:rsidR="00755F80" w:rsidRPr="007E5380">
        <w:rPr>
          <w:rFonts w:ascii="Times New Roman" w:hAnsi="Times New Roman" w:cs="Times New Roman"/>
          <w:sz w:val="20"/>
          <w:szCs w:val="20"/>
        </w:rPr>
        <w:t xml:space="preserve"> </w:t>
      </w:r>
      <w:r w:rsidRPr="007E5380">
        <w:rPr>
          <w:rFonts w:ascii="Times New Roman" w:hAnsi="Times New Roman" w:cs="Times New Roman"/>
          <w:sz w:val="20"/>
          <w:szCs w:val="20"/>
        </w:rPr>
        <w:t>Correction: Discuss spatial blocking, future-period testing, independent districts and event-grouped evaluation. Assess recall, precision, calibration, lead time and false-alarm burden. Define metric denominators and distinguish false-positive rate from the proportion of issued warnings that are false.</w:t>
      </w:r>
    </w:p>
    <w:p w14:paraId="02E24CEF" w14:textId="69FE29C5" w:rsidR="004B2065" w:rsidRPr="007E5380" w:rsidRDefault="004B2065">
      <w:pPr>
        <w:pStyle w:val="ListParagraph"/>
        <w:numPr>
          <w:ilvl w:val="0"/>
          <w:numId w:val="1"/>
        </w:numPr>
        <w:jc w:val="both"/>
        <w:rPr>
          <w:rFonts w:ascii="Times New Roman" w:hAnsi="Times New Roman" w:cs="Times New Roman"/>
          <w:sz w:val="20"/>
          <w:szCs w:val="20"/>
        </w:rPr>
      </w:pPr>
      <w:r w:rsidRPr="007E5380">
        <w:rPr>
          <w:rFonts w:ascii="Times New Roman" w:hAnsi="Times New Roman" w:cs="Times New Roman"/>
          <w:sz w:val="20"/>
          <w:szCs w:val="20"/>
        </w:rPr>
        <w:t>Limit explainability claims and complete the warning architecture</w:t>
      </w:r>
      <w:r w:rsidR="007E5380" w:rsidRPr="007E5380">
        <w:rPr>
          <w:rFonts w:ascii="Times New Roman" w:hAnsi="Times New Roman" w:cs="Times New Roman"/>
          <w:sz w:val="20"/>
          <w:szCs w:val="20"/>
        </w:rPr>
        <w:t xml:space="preserve">: </w:t>
      </w:r>
      <w:r w:rsidRPr="007E5380">
        <w:rPr>
          <w:rFonts w:ascii="Times New Roman" w:hAnsi="Times New Roman" w:cs="Times New Roman"/>
          <w:sz w:val="20"/>
          <w:szCs w:val="20"/>
        </w:rPr>
        <w:t>Feature attribution is presented as evidence of environmental influence, while the conceptual framework does not clearly connect prediction to alert decisions, communication and response. It also contains inconsistent source dates.</w:t>
      </w:r>
      <w:r w:rsidR="007E5380" w:rsidRPr="007E5380">
        <w:rPr>
          <w:rFonts w:ascii="Times New Roman" w:hAnsi="Times New Roman" w:cs="Times New Roman"/>
          <w:sz w:val="20"/>
          <w:szCs w:val="20"/>
        </w:rPr>
        <w:t xml:space="preserve"> </w:t>
      </w:r>
      <w:r w:rsidRPr="007E5380">
        <w:rPr>
          <w:rFonts w:ascii="Times New Roman" w:hAnsi="Times New Roman" w:cs="Times New Roman"/>
          <w:sz w:val="20"/>
          <w:szCs w:val="20"/>
        </w:rPr>
        <w:t>Correction: Interpret model explanations alongside physical evidence and acknowledge correlated predictors and attribution instability. Present one framework covering timed inputs, forecasting, warning thresholds, dissemination and response. Standardize labels and dates, and distinguish hazard prediction from exposure and vulnerability.</w:t>
      </w:r>
    </w:p>
    <w:p w14:paraId="3EAE1A9B" w14:textId="7985A753" w:rsidR="004B2065" w:rsidRPr="004B2065" w:rsidRDefault="004B2065" w:rsidP="004B2065">
      <w:pPr>
        <w:jc w:val="both"/>
        <w:rPr>
          <w:rFonts w:ascii="Times New Roman" w:hAnsi="Times New Roman" w:cs="Times New Roman"/>
          <w:b/>
          <w:bCs/>
          <w:sz w:val="20"/>
          <w:szCs w:val="20"/>
        </w:rPr>
      </w:pPr>
      <w:r w:rsidRPr="004B2065">
        <w:rPr>
          <w:rFonts w:ascii="Times New Roman" w:hAnsi="Times New Roman" w:cs="Times New Roman"/>
          <w:b/>
          <w:bCs/>
          <w:sz w:val="20"/>
          <w:szCs w:val="20"/>
        </w:rPr>
        <w:t>CITATION AND REFERENCE</w:t>
      </w:r>
      <w:r w:rsidR="00755F80">
        <w:rPr>
          <w:rFonts w:ascii="Times New Roman" w:hAnsi="Times New Roman" w:cs="Times New Roman"/>
          <w:b/>
          <w:bCs/>
          <w:sz w:val="20"/>
          <w:szCs w:val="20"/>
        </w:rPr>
        <w:t>: MAKE SURE EACH REF LIST CONTAINS DOI or URL</w:t>
      </w:r>
    </w:p>
    <w:p w14:paraId="441C920A" w14:textId="77777777" w:rsidR="007E5380" w:rsidRDefault="004B2065">
      <w:pPr>
        <w:pStyle w:val="ListParagraph"/>
        <w:numPr>
          <w:ilvl w:val="0"/>
          <w:numId w:val="1"/>
        </w:numPr>
        <w:jc w:val="both"/>
        <w:rPr>
          <w:rFonts w:ascii="Times New Roman" w:hAnsi="Times New Roman" w:cs="Times New Roman"/>
          <w:sz w:val="20"/>
          <w:szCs w:val="20"/>
        </w:rPr>
      </w:pPr>
      <w:r w:rsidRPr="007E5380">
        <w:rPr>
          <w:rFonts w:ascii="Times New Roman" w:hAnsi="Times New Roman" w:cs="Times New Roman"/>
          <w:sz w:val="20"/>
          <w:szCs w:val="20"/>
        </w:rPr>
        <w:t>Correct confirmed bibliographic and attribution errors</w:t>
      </w:r>
      <w:r w:rsidR="007E5380" w:rsidRPr="007E5380">
        <w:rPr>
          <w:rFonts w:ascii="Times New Roman" w:hAnsi="Times New Roman" w:cs="Times New Roman"/>
          <w:sz w:val="20"/>
          <w:szCs w:val="20"/>
        </w:rPr>
        <w:t xml:space="preserve">: </w:t>
      </w:r>
      <w:r w:rsidRPr="007E5380">
        <w:rPr>
          <w:rFonts w:ascii="Times New Roman" w:hAnsi="Times New Roman" w:cs="Times New Roman"/>
          <w:sz w:val="20"/>
          <w:szCs w:val="20"/>
        </w:rPr>
        <w:t xml:space="preserve">Intrieri et al. is repeatedly cited with Giulio Gigli instead of Giovanni Gigli. The citation to Hastie, </w:t>
      </w:r>
      <w:proofErr w:type="spellStart"/>
      <w:r w:rsidRPr="007E5380">
        <w:rPr>
          <w:rFonts w:ascii="Times New Roman" w:hAnsi="Times New Roman" w:cs="Times New Roman"/>
          <w:sz w:val="20"/>
          <w:szCs w:val="20"/>
        </w:rPr>
        <w:t>Tibshirani</w:t>
      </w:r>
      <w:proofErr w:type="spellEnd"/>
      <w:r w:rsidRPr="007E5380">
        <w:rPr>
          <w:rFonts w:ascii="Times New Roman" w:hAnsi="Times New Roman" w:cs="Times New Roman"/>
          <w:sz w:val="20"/>
          <w:szCs w:val="20"/>
        </w:rPr>
        <w:t xml:space="preserve"> and Friedman in 2021 also requires clarification if the intended source is the 2009 second edition of The Elements of Statistical Learning.</w:t>
      </w:r>
      <w:r w:rsidR="007E5380" w:rsidRPr="007E5380">
        <w:rPr>
          <w:rFonts w:ascii="Times New Roman" w:hAnsi="Times New Roman" w:cs="Times New Roman"/>
          <w:sz w:val="20"/>
          <w:szCs w:val="20"/>
        </w:rPr>
        <w:t xml:space="preserve"> </w:t>
      </w:r>
      <w:r w:rsidRPr="007E5380">
        <w:rPr>
          <w:rFonts w:ascii="Times New Roman" w:hAnsi="Times New Roman" w:cs="Times New Roman"/>
          <w:sz w:val="20"/>
          <w:szCs w:val="20"/>
        </w:rPr>
        <w:t>Correction: Verify author names, publication year, title and edition against the original records. Correct every occurrence and ensure that the source supports the specific claim attached to it.</w:t>
      </w:r>
    </w:p>
    <w:p w14:paraId="1552C072" w14:textId="52C0A8E7" w:rsidR="004B2065" w:rsidRPr="007E5380" w:rsidRDefault="004B2065">
      <w:pPr>
        <w:pStyle w:val="ListParagraph"/>
        <w:numPr>
          <w:ilvl w:val="0"/>
          <w:numId w:val="1"/>
        </w:numPr>
        <w:jc w:val="both"/>
        <w:rPr>
          <w:rFonts w:ascii="Times New Roman" w:hAnsi="Times New Roman" w:cs="Times New Roman"/>
          <w:sz w:val="20"/>
          <w:szCs w:val="20"/>
        </w:rPr>
      </w:pPr>
      <w:r w:rsidRPr="007E5380">
        <w:rPr>
          <w:rFonts w:ascii="Times New Roman" w:hAnsi="Times New Roman" w:cs="Times New Roman"/>
          <w:sz w:val="20"/>
          <w:szCs w:val="20"/>
        </w:rPr>
        <w:t>Complete a claim-level audit of the bibliography</w:t>
      </w:r>
      <w:r w:rsidR="007E5380" w:rsidRPr="007E5380">
        <w:rPr>
          <w:rFonts w:ascii="Times New Roman" w:hAnsi="Times New Roman" w:cs="Times New Roman"/>
          <w:sz w:val="20"/>
          <w:szCs w:val="20"/>
        </w:rPr>
        <w:t xml:space="preserve">: </w:t>
      </w:r>
      <w:r w:rsidRPr="007E5380">
        <w:rPr>
          <w:rFonts w:ascii="Times New Roman" w:hAnsi="Times New Roman" w:cs="Times New Roman"/>
          <w:sz w:val="20"/>
          <w:szCs w:val="20"/>
        </w:rPr>
        <w:t>Neither supplied chapter includes a complete reference list, which prevents a full citation reconciliation. Identifying a publication does not confirm that it supports every numerical, methodological or theoretical statement attributed to it.</w:t>
      </w:r>
      <w:r w:rsidR="007E5380" w:rsidRPr="007E5380">
        <w:rPr>
          <w:rFonts w:ascii="Times New Roman" w:hAnsi="Times New Roman" w:cs="Times New Roman"/>
          <w:sz w:val="20"/>
          <w:szCs w:val="20"/>
        </w:rPr>
        <w:t xml:space="preserve"> </w:t>
      </w:r>
      <w:r w:rsidRPr="007E5380">
        <w:rPr>
          <w:rFonts w:ascii="Times New Roman" w:hAnsi="Times New Roman" w:cs="Times New Roman"/>
          <w:sz w:val="20"/>
          <w:szCs w:val="20"/>
        </w:rPr>
        <w:t>Correction: Supply the full bibliography and match every citation to its reference. Record the supporting page, table or figure for detailed claims. Verify DOI destinations and stable URLs, correct mismatched records, and remove sources or claims whose originals cannot be substantiated.</w:t>
      </w:r>
    </w:p>
    <w:p w14:paraId="0848D9C2" w14:textId="112CD5F6" w:rsidR="00826EDF" w:rsidRPr="004B2065" w:rsidRDefault="00826EDF" w:rsidP="007E5380">
      <w:pPr>
        <w:jc w:val="both"/>
        <w:rPr>
          <w:rFonts w:ascii="Times New Roman" w:hAnsi="Times New Roman" w:cs="Times New Roman"/>
          <w:sz w:val="20"/>
          <w:szCs w:val="20"/>
        </w:rPr>
      </w:pPr>
    </w:p>
    <w:sectPr w:rsidR="00826EDF" w:rsidRPr="004B2065" w:rsidSect="00826EDF">
      <w:pgSz w:w="12240" w:h="15840"/>
      <w:pgMar w:top="720" w:right="810" w:bottom="72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E09D9"/>
    <w:multiLevelType w:val="hybridMultilevel"/>
    <w:tmpl w:val="02C6D6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17081435">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BBB"/>
    <w:rsid w:val="00146BBB"/>
    <w:rsid w:val="00447EBC"/>
    <w:rsid w:val="004503D3"/>
    <w:rsid w:val="004B2065"/>
    <w:rsid w:val="006C59B6"/>
    <w:rsid w:val="00755F80"/>
    <w:rsid w:val="007E5380"/>
    <w:rsid w:val="00826EDF"/>
    <w:rsid w:val="009974A2"/>
    <w:rsid w:val="00A501E4"/>
    <w:rsid w:val="00E22987"/>
    <w:rsid w:val="00EB1B9E"/>
    <w:rsid w:val="00F61977"/>
    <w:rsid w:val="00FE3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B49D8"/>
  <w15:chartTrackingRefBased/>
  <w15:docId w15:val="{05BB5342-EDD9-458E-AF1B-9C0A7002B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B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6B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6B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6B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6B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6B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B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B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B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B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6B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6B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6B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6B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6B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B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B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BBB"/>
    <w:rPr>
      <w:rFonts w:eastAsiaTheme="majorEastAsia" w:cstheme="majorBidi"/>
      <w:color w:val="272727" w:themeColor="text1" w:themeTint="D8"/>
    </w:rPr>
  </w:style>
  <w:style w:type="paragraph" w:styleId="Title">
    <w:name w:val="Title"/>
    <w:basedOn w:val="Normal"/>
    <w:next w:val="Normal"/>
    <w:link w:val="TitleChar"/>
    <w:uiPriority w:val="10"/>
    <w:qFormat/>
    <w:rsid w:val="00146B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B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B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B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BBB"/>
    <w:pPr>
      <w:spacing w:before="160"/>
      <w:jc w:val="center"/>
    </w:pPr>
    <w:rPr>
      <w:i/>
      <w:iCs/>
      <w:color w:val="404040" w:themeColor="text1" w:themeTint="BF"/>
    </w:rPr>
  </w:style>
  <w:style w:type="character" w:customStyle="1" w:styleId="QuoteChar">
    <w:name w:val="Quote Char"/>
    <w:basedOn w:val="DefaultParagraphFont"/>
    <w:link w:val="Quote"/>
    <w:uiPriority w:val="29"/>
    <w:rsid w:val="00146BBB"/>
    <w:rPr>
      <w:i/>
      <w:iCs/>
      <w:color w:val="404040" w:themeColor="text1" w:themeTint="BF"/>
    </w:rPr>
  </w:style>
  <w:style w:type="paragraph" w:styleId="ListParagraph">
    <w:name w:val="List Paragraph"/>
    <w:basedOn w:val="Normal"/>
    <w:uiPriority w:val="34"/>
    <w:qFormat/>
    <w:rsid w:val="00146BBB"/>
    <w:pPr>
      <w:ind w:left="720"/>
      <w:contextualSpacing/>
    </w:pPr>
  </w:style>
  <w:style w:type="character" w:styleId="IntenseEmphasis">
    <w:name w:val="Intense Emphasis"/>
    <w:basedOn w:val="DefaultParagraphFont"/>
    <w:uiPriority w:val="21"/>
    <w:qFormat/>
    <w:rsid w:val="00146BBB"/>
    <w:rPr>
      <w:i/>
      <w:iCs/>
      <w:color w:val="2F5496" w:themeColor="accent1" w:themeShade="BF"/>
    </w:rPr>
  </w:style>
  <w:style w:type="paragraph" w:styleId="IntenseQuote">
    <w:name w:val="Intense Quote"/>
    <w:basedOn w:val="Normal"/>
    <w:next w:val="Normal"/>
    <w:link w:val="IntenseQuoteChar"/>
    <w:uiPriority w:val="30"/>
    <w:qFormat/>
    <w:rsid w:val="00146B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6BBB"/>
    <w:rPr>
      <w:i/>
      <w:iCs/>
      <w:color w:val="2F5496" w:themeColor="accent1" w:themeShade="BF"/>
    </w:rPr>
  </w:style>
  <w:style w:type="character" w:styleId="IntenseReference">
    <w:name w:val="Intense Reference"/>
    <w:basedOn w:val="DefaultParagraphFont"/>
    <w:uiPriority w:val="32"/>
    <w:qFormat/>
    <w:rsid w:val="00146BBB"/>
    <w:rPr>
      <w:b/>
      <w:bCs/>
      <w:smallCaps/>
      <w:color w:val="2F5496" w:themeColor="accent1" w:themeShade="BF"/>
      <w:spacing w:val="5"/>
    </w:rPr>
  </w:style>
  <w:style w:type="character" w:styleId="Hyperlink">
    <w:name w:val="Hyperlink"/>
    <w:basedOn w:val="DefaultParagraphFont"/>
    <w:uiPriority w:val="99"/>
    <w:unhideWhenUsed/>
    <w:rsid w:val="00826EDF"/>
    <w:rPr>
      <w:color w:val="0563C1" w:themeColor="hyperlink"/>
      <w:u w:val="single"/>
    </w:rPr>
  </w:style>
  <w:style w:type="character" w:styleId="UnresolvedMention">
    <w:name w:val="Unresolved Mention"/>
    <w:basedOn w:val="DefaultParagraphFont"/>
    <w:uiPriority w:val="99"/>
    <w:semiHidden/>
    <w:unhideWhenUsed/>
    <w:rsid w:val="00826E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3</Pages>
  <Words>2405</Words>
  <Characters>13712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 Dr. Celestin</dc:creator>
  <cp:keywords/>
  <dc:description/>
  <cp:lastModifiedBy>Prof. Dr. Celestin</cp:lastModifiedBy>
  <cp:revision>6</cp:revision>
  <dcterms:created xsi:type="dcterms:W3CDTF">2026-10-13T10:38:00Z</dcterms:created>
  <dcterms:modified xsi:type="dcterms:W3CDTF">2026-10-13T12:10:00Z</dcterms:modified>
</cp:coreProperties>
</file>