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7"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Translational Neuroengineering Lab</w:t>
      </w:r>
      <w:r>
        <w:rPr>
          <w:sz w:val="22"/>
          <w:szCs w:val="22"/>
        </w:rPr>
        <w:tab/>
        <w:t xml:space="preserve"> 09/2022-Present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lastRenderedPageBreak/>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1C8A948F" w14:textId="7A5A4C1E"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Taewoo Kim, </w:t>
      </w:r>
      <w:r>
        <w:rPr>
          <w:sz w:val="22"/>
          <w:szCs w:val="22"/>
        </w:rPr>
        <w:t>Evan Dastin-van Rijn</w:t>
      </w:r>
      <w:r>
        <w:rPr>
          <w:b w:val="0"/>
          <w:bCs w:val="0"/>
          <w:sz w:val="22"/>
          <w:szCs w:val="22"/>
        </w:rPr>
        <w:t>, Nicole R. Provenza, Sameer A. Sheth, Wayne K. Goodman, David A. Borton, Matthew T. Harrison, Jerome Darbon.,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072BD0B3"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87886BC"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lastRenderedPageBreak/>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75003BB" w14:textId="3A549B9F"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086B2961" w:rsidR="0087499A" w:rsidRP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72B33512" w14:textId="77777777" w:rsidR="00F372BE" w:rsidRDefault="00F372BE" w:rsidP="00F372BE">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2C5FCFCA" w14:textId="3904BE07" w:rsidR="00F372BE" w:rsidRDefault="00F372BE" w:rsidP="00F372BE">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235CCF" w14:textId="77777777"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2A44314" w14:textId="79079BFC" w:rsidR="004F2758" w:rsidRPr="004F2758" w:rsidRDefault="004F2758" w:rsidP="004F2758">
      <w:pPr>
        <w:tabs>
          <w:tab w:val="left" w:pos="8370"/>
        </w:tabs>
        <w:ind w:left="270"/>
        <w:rPr>
          <w:sz w:val="22"/>
          <w:szCs w:val="22"/>
        </w:rPr>
      </w:pPr>
      <w:r>
        <w:rPr>
          <w:sz w:val="22"/>
          <w:szCs w:val="22"/>
        </w:rPr>
        <w:t>“Unilateral electrical stimulation is sufficient to improve behavioral flexibility in rodents” (Co-author)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4E37FA8" w14:textId="3475A68F"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(SFN)                                                            September 2022</w:t>
      </w:r>
    </w:p>
    <w:p w14:paraId="032EFFA5" w14:textId="62D58887" w:rsidR="00B84ADB" w:rsidRDefault="0043626C" w:rsidP="00A366F3">
      <w:pPr>
        <w:tabs>
          <w:tab w:val="left" w:pos="7920"/>
        </w:tabs>
        <w:ind w:left="270"/>
        <w:rPr>
          <w:sz w:val="22"/>
          <w:szCs w:val="22"/>
        </w:rPr>
      </w:pPr>
      <w:r>
        <w:rPr>
          <w:sz w:val="22"/>
          <w:szCs w:val="22"/>
        </w:rPr>
        <w:t>Cirtec</w:t>
      </w:r>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0993A" w14:textId="77777777" w:rsidR="00577E40" w:rsidRDefault="00577E40" w:rsidP="004B67A4">
      <w:r>
        <w:separator/>
      </w:r>
    </w:p>
  </w:endnote>
  <w:endnote w:type="continuationSeparator" w:id="0">
    <w:p w14:paraId="71DFA82E" w14:textId="77777777" w:rsidR="00577E40" w:rsidRDefault="00577E40"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A191" w14:textId="77777777" w:rsidR="00577E40" w:rsidRDefault="00577E40" w:rsidP="004B67A4">
      <w:r>
        <w:separator/>
      </w:r>
    </w:p>
  </w:footnote>
  <w:footnote w:type="continuationSeparator" w:id="0">
    <w:p w14:paraId="3B3CD72E" w14:textId="77777777" w:rsidR="00577E40" w:rsidRDefault="00577E40"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66C4DC31" w:rsidR="004B67A4" w:rsidRDefault="004B67A4">
    <w:pPr>
      <w:pStyle w:val="Header"/>
    </w:pPr>
    <w:r>
      <w:tab/>
    </w:r>
    <w:r>
      <w:tab/>
    </w:r>
    <w:r w:rsidR="004040DA">
      <w:rPr>
        <w:sz w:val="22"/>
        <w:szCs w:val="22"/>
      </w:rPr>
      <w:t>9</w:t>
    </w:r>
    <w:r>
      <w:rPr>
        <w:sz w:val="22"/>
        <w:szCs w:val="22"/>
      </w:rPr>
      <w:t>/1</w:t>
    </w:r>
    <w:r w:rsidR="004040DA">
      <w:rPr>
        <w:sz w:val="22"/>
        <w:szCs w:val="22"/>
      </w:rPr>
      <w:t>9</w:t>
    </w:r>
    <w:r>
      <w:rPr>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425894">
    <w:abstractNumId w:val="2"/>
  </w:num>
  <w:num w:numId="2" w16cid:durableId="944071938">
    <w:abstractNumId w:val="3"/>
  </w:num>
  <w:num w:numId="3" w16cid:durableId="345642517">
    <w:abstractNumId w:val="4"/>
  </w:num>
  <w:num w:numId="4" w16cid:durableId="872496361">
    <w:abstractNumId w:val="1"/>
  </w:num>
  <w:num w:numId="5" w16cid:durableId="111891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0F7829"/>
    <w:rsid w:val="001171C6"/>
    <w:rsid w:val="00184CF0"/>
    <w:rsid w:val="00190FAC"/>
    <w:rsid w:val="00194A93"/>
    <w:rsid w:val="001A053D"/>
    <w:rsid w:val="001A3143"/>
    <w:rsid w:val="0024156F"/>
    <w:rsid w:val="00242B76"/>
    <w:rsid w:val="00295073"/>
    <w:rsid w:val="0029761D"/>
    <w:rsid w:val="002A7DB6"/>
    <w:rsid w:val="002B6B97"/>
    <w:rsid w:val="003F0006"/>
    <w:rsid w:val="004040DA"/>
    <w:rsid w:val="004077B6"/>
    <w:rsid w:val="0043012A"/>
    <w:rsid w:val="0043626C"/>
    <w:rsid w:val="004535C4"/>
    <w:rsid w:val="00462392"/>
    <w:rsid w:val="004B67A4"/>
    <w:rsid w:val="004E0D67"/>
    <w:rsid w:val="004E462D"/>
    <w:rsid w:val="004F2758"/>
    <w:rsid w:val="005228F9"/>
    <w:rsid w:val="00562F91"/>
    <w:rsid w:val="00577E40"/>
    <w:rsid w:val="00585B47"/>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7499A"/>
    <w:rsid w:val="008A3599"/>
    <w:rsid w:val="008B0F87"/>
    <w:rsid w:val="008B3EB9"/>
    <w:rsid w:val="008C2A6A"/>
    <w:rsid w:val="008C31E9"/>
    <w:rsid w:val="008C5E47"/>
    <w:rsid w:val="009C0E2C"/>
    <w:rsid w:val="009F2E35"/>
    <w:rsid w:val="009F6C1D"/>
    <w:rsid w:val="00A17BD9"/>
    <w:rsid w:val="00A366F3"/>
    <w:rsid w:val="00A4142B"/>
    <w:rsid w:val="00A6747D"/>
    <w:rsid w:val="00A879E6"/>
    <w:rsid w:val="00AA0A30"/>
    <w:rsid w:val="00AA57B6"/>
    <w:rsid w:val="00AC2440"/>
    <w:rsid w:val="00B42248"/>
    <w:rsid w:val="00B51DF3"/>
    <w:rsid w:val="00B57581"/>
    <w:rsid w:val="00B616EE"/>
    <w:rsid w:val="00B84ADB"/>
    <w:rsid w:val="00C21E10"/>
    <w:rsid w:val="00C34498"/>
    <w:rsid w:val="00C816ED"/>
    <w:rsid w:val="00CA2EFF"/>
    <w:rsid w:val="00CA4028"/>
    <w:rsid w:val="00CC04D1"/>
    <w:rsid w:val="00CD0F7F"/>
    <w:rsid w:val="00D2158F"/>
    <w:rsid w:val="00D97871"/>
    <w:rsid w:val="00DD0C3A"/>
    <w:rsid w:val="00DD5E9B"/>
    <w:rsid w:val="00DE63BF"/>
    <w:rsid w:val="00E5369C"/>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sti006@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38</cp:revision>
  <dcterms:created xsi:type="dcterms:W3CDTF">2021-03-31T18:28:00Z</dcterms:created>
  <dcterms:modified xsi:type="dcterms:W3CDTF">2022-11-09T03:12:00Z</dcterms:modified>
</cp:coreProperties>
</file>