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BEC5" w14:textId="18D3A781" w:rsidR="004A7BC7" w:rsidRDefault="007528C6">
      <w:pPr>
        <w:spacing w:before="2600"/>
        <w:jc w:val="center"/>
      </w:pPr>
      <w:r>
        <w:rPr>
          <w:b/>
          <w:bCs/>
          <w:color w:val="1F3A5F"/>
          <w:sz w:val="56"/>
          <w:szCs w:val="56"/>
        </w:rPr>
        <w:t>NUVEM VOADORA</w:t>
      </w:r>
    </w:p>
    <w:p w14:paraId="37DA512D" w14:textId="77777777" w:rsidR="004A7BC7" w:rsidRDefault="00546EF2">
      <w:pPr>
        <w:spacing w:before="120"/>
        <w:jc w:val="center"/>
      </w:pPr>
      <w:r>
        <w:rPr>
          <w:color w:val="2E6FA7"/>
          <w:sz w:val="36"/>
          <w:szCs w:val="36"/>
        </w:rPr>
        <w:t>HUB Consolidador de Pedidos TCG</w:t>
      </w:r>
    </w:p>
    <w:p w14:paraId="4D68FB5F" w14:textId="77777777" w:rsidR="004A7BC7" w:rsidRDefault="00546EF2">
      <w:pPr>
        <w:pBdr>
          <w:top w:val="single" w:sz="8" w:space="10" w:color="2E6FA7"/>
        </w:pBdr>
        <w:spacing w:before="600"/>
        <w:jc w:val="center"/>
      </w:pPr>
      <w:r>
        <w:rPr>
          <w:i/>
          <w:iCs/>
          <w:color w:val="6B6B6B"/>
          <w:sz w:val="24"/>
          <w:szCs w:val="24"/>
        </w:rPr>
        <w:t>Documento de arquitetura operacional e sistêmica</w:t>
      </w:r>
    </w:p>
    <w:p w14:paraId="4F80450D" w14:textId="215FF2C6" w:rsidR="004A7BC7" w:rsidRDefault="00546EF2">
      <w:pPr>
        <w:spacing w:before="1800"/>
        <w:jc w:val="center"/>
      </w:pPr>
      <w:r>
        <w:rPr>
          <w:color w:val="6B6B6B"/>
          <w:sz w:val="22"/>
          <w:szCs w:val="22"/>
        </w:rPr>
        <w:t>Versão 1.0</w:t>
      </w:r>
    </w:p>
    <w:p w14:paraId="06E5DFE3" w14:textId="77777777" w:rsidR="004A7BC7" w:rsidRDefault="00546EF2">
      <w:pPr>
        <w:spacing w:before="80"/>
        <w:jc w:val="center"/>
      </w:pPr>
      <w:r>
        <w:rPr>
          <w:color w:val="6B6B6B"/>
          <w:sz w:val="22"/>
          <w:szCs w:val="22"/>
        </w:rPr>
        <w:t>Início de operação: São Paulo / Grande SP</w:t>
      </w:r>
    </w:p>
    <w:p w14:paraId="3BCACAFA" w14:textId="77777777" w:rsidR="004A7BC7" w:rsidRDefault="00546EF2">
      <w:r>
        <w:br w:type="page"/>
      </w:r>
    </w:p>
    <w:p w14:paraId="6DD9A58B" w14:textId="77777777" w:rsidR="004A7BC7" w:rsidRDefault="00546EF2">
      <w:pPr>
        <w:spacing w:after="200"/>
      </w:pPr>
      <w:r>
        <w:rPr>
          <w:b/>
          <w:bCs/>
          <w:color w:val="1F3A5F"/>
          <w:sz w:val="30"/>
          <w:szCs w:val="30"/>
        </w:rPr>
        <w:lastRenderedPageBreak/>
        <w:t>Sumário</w:t>
      </w:r>
    </w:p>
    <w:sdt>
      <w:sdtPr>
        <w:alias w:val="Sumário"/>
        <w:id w:val="-1515447110"/>
      </w:sdtPr>
      <w:sdtEndPr/>
      <w:sdtContent>
        <w:p w14:paraId="51B0C5B3" w14:textId="77777777" w:rsidR="004A7BC7" w:rsidRDefault="00546EF2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59D35C7" w14:textId="77777777" w:rsidR="004A7BC7" w:rsidRDefault="00546EF2">
          <w:r>
            <w:fldChar w:fldCharType="end"/>
          </w:r>
        </w:p>
      </w:sdtContent>
    </w:sdt>
    <w:p w14:paraId="7B24CD49" w14:textId="77777777" w:rsidR="004A7BC7" w:rsidRDefault="00546EF2">
      <w:r>
        <w:br w:type="page"/>
      </w:r>
    </w:p>
    <w:p w14:paraId="4DE459FD" w14:textId="77777777" w:rsidR="004A7BC7" w:rsidRDefault="00546EF2">
      <w:pPr>
        <w:pStyle w:val="Heading1"/>
      </w:pPr>
      <w:r>
        <w:lastRenderedPageBreak/>
        <w:t>1. Visão geral da solução</w:t>
      </w:r>
    </w:p>
    <w:p w14:paraId="4C5D0B1D" w14:textId="77777777" w:rsidR="004A7BC7" w:rsidRDefault="00546EF2">
      <w:pPr>
        <w:spacing w:after="140" w:line="276" w:lineRule="auto"/>
      </w:pPr>
      <w:r>
        <w:t>Este documento especifica a solução de consolidação logística para o mercado de Trading Card Games (TCG) e define as áreas funcionais da empresa. Serve como referência central para alinhamento entre fundadores, futuros colaboradores e parceiros.</w:t>
      </w:r>
    </w:p>
    <w:p w14:paraId="288026F6" w14:textId="77777777" w:rsidR="004A7BC7" w:rsidRDefault="00546EF2">
      <w:pPr>
        <w:pStyle w:val="Heading2"/>
      </w:pPr>
      <w:r>
        <w:t>1.1. O problema</w:t>
      </w:r>
    </w:p>
    <w:p w14:paraId="57637386" w14:textId="04CD1AD8" w:rsidR="004A7BC7" w:rsidRDefault="00546EF2">
      <w:pPr>
        <w:spacing w:after="140" w:line="276" w:lineRule="auto"/>
      </w:pPr>
      <w:r>
        <w:t xml:space="preserve">Plataformas </w:t>
      </w:r>
      <w:r w:rsidR="003047E8">
        <w:t xml:space="preserve">da Liga </w:t>
      </w:r>
      <w:r>
        <w:t>como Liga Magic, Liga Pokémon e Liga Lorcana reúnem o estoque de diversas lojas. Quando um cliente monta uma lista grande de cartas e produtos, dificilmente uma única loja atende o pedido completo. A plataforma então divide o pedido entre várias lojas, e o cliente paga um frete separado para cada uma.</w:t>
      </w:r>
    </w:p>
    <w:p w14:paraId="1D53B273" w14:textId="77777777" w:rsidR="004A7BC7" w:rsidRDefault="00546EF2">
      <w:pPr>
        <w:spacing w:after="140" w:line="276" w:lineRule="auto"/>
      </w:pPr>
      <w:r>
        <w:rPr>
          <w:b/>
          <w:bCs/>
        </w:rPr>
        <w:t xml:space="preserve">Consequência: </w:t>
      </w:r>
      <w:r>
        <w:t>o custo somado dos fretes frequentemente supera o valor do próprio pedido, desestimulando compras maiores e gerando carrinho abandonado.</w:t>
      </w:r>
    </w:p>
    <w:p w14:paraId="2EF1A64B" w14:textId="77777777" w:rsidR="004A7BC7" w:rsidRDefault="00546EF2">
      <w:pPr>
        <w:pStyle w:val="Heading2"/>
      </w:pPr>
      <w:r>
        <w:t>1.2. A solução</w:t>
      </w:r>
    </w:p>
    <w:p w14:paraId="07854DC9" w14:textId="77777777" w:rsidR="004A7BC7" w:rsidRDefault="00546EF2">
      <w:pPr>
        <w:spacing w:after="140" w:line="276" w:lineRule="auto"/>
      </w:pPr>
      <w:r>
        <w:t>Criamos um HUB intermediário de consolidação. Cada loja envia ao HUB apenas a parte do pedido sob sua responsabilidade. O HUB reúne as partes de todas as lojas referentes a um mesmo cliente e despacha um único pacote consolidado, com um único frete, para o cliente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BC7" w14:paraId="0A2DF5F9" w14:textId="77777777">
        <w:tc>
          <w:tcPr>
            <w:tcW w:w="9360" w:type="dxa"/>
            <w:tcBorders>
              <w:top w:val="single" w:sz="1" w:space="0" w:color="CCCCCC"/>
              <w:left w:val="single" w:sz="18" w:space="0" w:color="2E6FA7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005D6E3" w14:textId="77777777" w:rsidR="004A7BC7" w:rsidRDefault="00546EF2"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>Proposta de valor em uma frase</w:t>
            </w:r>
          </w:p>
          <w:p w14:paraId="1B118527" w14:textId="77777777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Transformar vários fretes caros em um único frete barato, diluindo o custo de envio e viabilizando pedidos maiores — beneficiando cliente, loja e plataforma simultaneamente.</w:t>
            </w:r>
          </w:p>
        </w:tc>
      </w:tr>
    </w:tbl>
    <w:p w14:paraId="20420BE7" w14:textId="77777777" w:rsidR="004A7BC7" w:rsidRDefault="004A7BC7">
      <w:pPr>
        <w:spacing w:after="120"/>
      </w:pPr>
    </w:p>
    <w:p w14:paraId="20CF6A79" w14:textId="77777777" w:rsidR="004A7BC7" w:rsidRDefault="00546EF2">
      <w:pPr>
        <w:pStyle w:val="Heading2"/>
      </w:pPr>
      <w:r>
        <w:t>1.3. Modelo de consolidação por janela</w:t>
      </w:r>
    </w:p>
    <w:p w14:paraId="5034575B" w14:textId="77777777" w:rsidR="004A7BC7" w:rsidRDefault="00546EF2">
      <w:pPr>
        <w:spacing w:after="140" w:line="276" w:lineRule="auto"/>
      </w:pPr>
      <w:r>
        <w:t>As lojas não enviam ao HUB a cada pedido. Elas acumulam pedidos dentro de uma janela de tempo (por exemplo, 7 ou 15 dias) e enviam tudo de uma vez, em uma única caixa. Isso reduz drasticamente o custo de frete loja → HUB, pois ele é diluído entre muitos pedidos.</w:t>
      </w:r>
    </w:p>
    <w:p w14:paraId="03082F21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Janela maior (15 dias): mais pedidos acumulados, frete unitário menor, prazo de entrega mais longo. Indicada para o início, com volume baixo.</w:t>
      </w:r>
    </w:p>
    <w:p w14:paraId="6C04BC22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Janela menor (7 dias ou menos): prazo mais curto ao cliente, exige volume maior para manter o frete diluído. Meta de médio prazo.</w:t>
      </w:r>
    </w:p>
    <w:p w14:paraId="0CB25892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Janelas podem ser diferenciadas por loja: parceiros de alto volume enviam com mais frequência.</w:t>
      </w:r>
    </w:p>
    <w:p w14:paraId="30FC98F4" w14:textId="77777777" w:rsidR="004A7BC7" w:rsidRDefault="004A7BC7">
      <w:pPr>
        <w:spacing w:after="120"/>
      </w:pPr>
    </w:p>
    <w:p w14:paraId="6584A028" w14:textId="77777777" w:rsidR="004A7BC7" w:rsidRDefault="00546EF2">
      <w:pPr>
        <w:pStyle w:val="Heading2"/>
      </w:pPr>
      <w:r>
        <w:t>1.4. Quem ganha o quê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A7BC7" w14:paraId="39D7C9B8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00FE5E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B1BD7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Benefício</w:t>
            </w:r>
          </w:p>
        </w:tc>
      </w:tr>
      <w:tr w:rsidR="004A7BC7" w14:paraId="602E917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25DA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Cliente final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B09AC7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Paga um frete único e barato em vez de vários. Viabiliza pedidos maiores.</w:t>
            </w:r>
          </w:p>
        </w:tc>
      </w:tr>
      <w:tr w:rsidR="004A7BC7" w14:paraId="6345EFF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F85E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Loja parceira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FE80D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Vende mais (menos carrinho abandonado) e o frete até o HUB é diluído entre seus pedidos da janela.</w:t>
            </w:r>
          </w:p>
        </w:tc>
      </w:tr>
      <w:tr w:rsidR="004A7BC7" w14:paraId="6FD33F7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4E919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Plataforma (Liga)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F274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Aumenta a conversão e o ticket médio dos pedidos multi-loja.</w:t>
            </w:r>
          </w:p>
        </w:tc>
      </w:tr>
      <w:tr w:rsidR="004A7BC7" w14:paraId="1DA49EC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367C31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HUB (nós)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7340D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Recebe uma taxa de serviço por pedido de cliente consolidado.</w:t>
            </w:r>
          </w:p>
        </w:tc>
      </w:tr>
    </w:tbl>
    <w:p w14:paraId="4F6D14A2" w14:textId="77777777" w:rsidR="004A7BC7" w:rsidRDefault="00546EF2">
      <w:pPr>
        <w:pStyle w:val="Heading1"/>
      </w:pPr>
      <w:r>
        <w:t>2. Modelo de receita e premissas</w:t>
      </w:r>
    </w:p>
    <w:p w14:paraId="26BD75DA" w14:textId="77777777" w:rsidR="004A7BC7" w:rsidRDefault="00546EF2">
      <w:pPr>
        <w:spacing w:after="140" w:line="276" w:lineRule="auto"/>
      </w:pPr>
      <w:r>
        <w:t>A unidade de receita é o pedido do cliente, não a quantidade de lojas envolvidas. Um pedido que reúne partes de três lojas é um único pedido consolidado e gera uma única taxa de serviço.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BC7" w14:paraId="68F761B3" w14:textId="77777777">
        <w:tc>
          <w:tcPr>
            <w:tcW w:w="9360" w:type="dxa"/>
            <w:tcBorders>
              <w:top w:val="single" w:sz="1" w:space="0" w:color="CCCCCC"/>
              <w:left w:val="single" w:sz="18" w:space="0" w:color="2E6FA7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D5EEE5B" w14:textId="77777777" w:rsidR="004A7BC7" w:rsidRDefault="00546EF2"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>Regra de ouro da receita</w:t>
            </w:r>
          </w:p>
          <w:p w14:paraId="4DEB01CF" w14:textId="77777777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1 pedido de cliente = 1 taxa de serviço.</w:t>
            </w:r>
          </w:p>
          <w:p w14:paraId="4BB1397E" w14:textId="77777777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As partes recebidas de cada loja são eventos operacionais (afetam custo e carga de trabalho), não eventos de receita.</w:t>
            </w:r>
          </w:p>
        </w:tc>
      </w:tr>
    </w:tbl>
    <w:p w14:paraId="756C0271" w14:textId="77777777" w:rsidR="004A7BC7" w:rsidRDefault="004A7BC7">
      <w:pPr>
        <w:spacing w:after="120"/>
      </w:pPr>
    </w:p>
    <w:p w14:paraId="4BA690E7" w14:textId="77777777" w:rsidR="004A7BC7" w:rsidRDefault="00546EF2">
      <w:pPr>
        <w:pStyle w:val="Heading2"/>
      </w:pPr>
      <w:r>
        <w:t>2.1. Componentes financeiros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7BC7" w14:paraId="3DE753C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1BE77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4BF2F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Responsável pelo custo / destino</w:t>
            </w:r>
          </w:p>
        </w:tc>
      </w:tr>
      <w:tr w:rsidR="004A7BC7" w14:paraId="02D7F3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4D93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Frete loja → 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8F205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Custo da loja parceira (diluído na janela).</w:t>
            </w:r>
          </w:p>
        </w:tc>
      </w:tr>
      <w:tr w:rsidR="004A7BC7" w14:paraId="5ECA97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CF6F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Frete HUB → 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BF59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Repassado integralmente ao cliente no checkout.</w:t>
            </w:r>
          </w:p>
        </w:tc>
      </w:tr>
      <w:tr w:rsidR="004A7BC7" w14:paraId="34F4C6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6A353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Taxa de serviço do 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54595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Receita da empresa, cobrada por pedido de cliente.</w:t>
            </w:r>
          </w:p>
        </w:tc>
      </w:tr>
      <w:tr w:rsidR="004A7BC7" w14:paraId="5DE12F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A8A38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Custos fixos (aluguel, materiais, mão de obra)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5552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Custo da empresa.</w:t>
            </w:r>
          </w:p>
        </w:tc>
      </w:tr>
    </w:tbl>
    <w:p w14:paraId="22F1F6ED" w14:textId="77777777" w:rsidR="004A7BC7" w:rsidRDefault="004A7BC7">
      <w:pPr>
        <w:spacing w:after="120"/>
      </w:pPr>
    </w:p>
    <w:p w14:paraId="379AA695" w14:textId="77777777" w:rsidR="004A7BC7" w:rsidRDefault="00546EF2">
      <w:pPr>
        <w:spacing w:after="140" w:line="276" w:lineRule="auto"/>
      </w:pPr>
      <w:r>
        <w:t>O resultado líquido mensal é, de forma simplificada: (pedidos de clientes no mês × taxa de serviço) menos os custos fixos. Como o custo fixo cresce pouco com o volume, a margem melhora à medida que mais pedidos passam pelo HUB. Volume é a principal alavanca do negócio.</w:t>
      </w:r>
    </w:p>
    <w:p w14:paraId="42F57CB8" w14:textId="77777777" w:rsidR="004A7BC7" w:rsidRDefault="00546EF2">
      <w:pPr>
        <w:pStyle w:val="Heading1"/>
      </w:pPr>
      <w:r>
        <w:t>3. Fluxo operacional ponta a ponta</w:t>
      </w:r>
    </w:p>
    <w:p w14:paraId="5EBE6979" w14:textId="77777777" w:rsidR="004A7BC7" w:rsidRDefault="00546EF2">
      <w:pPr>
        <w:spacing w:after="140" w:line="276" w:lineRule="auto"/>
      </w:pPr>
      <w:r>
        <w:t>Esta seção descreve o caminho completo de um pedido, do recebimento da ordem de serviço no sistema até o despacho do pacote consolidado ao cliente. Cada etapa é descrita na dupla dimensão: sistêmica (o que o software faz) e logística (o que acontece fisicamente).</w:t>
      </w:r>
    </w:p>
    <w:p w14:paraId="49E11D80" w14:textId="77777777" w:rsidR="004A7BC7" w:rsidRDefault="00546EF2">
      <w:pPr>
        <w:pStyle w:val="Heading2"/>
      </w:pPr>
      <w:r>
        <w:t>3.1. Visão macro das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5260"/>
      </w:tblGrid>
      <w:tr w:rsidR="004A7BC7" w14:paraId="012D250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58978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7B5DC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876AA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Resumo</w:t>
            </w:r>
          </w:p>
        </w:tc>
      </w:tr>
      <w:tr w:rsidR="004A7BC7" w14:paraId="44F8D1D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F1A1F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FF55F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Captação do pedido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524F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Pedido consolidável é identificado e registrado como ordem de serviço.</w:t>
            </w:r>
          </w:p>
        </w:tc>
      </w:tr>
      <w:tr w:rsidR="004A7BC7" w14:paraId="5AA83C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69CA4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4054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Roteamento às lojas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AB254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O sistema notifica cada loja sobre a parte que lhe cabe.</w:t>
            </w:r>
          </w:p>
        </w:tc>
      </w:tr>
      <w:tr w:rsidR="004A7BC7" w14:paraId="01A9A12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E0C26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F3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4CDC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Janela de acúmulo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7C33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Lojas separam e acumulam partes até o fechamento da janela.</w:t>
            </w:r>
          </w:p>
        </w:tc>
      </w:tr>
      <w:tr w:rsidR="004A7BC7" w14:paraId="079FD49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980C2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78D89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Envio loja → HUB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DA3C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Lojas despacham as caixas da janela para o HUB.</w:t>
            </w:r>
          </w:p>
        </w:tc>
      </w:tr>
      <w:tr w:rsidR="004A7BC7" w14:paraId="3C928A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A9406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D5963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Recebimento e conferência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AEF1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O HUB confere e dá entrada em cada parte recebida.</w:t>
            </w:r>
          </w:p>
        </w:tc>
      </w:tr>
      <w:tr w:rsidR="004A7BC7" w14:paraId="6852E4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57453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C68D3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Consolidação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E23D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Partes do mesmo cliente são reunidas em um único pedido.</w:t>
            </w:r>
          </w:p>
        </w:tc>
      </w:tr>
      <w:tr w:rsidR="004A7BC7" w14:paraId="14C65B7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2339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1409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Embalagem e despacho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8489D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Pacote consolidado é embalado e enviado ao cliente.</w:t>
            </w:r>
          </w:p>
        </w:tc>
      </w:tr>
      <w:tr w:rsidR="004A7BC7" w14:paraId="52BE5BF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FD96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F8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4BB0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Pós-venda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70D19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Rastreamento, entrega e tratamento de exceções.</w:t>
            </w:r>
          </w:p>
        </w:tc>
      </w:tr>
    </w:tbl>
    <w:p w14:paraId="6BDACB13" w14:textId="77777777" w:rsidR="004A7BC7" w:rsidRDefault="004A7BC7">
      <w:pPr>
        <w:spacing w:after="120"/>
      </w:pPr>
    </w:p>
    <w:p w14:paraId="43AD8885" w14:textId="77777777" w:rsidR="004A7BC7" w:rsidRDefault="00546EF2">
      <w:pPr>
        <w:pStyle w:val="Heading2"/>
      </w:pPr>
      <w:r>
        <w:t>3.2. Detalhamento de cada fase</w:t>
      </w:r>
    </w:p>
    <w:p w14:paraId="735B3074" w14:textId="77777777" w:rsidR="004A7BC7" w:rsidRDefault="00546EF2">
      <w:pPr>
        <w:pStyle w:val="Heading3"/>
      </w:pPr>
      <w:r>
        <w:t>Fase 1 — Captação do pedido</w:t>
      </w:r>
    </w:p>
    <w:p w14:paraId="0C5EBFB0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a integração com a plataforma (via API, exportação ou — no MVP — registro manual) identifica pedidos multi-loja elegíveis. O sistema cria uma Ordem de Serviço (OS) consolidada com um identificador único e associa a ela cada parte por loja.</w:t>
      </w:r>
    </w:p>
    <w:p w14:paraId="29EC8BFF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nada físico ocorre ainda. Define-se a janela de consolidação à qual o pedido pertence e o prazo estimado de entrega comunicado ao cliente.</w:t>
      </w:r>
    </w:p>
    <w:p w14:paraId="72C36CEE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OS criada, partes mapeadas por loja, prazo estimado registrado.</w:t>
      </w:r>
    </w:p>
    <w:p w14:paraId="4E36E89C" w14:textId="77777777" w:rsidR="004A7BC7" w:rsidRDefault="00546EF2">
      <w:pPr>
        <w:pStyle w:val="Heading3"/>
      </w:pPr>
      <w:r>
        <w:t>Fase 2 — Roteamento às lojas</w:t>
      </w:r>
    </w:p>
    <w:p w14:paraId="2B869625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cada loja recebe uma notificação (painel do lojista, e-mail ou integração) com a lista exata de itens da sua parte, o código da OS e a data-limite de envio ao HUB referente à janela.</w:t>
      </w:r>
    </w:p>
    <w:p w14:paraId="653ACB60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a loja confirma a disponibilidade dos itens. Em caso de ruptura de estoque, registra a falta no sistema para acionar o fluxo de exceção.</w:t>
      </w:r>
    </w:p>
    <w:p w14:paraId="1B991C16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cada loja ciente da sua parte e do prazo; disponibilidade confirmada.</w:t>
      </w:r>
    </w:p>
    <w:p w14:paraId="5BD73548" w14:textId="77777777" w:rsidR="004A7BC7" w:rsidRDefault="00546EF2">
      <w:pPr>
        <w:pStyle w:val="Heading3"/>
      </w:pPr>
      <w:r>
        <w:t>Fase 3 — Janela de acúmulo</w:t>
      </w:r>
    </w:p>
    <w:p w14:paraId="6A23FB52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o sistema agrupa todas as partes destinadas ao HUB por loja e por janela, e gera para cada loja uma lista de expedição (picking list) consolidada de todos os pedidos do período.</w:t>
      </w:r>
    </w:p>
    <w:p w14:paraId="016D75C6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a loja separa fisicamente as cartas e produtos de cada pedido, identificando individualmente cada parte com o código da OS correspondente (etiqueta ou sleeve identificado).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BC7" w14:paraId="775F9B4E" w14:textId="77777777">
        <w:tc>
          <w:tcPr>
            <w:tcW w:w="9360" w:type="dxa"/>
            <w:tcBorders>
              <w:top w:val="single" w:sz="1" w:space="0" w:color="CCCCCC"/>
              <w:left w:val="single" w:sz="18" w:space="0" w:color="2E6FA7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F4BDF81" w14:textId="77777777" w:rsidR="004A7BC7" w:rsidRDefault="00546EF2"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>Ponto crítico de processo</w:t>
            </w:r>
          </w:p>
          <w:p w14:paraId="7CCA4901" w14:textId="7169E06B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Cada parte precisa chegar ao HUB inequivocamente identificada com o código da OS</w:t>
            </w:r>
            <w:r w:rsidR="00FC0DD7">
              <w:rPr>
                <w:sz w:val="19"/>
                <w:szCs w:val="19"/>
              </w:rPr>
              <w:t xml:space="preserve"> (etiqueta Nuvem Voadora)</w:t>
            </w:r>
            <w:r>
              <w:rPr>
                <w:sz w:val="19"/>
                <w:szCs w:val="19"/>
              </w:rPr>
              <w:t>. Sem isso, a consolidação na Fase 6 fica lenta e propensa a erro. A etiquetagem padronizada por parte é uma regra obrigatória do contrato com a loja.</w:t>
            </w:r>
          </w:p>
        </w:tc>
      </w:tr>
    </w:tbl>
    <w:p w14:paraId="29D5E790" w14:textId="77777777" w:rsidR="004A7BC7" w:rsidRDefault="00546EF2">
      <w:pPr>
        <w:pStyle w:val="Heading3"/>
      </w:pPr>
      <w:r>
        <w:t>Fase 4 — Envio loja → HUB</w:t>
      </w:r>
    </w:p>
    <w:p w14:paraId="0E214C44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lastRenderedPageBreak/>
        <w:t xml:space="preserve">Sistêmico: </w:t>
      </w:r>
      <w:r>
        <w:t>ao fechar a janela, a loja registra o envio e informa o código de rastreio da caixa consolidada que segue ao HUB. O sistema passa a aguardar o recebimento dessas caixas.</w:t>
      </w:r>
    </w:p>
    <w:p w14:paraId="2E779516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a loja embala todas as partes da janela em uma única caixa e despacha (Correios ou transportadora que já utiliza) com destino ao HUB. O custo é da loja.</w:t>
      </w:r>
    </w:p>
    <w:p w14:paraId="3C9F324D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caixas em trânsito, rastreios registrados, prazo de chegada ao HUB monitorado.</w:t>
      </w:r>
    </w:p>
    <w:p w14:paraId="42598E7C" w14:textId="77777777" w:rsidR="004A7BC7" w:rsidRDefault="00546EF2">
      <w:pPr>
        <w:pStyle w:val="Heading3"/>
      </w:pPr>
      <w:r>
        <w:t>Fase 5 — Recebimento e conferência no HUB</w:t>
      </w:r>
    </w:p>
    <w:p w14:paraId="00BC1513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ao chegar, cada caixa da loja é registrada como recebida. Conferindo cada parte pelo código da OS, o sistema marca as partes como em mãos e mostra, para cada pedido de cliente, quantas partes faltam para completá-lo.</w:t>
      </w:r>
    </w:p>
    <w:p w14:paraId="4A812E34" w14:textId="621FA91E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a equipe abre a caixa, confere fisicamente cada parte contra a lista, verifica estado/condição dos itens e armazena cada parte na posição de espera (escaninho/bin) atribuída àquela OS.</w:t>
      </w:r>
      <w:r w:rsidR="00FC0DD7">
        <w:t xml:space="preserve"> Este processo é realizado em ambiente monitorado por câmeras </w:t>
      </w:r>
      <w:r w:rsidR="006D1A3C">
        <w:t>focadas</w:t>
      </w:r>
      <w:r w:rsidR="00FC0DD7">
        <w:t xml:space="preserve"> na identificação das partes </w:t>
      </w:r>
      <w:r w:rsidR="006D1A3C">
        <w:t>recebidas</w:t>
      </w:r>
      <w:r w:rsidR="00FC0DD7">
        <w:t>.</w:t>
      </w:r>
    </w:p>
    <w:p w14:paraId="58D6527D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partes conferidas, fisicamente alocadas, status de completude atualizado por pedido.</w:t>
      </w:r>
    </w:p>
    <w:p w14:paraId="3127634C" w14:textId="77777777" w:rsidR="004A7BC7" w:rsidRDefault="00546EF2">
      <w:pPr>
        <w:pStyle w:val="Heading3"/>
      </w:pPr>
      <w:r>
        <w:t>Fase 6 — Consolidação</w:t>
      </w:r>
    </w:p>
    <w:p w14:paraId="4F1924F0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quando todas as partes de uma OS estão presentes, o sistema sinaliza o pedido como pronto para consolidar e o coloca na fila de embalagem.</w:t>
      </w:r>
    </w:p>
    <w:p w14:paraId="12AAEC39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o operador reúne fisicamente todas as partes daquela OS (que estavam no mesmo escaninho), confere a contagem final e prepara para embalagem única.</w:t>
      </w:r>
    </w:p>
    <w:p w14:paraId="423502CD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pedido completo reunido e validado, pronto para embalar.</w:t>
      </w:r>
    </w:p>
    <w:p w14:paraId="06B93FE1" w14:textId="77777777" w:rsidR="004A7BC7" w:rsidRDefault="00546EF2">
      <w:pPr>
        <w:pStyle w:val="Heading3"/>
      </w:pPr>
      <w:r>
        <w:t>Fase 7 — Embalagem e despacho ao cliente</w:t>
      </w:r>
    </w:p>
    <w:p w14:paraId="0BD44035" w14:textId="6606220A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o sistema gera a etiqueta de envio ao cliente (Correios PA</w:t>
      </w:r>
      <w:r w:rsidR="006D1A3C">
        <w:t>C</w:t>
      </w:r>
      <w:r>
        <w:t>), calcula/confirma o frete repassado e registra o código de rastreio final, disponibilizando-o ao cliente e à plataforma.</w:t>
      </w:r>
    </w:p>
    <w:p w14:paraId="68AFDDD6" w14:textId="6212FFA9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o pedido é embalado com proteção adequada</w:t>
      </w:r>
      <w:r w:rsidR="006D1A3C">
        <w:t>,</w:t>
      </w:r>
      <w:r>
        <w:t xml:space="preserve"> lacrado, etiquetado e despachado.</w:t>
      </w:r>
      <w:r w:rsidR="00370F19">
        <w:t xml:space="preserve"> Este processo é realizado em ambiente monitorado por câmeras focadas na identificação das partes que compõe o pedido</w:t>
      </w:r>
      <w:r>
        <w:t>.</w:t>
      </w:r>
    </w:p>
    <w:p w14:paraId="3DDE3781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Saída desta fase: pacote único postado, rastreio ativo ao cliente.</w:t>
      </w:r>
    </w:p>
    <w:p w14:paraId="110424C3" w14:textId="77777777" w:rsidR="004A7BC7" w:rsidRDefault="00546EF2">
      <w:pPr>
        <w:pStyle w:val="Heading3"/>
      </w:pPr>
      <w:r>
        <w:t>Fase 8 — Pós-venda e exceções</w:t>
      </w:r>
    </w:p>
    <w:p w14:paraId="6702F899" w14:textId="77777777" w:rsidR="004A7BC7" w:rsidRDefault="00546EF2">
      <w:pPr>
        <w:spacing w:after="140" w:line="276" w:lineRule="auto"/>
      </w:pPr>
      <w:r>
        <w:rPr>
          <w:b/>
          <w:bCs/>
          <w:color w:val="2E6FA7"/>
        </w:rPr>
        <w:t xml:space="preserve">Sistêmico: </w:t>
      </w:r>
      <w:r>
        <w:t>o sistema acompanha o rastreio até a entrega, encerra a OS e registra indicadores (tempo de ciclo, atrasos, ocorrências).</w:t>
      </w:r>
    </w:p>
    <w:p w14:paraId="7807E26A" w14:textId="77777777" w:rsidR="004A7BC7" w:rsidRDefault="00546EF2">
      <w:pPr>
        <w:spacing w:after="140" w:line="276" w:lineRule="auto"/>
      </w:pPr>
      <w:r>
        <w:rPr>
          <w:b/>
          <w:bCs/>
          <w:color w:val="1F3A5F"/>
        </w:rPr>
        <w:t xml:space="preserve">Logístico: </w:t>
      </w:r>
      <w:r>
        <w:t>tratamento de casos como loja que não enviou no prazo, item avariado, extravio em trânsito e devoluções. Cada caso tem um procedimento definido na seção de exceções.</w:t>
      </w:r>
    </w:p>
    <w:p w14:paraId="6185FEBB" w14:textId="77777777" w:rsidR="004A7BC7" w:rsidRDefault="00546EF2">
      <w:pPr>
        <w:pStyle w:val="Heading1"/>
      </w:pPr>
      <w:r>
        <w:t>4. Tratamento de exceções</w:t>
      </w:r>
    </w:p>
    <w:p w14:paraId="6C8A4072" w14:textId="62ED12F9" w:rsidR="004A7BC7" w:rsidRDefault="00546EF2">
      <w:pPr>
        <w:spacing w:after="140" w:line="276" w:lineRule="auto"/>
      </w:pPr>
      <w:r>
        <w:lastRenderedPageBreak/>
        <w:t>As exceções são a parte mais sensível da operação, porque podem prejudicar o cliente. Cada cenário precisa de um procedimento claro e de regras acordadas em contrato</w:t>
      </w:r>
      <w:r w:rsidR="00370F19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30"/>
        <w:gridCol w:w="3330"/>
      </w:tblGrid>
      <w:tr w:rsidR="004A7BC7" w14:paraId="124822A5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74091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4A48F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9F064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Procedimento previsto</w:t>
            </w:r>
          </w:p>
        </w:tc>
      </w:tr>
      <w:tr w:rsidR="004A7BC7" w14:paraId="413F34F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5C025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Loja atrasa o envio à janela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95216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Atrasa todo o pedido do cliente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EFF9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SLA com prazo-limite; após X atrasos, advertência ou suspensão do parceiro. Avaliar despacho parcial.</w:t>
            </w:r>
          </w:p>
        </w:tc>
      </w:tr>
      <w:tr w:rsidR="004A7BC7" w14:paraId="08B6732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FD919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Ruptura de estoque na loja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8671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Pedido fica incompleto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8342C" w14:textId="74E31DFD" w:rsidR="004A7BC7" w:rsidRDefault="00370F19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Responsabilidade da loja notificar cliente e plataforma; reembolsar/realocar o item; decidir entre aguardar ou despachar parcial. O HUB não se responsabiliza por checar o conteúdo das partes.</w:t>
            </w:r>
          </w:p>
        </w:tc>
      </w:tr>
      <w:tr w:rsidR="004A7BC7" w14:paraId="2BD9D6A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B3EE8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Item avariado no recebimento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93188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Qualidade comprometida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E13C8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Recusar a parte na conferência; acionar a loja para reposição; registrar ocorrência.</w:t>
            </w:r>
          </w:p>
        </w:tc>
      </w:tr>
      <w:tr w:rsidR="004A7BC7" w14:paraId="707E1AF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C3C8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Parte sem identificação (sem OS)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9DC0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Não é possível consolidar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BF1F5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Quarentena física; conciliação manual; penalidade contratual por descumprir etiquetagem.</w:t>
            </w:r>
          </w:p>
        </w:tc>
      </w:tr>
      <w:tr w:rsidR="004A7BC7" w14:paraId="206C9C0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E7E0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Extravio loja → HUB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6BB9F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Parte não chega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A8A91D" w14:textId="3AA5AB83" w:rsidR="004A7BC7" w:rsidRDefault="00A40BA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A loja é responsável por este trecho.</w:t>
            </w:r>
          </w:p>
        </w:tc>
      </w:tr>
      <w:tr w:rsidR="004A7BC7" w14:paraId="00D7B87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A4788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Extravio HUB → cliente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86EC77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Cliente não recebe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A9D0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Acionar transportadora; política de reenvio/reembolso definida pelo HUB.</w:t>
            </w:r>
          </w:p>
        </w:tc>
      </w:tr>
    </w:tbl>
    <w:p w14:paraId="6ECD7929" w14:textId="77777777" w:rsidR="004A7BC7" w:rsidRDefault="004A7B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BC7" w14:paraId="176DBA0C" w14:textId="77777777">
        <w:tc>
          <w:tcPr>
            <w:tcW w:w="9360" w:type="dxa"/>
            <w:tcBorders>
              <w:top w:val="single" w:sz="1" w:space="0" w:color="CCCCCC"/>
              <w:left w:val="single" w:sz="18" w:space="0" w:color="2E6FA7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AE0D5C" w14:textId="77777777" w:rsidR="004A7BC7" w:rsidRDefault="00546EF2"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>Princípio orientador</w:t>
            </w:r>
          </w:p>
          <w:p w14:paraId="3F43645B" w14:textId="5C4FE803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O cliente nunca deve ser penalizado por falha</w:t>
            </w:r>
            <w:r w:rsidR="00A40BA2">
              <w:rPr>
                <w:sz w:val="19"/>
                <w:szCs w:val="19"/>
              </w:rPr>
              <w:t xml:space="preserve"> logistica ou sistêmica. </w:t>
            </w:r>
            <w:r>
              <w:rPr>
                <w:sz w:val="19"/>
                <w:szCs w:val="19"/>
              </w:rPr>
              <w:t>A relação contratual com as lojas</w:t>
            </w:r>
            <w:r w:rsidR="00A40BA2">
              <w:rPr>
                <w:sz w:val="19"/>
                <w:szCs w:val="19"/>
              </w:rPr>
              <w:t xml:space="preserve"> e transportadores</w:t>
            </w:r>
            <w:r>
              <w:rPr>
                <w:sz w:val="19"/>
                <w:szCs w:val="19"/>
              </w:rPr>
              <w:t xml:space="preserve"> (SLA, penalidades, prazos) é o que protege a experiência do cliente.</w:t>
            </w:r>
          </w:p>
        </w:tc>
      </w:tr>
    </w:tbl>
    <w:p w14:paraId="678720AB" w14:textId="77777777" w:rsidR="004A7BC7" w:rsidRDefault="00546EF2">
      <w:pPr>
        <w:pStyle w:val="Heading1"/>
      </w:pPr>
      <w:r>
        <w:t>5. Áreas funcionais da startup</w:t>
      </w:r>
    </w:p>
    <w:p w14:paraId="45FD36CF" w14:textId="0084AB56" w:rsidR="004A7BC7" w:rsidRDefault="00546EF2">
      <w:pPr>
        <w:spacing w:after="140" w:line="276" w:lineRule="auto"/>
      </w:pPr>
      <w:r>
        <w:t xml:space="preserve">A empresa se organiza em áreas com responsabilidades claras. </w:t>
      </w:r>
    </w:p>
    <w:p w14:paraId="1E2C7240" w14:textId="77777777" w:rsidR="004A7BC7" w:rsidRDefault="00546EF2">
      <w:pPr>
        <w:pStyle w:val="Heading2"/>
      </w:pPr>
      <w:r>
        <w:t>5.1. Operações e Logística</w:t>
      </w:r>
    </w:p>
    <w:p w14:paraId="2A27CCEE" w14:textId="77777777" w:rsidR="004A7BC7" w:rsidRDefault="00546EF2">
      <w:pPr>
        <w:spacing w:after="140" w:line="276" w:lineRule="auto"/>
      </w:pPr>
      <w:r>
        <w:t>Coração físico do negócio. Responsável por receber, conferir, armazenar, consolidar e despachar.</w:t>
      </w:r>
    </w:p>
    <w:p w14:paraId="53ED8B78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Recebimento e conferência das caixas das lojas.</w:t>
      </w:r>
    </w:p>
    <w:p w14:paraId="5B0C5F99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Armazenagem organizada por OS (escaninhos/bins) e controle de posições.</w:t>
      </w:r>
    </w:p>
    <w:p w14:paraId="04BC44BB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Consolidação, embalagem de qualidade e despacho ao cliente.</w:t>
      </w:r>
    </w:p>
    <w:p w14:paraId="45A56CBC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Gestão de materiais (caixas, sleeves, top loaders, lacres) e do espaço físico.</w:t>
      </w:r>
    </w:p>
    <w:p w14:paraId="764947FA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Indicadores: tempo de ciclo, taxa de erro de separação, ocupação do estoque.</w:t>
      </w:r>
    </w:p>
    <w:p w14:paraId="745B404C" w14:textId="77777777" w:rsidR="004A7BC7" w:rsidRDefault="00546EF2">
      <w:pPr>
        <w:pStyle w:val="Heading2"/>
      </w:pPr>
      <w:r>
        <w:lastRenderedPageBreak/>
        <w:t>5.2. Tecnologia e Sistemas</w:t>
      </w:r>
    </w:p>
    <w:p w14:paraId="6BBE94D3" w14:textId="77777777" w:rsidR="004A7BC7" w:rsidRDefault="00546EF2">
      <w:pPr>
        <w:spacing w:after="140" w:line="276" w:lineRule="auto"/>
      </w:pPr>
      <w:r>
        <w:t>Espinha dorsal que orquestra o fluxo e dá visibilidade a todos os atores.</w:t>
      </w:r>
    </w:p>
    <w:p w14:paraId="09604E2E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Integração com a plataforma (API/importação) para captar pedidos.</w:t>
      </w:r>
    </w:p>
    <w:p w14:paraId="4EA3E100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Gestão das Ordens de Serviço, rastreio de partes e status de completude.</w:t>
      </w:r>
    </w:p>
    <w:p w14:paraId="7FFB8FDE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Painel do lojista (listas de expedição, prazos, registro de envio e rastreio).</w:t>
      </w:r>
    </w:p>
    <w:p w14:paraId="70CB33CD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Geração de etiquetas, cálculo de frete e comunicação de rastreio ao cliente.</w:t>
      </w:r>
    </w:p>
    <w:p w14:paraId="3E8F3EED" w14:textId="2FB0DF0D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Relatórios financeiros e operacionais</w:t>
      </w:r>
      <w:r w:rsidR="00A40BA2">
        <w:t>.</w:t>
      </w:r>
    </w:p>
    <w:p w14:paraId="186DE2E4" w14:textId="77777777" w:rsidR="004A7BC7" w:rsidRDefault="00546EF2">
      <w:pPr>
        <w:pStyle w:val="Heading2"/>
      </w:pPr>
      <w:r>
        <w:t>5.3. Relações com Lojas (Parcerias)</w:t>
      </w:r>
    </w:p>
    <w:p w14:paraId="4AA601AB" w14:textId="77777777" w:rsidR="004A7BC7" w:rsidRDefault="00546EF2">
      <w:pPr>
        <w:spacing w:after="140" w:line="276" w:lineRule="auto"/>
      </w:pPr>
      <w:r>
        <w:t>Garante a oferta: sem lojas, não há partes para consolidar.</w:t>
      </w:r>
    </w:p>
    <w:p w14:paraId="5D9AE9D7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Prospecção e onboarding de novas lojas parceiras.</w:t>
      </w:r>
    </w:p>
    <w:p w14:paraId="1B09CC74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Negociação e gestão do SLA (prazos de envio, etiquetagem, penalidades).</w:t>
      </w:r>
    </w:p>
    <w:p w14:paraId="61F52E78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Acompanhamento de desempenho por loja e resolução de conflitos.</w:t>
      </w:r>
    </w:p>
    <w:p w14:paraId="16049181" w14:textId="77777777" w:rsidR="004A7BC7" w:rsidRDefault="00546EF2">
      <w:pPr>
        <w:pStyle w:val="Heading2"/>
      </w:pPr>
      <w:r>
        <w:t>5.4. Atendimento e Experiência do Cliente</w:t>
      </w:r>
    </w:p>
    <w:p w14:paraId="484EC885" w14:textId="77777777" w:rsidR="004A7BC7" w:rsidRDefault="00546EF2">
      <w:pPr>
        <w:spacing w:after="140" w:line="276" w:lineRule="auto"/>
      </w:pPr>
      <w:r>
        <w:t>Cuida da ponta final e da reputação.</w:t>
      </w:r>
    </w:p>
    <w:p w14:paraId="116F7B2C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Comunicação clara de prazos e expectativas no checkout e pós-compra.</w:t>
      </w:r>
    </w:p>
    <w:p w14:paraId="7CD50D30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Suporte a dúvidas, rastreamento e tratamento de ocorrências.</w:t>
      </w:r>
    </w:p>
    <w:p w14:paraId="1467F236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Gestão de devoluções e reembolsos em conjunto com Operações.</w:t>
      </w:r>
    </w:p>
    <w:p w14:paraId="72C3BA2F" w14:textId="77777777" w:rsidR="004A7BC7" w:rsidRDefault="00546EF2">
      <w:pPr>
        <w:pStyle w:val="Heading2"/>
      </w:pPr>
      <w:r>
        <w:t>5.5. Financeiro e Administrativo</w:t>
      </w:r>
    </w:p>
    <w:p w14:paraId="59CAA298" w14:textId="77777777" w:rsidR="004A7BC7" w:rsidRDefault="00546EF2">
      <w:pPr>
        <w:spacing w:after="140" w:line="276" w:lineRule="auto"/>
      </w:pPr>
      <w:r>
        <w:t>Sustenta a saúde do negócio.</w:t>
      </w:r>
    </w:p>
    <w:p w14:paraId="4DCC956F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Controle de receita (taxas de serviço) e custos fixos e variáveis.</w:t>
      </w:r>
    </w:p>
    <w:p w14:paraId="3C8D9299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Conciliação de fretes, repasses e fluxo de caixa.</w:t>
      </w:r>
    </w:p>
    <w:p w14:paraId="1E3DD82B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Obrigações fiscais, contratos e formalização da empresa.</w:t>
      </w:r>
    </w:p>
    <w:p w14:paraId="459AA244" w14:textId="77777777" w:rsidR="004A7BC7" w:rsidRDefault="00546EF2">
      <w:pPr>
        <w:pStyle w:val="Heading2"/>
      </w:pPr>
      <w:r>
        <w:t>5.6. Estratégia e Crescimento</w:t>
      </w:r>
    </w:p>
    <w:p w14:paraId="584FF0D4" w14:textId="77777777" w:rsidR="004A7BC7" w:rsidRDefault="00546EF2">
      <w:pPr>
        <w:spacing w:after="140" w:line="276" w:lineRule="auto"/>
      </w:pPr>
      <w:r>
        <w:t>Direciona a expansão.</w:t>
      </w:r>
    </w:p>
    <w:p w14:paraId="0DD6E4F6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Definição de metas de volume e expansão geográfica (novas cidades/HUBs).</w:t>
      </w:r>
    </w:p>
    <w:p w14:paraId="081A7315" w14:textId="7777777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Precificação da taxa de serviço e ajuste das janelas de consolidação.</w:t>
      </w:r>
    </w:p>
    <w:p w14:paraId="79BDAB91" w14:textId="43087587" w:rsidR="004A7BC7" w:rsidRDefault="00546EF2">
      <w:pPr>
        <w:pStyle w:val="ListParagraph"/>
        <w:numPr>
          <w:ilvl w:val="0"/>
          <w:numId w:val="2"/>
        </w:numPr>
        <w:spacing w:after="80" w:line="270" w:lineRule="auto"/>
      </w:pPr>
      <w:r>
        <w:t>Relacionamento institucional com as plataformas (Lig</w:t>
      </w:r>
      <w:r w:rsidR="00A40BA2">
        <w:t>a</w:t>
      </w:r>
      <w:r>
        <w:t>).</w:t>
      </w:r>
    </w:p>
    <w:p w14:paraId="7C6BC9B1" w14:textId="77777777" w:rsidR="004A7BC7" w:rsidRDefault="00546EF2">
      <w:pPr>
        <w:pStyle w:val="Heading1"/>
      </w:pPr>
      <w:r>
        <w:t>6. Roadmap inicial</w:t>
      </w:r>
    </w:p>
    <w:p w14:paraId="4E257A6B" w14:textId="77777777" w:rsidR="004A7BC7" w:rsidRDefault="00546EF2">
      <w:pPr>
        <w:spacing w:after="140" w:line="276" w:lineRule="auto"/>
      </w:pPr>
      <w:r>
        <w:t>Sequência sugerida para sair do conceito à operação, minimizando risco e investimento antes da validação.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3372"/>
        <w:gridCol w:w="4419"/>
      </w:tblGrid>
      <w:tr w:rsidR="004A7BC7" w14:paraId="6CC89A15" w14:textId="77777777" w:rsidTr="00A40BA2">
        <w:trPr>
          <w:tblHeader/>
        </w:trPr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6431A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Etapa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8E2F5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7B8C8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Entregáveis principais</w:t>
            </w:r>
          </w:p>
        </w:tc>
      </w:tr>
      <w:tr w:rsidR="004A7BC7" w14:paraId="66CEC576" w14:textId="77777777" w:rsidTr="00A40BA2"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C1821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Validação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6979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Confirmar adesão de lojas e a equação de frete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B30B8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Conversas com 5–10 lojistas; planilha de viabilidade; carta de intenção de parceiros.</w:t>
            </w:r>
          </w:p>
        </w:tc>
      </w:tr>
      <w:tr w:rsidR="004A7BC7" w14:paraId="72DC50B9" w14:textId="77777777" w:rsidTr="00A40BA2"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A2446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MVP manual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E5431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Operar com processo simples antes de automatizar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0AF9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Espaço físico mínimo; controle por planilha; primeiras OSs reais; janela de 15 dias.</w:t>
            </w:r>
          </w:p>
        </w:tc>
      </w:tr>
      <w:tr w:rsidR="004A7BC7" w14:paraId="4A056269" w14:textId="77777777" w:rsidTr="00A40BA2"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11BD8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Sistematização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F8762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Reduzir trabalho manual e erro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970B3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Painel do lojista; rastreio de partes; geração de etiquetas; relatórios.</w:t>
            </w:r>
          </w:p>
        </w:tc>
      </w:tr>
      <w:tr w:rsidR="004A7BC7" w14:paraId="7F9D0372" w14:textId="77777777" w:rsidTr="00A40BA2"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D38D3" w14:textId="279F0DD5" w:rsidR="004A7BC7" w:rsidRPr="00281231" w:rsidRDefault="009E16BD">
            <w:pPr>
              <w:spacing w:line="264" w:lineRule="auto"/>
              <w:rPr>
                <w:color w:val="000000"/>
                <w:sz w:val="19"/>
                <w:szCs w:val="19"/>
              </w:rPr>
            </w:pPr>
            <w:r w:rsidRPr="00281231">
              <w:rPr>
                <w:color w:val="000000"/>
                <w:sz w:val="19"/>
                <w:szCs w:val="19"/>
              </w:rPr>
              <w:t>Etiquetas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9D8F5" w14:textId="1367F9B3" w:rsidR="004A7BC7" w:rsidRPr="00281231" w:rsidRDefault="008C6FAA">
            <w:pPr>
              <w:spacing w:line="264" w:lineRule="auto"/>
              <w:rPr>
                <w:color w:val="000000"/>
                <w:sz w:val="19"/>
                <w:szCs w:val="19"/>
              </w:rPr>
            </w:pPr>
            <w:r w:rsidRPr="00281231">
              <w:rPr>
                <w:color w:val="000000"/>
                <w:sz w:val="19"/>
                <w:szCs w:val="19"/>
              </w:rPr>
              <w:t>Etiquetas personalizadas que formam o pedido</w:t>
            </w:r>
            <w:r w:rsidR="003246FF" w:rsidRPr="00281231">
              <w:rPr>
                <w:color w:val="000000"/>
                <w:sz w:val="19"/>
                <w:szCs w:val="19"/>
              </w:rPr>
              <w:t>, prevenindo o erro na montagem dos kits finais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514D5" w14:textId="11026201" w:rsidR="004A7BC7" w:rsidRPr="00281231" w:rsidRDefault="003246FF">
            <w:pPr>
              <w:spacing w:line="264" w:lineRule="auto"/>
              <w:rPr>
                <w:color w:val="000000"/>
                <w:sz w:val="19"/>
                <w:szCs w:val="19"/>
              </w:rPr>
            </w:pPr>
            <w:r w:rsidRPr="00281231">
              <w:rPr>
                <w:color w:val="000000"/>
                <w:sz w:val="19"/>
                <w:szCs w:val="19"/>
              </w:rPr>
              <w:t>Cada loja receber</w:t>
            </w:r>
            <w:r w:rsidR="002228B9" w:rsidRPr="00281231">
              <w:rPr>
                <w:color w:val="000000"/>
                <w:sz w:val="19"/>
                <w:szCs w:val="19"/>
              </w:rPr>
              <w:t>á</w:t>
            </w:r>
            <w:r w:rsidRPr="00281231">
              <w:rPr>
                <w:color w:val="000000"/>
                <w:sz w:val="19"/>
                <w:szCs w:val="19"/>
              </w:rPr>
              <w:t xml:space="preserve"> a etiqueta com uma letra atrelada à sua parte do pedido. </w:t>
            </w:r>
            <w:r w:rsidR="002228B9" w:rsidRPr="00281231">
              <w:rPr>
                <w:color w:val="000000"/>
                <w:sz w:val="19"/>
                <w:szCs w:val="19"/>
              </w:rPr>
              <w:t xml:space="preserve">No momento da montagem, </w:t>
            </w:r>
          </w:p>
        </w:tc>
      </w:tr>
      <w:tr w:rsidR="009E16BD" w14:paraId="1D12D7D6" w14:textId="77777777" w:rsidTr="00A40BA2">
        <w:tc>
          <w:tcPr>
            <w:tcW w:w="15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41C636" w14:textId="39A69344" w:rsidR="009E16BD" w:rsidRDefault="009E16BD" w:rsidP="009E16BD">
            <w:pPr>
              <w:spacing w:line="26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Escala</w:t>
            </w:r>
          </w:p>
        </w:tc>
        <w:tc>
          <w:tcPr>
            <w:tcW w:w="3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DEDB2" w14:textId="466C6960" w:rsidR="009E16BD" w:rsidRDefault="009E16BD" w:rsidP="009E16BD">
            <w:pPr>
              <w:spacing w:line="26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Aumentar volume e reduzir prazo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484AD" w14:textId="48136144" w:rsidR="009E16BD" w:rsidRDefault="009E16BD" w:rsidP="009E16BD">
            <w:pPr>
              <w:spacing w:line="264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Mais lojas; janelas menores; otimização de espaço e equipe.</w:t>
            </w:r>
          </w:p>
        </w:tc>
      </w:tr>
    </w:tbl>
    <w:p w14:paraId="0D1CCE42" w14:textId="77777777" w:rsidR="004A7BC7" w:rsidRDefault="004A7BC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BC7" w14:paraId="2FBD4626" w14:textId="77777777">
        <w:tc>
          <w:tcPr>
            <w:tcW w:w="9360" w:type="dxa"/>
            <w:tcBorders>
              <w:top w:val="single" w:sz="1" w:space="0" w:color="CCCCCC"/>
              <w:left w:val="single" w:sz="18" w:space="0" w:color="2E6FA7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5217A58" w14:textId="77777777" w:rsidR="004A7BC7" w:rsidRDefault="00546EF2"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>Próximo passo imediato</w:t>
            </w:r>
          </w:p>
          <w:p w14:paraId="105F3692" w14:textId="77777777" w:rsidR="004A7BC7" w:rsidRDefault="00546EF2">
            <w:pPr>
              <w:spacing w:after="40" w:line="264" w:lineRule="auto"/>
            </w:pPr>
            <w:r>
              <w:rPr>
                <w:sz w:val="19"/>
                <w:szCs w:val="19"/>
              </w:rPr>
              <w:t>Estruturar o pitch para as primeiras lojas parceiras e firmar cartas de intenção, com base nos números da planilha de viabilidade já construída. A adesão das lojas é a condição que valida todo o restante do modelo.</w:t>
            </w:r>
          </w:p>
        </w:tc>
      </w:tr>
    </w:tbl>
    <w:p w14:paraId="0B38E1BF" w14:textId="77777777" w:rsidR="004A7BC7" w:rsidRDefault="00546EF2">
      <w:pPr>
        <w:pStyle w:val="Heading1"/>
      </w:pPr>
      <w:r>
        <w:t>7.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A7BC7" w14:paraId="743A132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909DF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C6D4E" w14:textId="77777777" w:rsidR="004A7BC7" w:rsidRDefault="00546EF2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4A7BC7" w14:paraId="5F1708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D22B1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TCG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28DF9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Trading Card Game — jogos de cartas colecionáveis (Magic, Pokémon, Lorcana etc.).</w:t>
            </w:r>
          </w:p>
        </w:tc>
      </w:tr>
      <w:tr w:rsidR="004A7BC7" w14:paraId="72B020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0F86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HUB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6ED72" w14:textId="6EA3C709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 xml:space="preserve">Centro físico de consolidação operado pela </w:t>
            </w:r>
            <w:r w:rsidR="00A40BA2">
              <w:rPr>
                <w:color w:val="000000"/>
                <w:sz w:val="19"/>
                <w:szCs w:val="19"/>
              </w:rPr>
              <w:t>Nuvem Voadora</w:t>
            </w:r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A7BC7" w14:paraId="26D14E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E28D1F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CDD44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Ordem de Serviço — registro único de um pedido de cliente a ser consolidado.</w:t>
            </w:r>
          </w:p>
        </w:tc>
      </w:tr>
      <w:tr w:rsidR="004A7BC7" w14:paraId="37EA58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F750F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Parte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CA88AF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Trecho de um pedido sob responsabilidade de uma loja específica.</w:t>
            </w:r>
          </w:p>
        </w:tc>
      </w:tr>
      <w:tr w:rsidR="004A7BC7" w14:paraId="616A57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31EA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Janela de consolidação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C6F65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Período em que as lojas acumulam pedidos antes de enviar ao HUB.</w:t>
            </w:r>
          </w:p>
        </w:tc>
      </w:tr>
      <w:tr w:rsidR="004A7BC7" w14:paraId="12C7EE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7B880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SLA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5DD52E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Service Level Agreement — acordo de nível de serviço com as lojas (prazos e regras).</w:t>
            </w:r>
          </w:p>
        </w:tc>
      </w:tr>
      <w:tr w:rsidR="004A7BC7" w14:paraId="3CFE1C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74A7A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Picking list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0E716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Lista de expedição usada pela loja para separar os itens.</w:t>
            </w:r>
          </w:p>
        </w:tc>
      </w:tr>
      <w:tr w:rsidR="004A7BC7" w14:paraId="6C3EC7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1987C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Ticket médio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3C9BB" w14:textId="77777777" w:rsidR="004A7BC7" w:rsidRDefault="00546EF2">
            <w:pPr>
              <w:spacing w:line="264" w:lineRule="auto"/>
            </w:pPr>
            <w:r>
              <w:rPr>
                <w:color w:val="000000"/>
                <w:sz w:val="19"/>
                <w:szCs w:val="19"/>
              </w:rPr>
              <w:t>Valor médio dos pedidos.</w:t>
            </w:r>
          </w:p>
        </w:tc>
      </w:tr>
    </w:tbl>
    <w:p w14:paraId="3F8B8344" w14:textId="77777777" w:rsidR="004A7BC7" w:rsidRDefault="004A7BC7">
      <w:pPr>
        <w:spacing w:after="160"/>
      </w:pPr>
    </w:p>
    <w:p w14:paraId="66378FDB" w14:textId="77777777" w:rsidR="004A7BC7" w:rsidRDefault="00546EF2">
      <w:pPr>
        <w:spacing w:before="200"/>
        <w:jc w:val="center"/>
      </w:pPr>
      <w:r>
        <w:rPr>
          <w:i/>
          <w:iCs/>
          <w:color w:val="6B6B6B"/>
          <w:sz w:val="19"/>
          <w:szCs w:val="19"/>
        </w:rPr>
        <w:t>Documento vivo — revisar a cada marco do roadmap.</w:t>
      </w:r>
    </w:p>
    <w:sectPr w:rsidR="004A7BC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E3F7" w14:textId="77777777" w:rsidR="00546EF2" w:rsidRDefault="00546EF2">
      <w:r>
        <w:separator/>
      </w:r>
    </w:p>
  </w:endnote>
  <w:endnote w:type="continuationSeparator" w:id="0">
    <w:p w14:paraId="1FC75CFE" w14:textId="77777777" w:rsidR="00546EF2" w:rsidRDefault="00546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7CE4" w14:textId="77777777" w:rsidR="004A7BC7" w:rsidRDefault="00546EF2"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3047E8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 xml:space="preserve">de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3047E8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0DA99" w14:textId="77777777" w:rsidR="00546EF2" w:rsidRDefault="00546EF2">
      <w:r>
        <w:separator/>
      </w:r>
    </w:p>
  </w:footnote>
  <w:footnote w:type="continuationSeparator" w:id="0">
    <w:p w14:paraId="5B4B58D3" w14:textId="77777777" w:rsidR="00546EF2" w:rsidRDefault="00546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1D67" w14:textId="77777777" w:rsidR="004A7BC7" w:rsidRDefault="00546EF2">
    <w:pPr>
      <w:pBdr>
        <w:bottom w:val="single" w:sz="4" w:space="4" w:color="CCCCCC"/>
      </w:pBdr>
      <w:tabs>
        <w:tab w:val="right" w:pos="9360"/>
      </w:tabs>
    </w:pPr>
    <w:r>
      <w:rPr>
        <w:color w:val="6B6B6B"/>
        <w:sz w:val="16"/>
        <w:szCs w:val="16"/>
      </w:rPr>
      <w:t>HUB Consolidador TCG</w:t>
    </w:r>
    <w:r>
      <w:rPr>
        <w:color w:val="6B6B6B"/>
        <w:sz w:val="16"/>
        <w:szCs w:val="16"/>
      </w:rPr>
      <w:tab/>
      <w:t>Especificação da Solução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6C8"/>
    <w:multiLevelType w:val="hybridMultilevel"/>
    <w:tmpl w:val="EC16C834"/>
    <w:lvl w:ilvl="0" w:tplc="E62CB970">
      <w:start w:val="1"/>
      <w:numFmt w:val="bullet"/>
      <w:lvlText w:val="•"/>
      <w:lvlJc w:val="left"/>
      <w:pPr>
        <w:ind w:left="620" w:hanging="300"/>
      </w:pPr>
      <w:rPr>
        <w:color w:val="2E6FA7"/>
      </w:rPr>
    </w:lvl>
    <w:lvl w:ilvl="1" w:tplc="932EDBE8">
      <w:start w:val="1"/>
      <w:numFmt w:val="bullet"/>
      <w:lvlText w:val="–"/>
      <w:lvlJc w:val="left"/>
      <w:pPr>
        <w:ind w:left="1080" w:hanging="300"/>
      </w:pPr>
    </w:lvl>
    <w:lvl w:ilvl="2" w:tplc="0A84D24A">
      <w:numFmt w:val="decimal"/>
      <w:lvlText w:val=""/>
      <w:lvlJc w:val="left"/>
    </w:lvl>
    <w:lvl w:ilvl="3" w:tplc="1DBCF954">
      <w:numFmt w:val="decimal"/>
      <w:lvlText w:val=""/>
      <w:lvlJc w:val="left"/>
    </w:lvl>
    <w:lvl w:ilvl="4" w:tplc="C4941B98">
      <w:numFmt w:val="decimal"/>
      <w:lvlText w:val=""/>
      <w:lvlJc w:val="left"/>
    </w:lvl>
    <w:lvl w:ilvl="5" w:tplc="1290A318">
      <w:numFmt w:val="decimal"/>
      <w:lvlText w:val=""/>
      <w:lvlJc w:val="left"/>
    </w:lvl>
    <w:lvl w:ilvl="6" w:tplc="55E82CE2">
      <w:numFmt w:val="decimal"/>
      <w:lvlText w:val=""/>
      <w:lvlJc w:val="left"/>
    </w:lvl>
    <w:lvl w:ilvl="7" w:tplc="5B1CB810">
      <w:numFmt w:val="decimal"/>
      <w:lvlText w:val=""/>
      <w:lvlJc w:val="left"/>
    </w:lvl>
    <w:lvl w:ilvl="8" w:tplc="E22A1E0C">
      <w:numFmt w:val="decimal"/>
      <w:lvlText w:val=""/>
      <w:lvlJc w:val="left"/>
    </w:lvl>
  </w:abstractNum>
  <w:abstractNum w:abstractNumId="1" w15:restartNumberingAfterBreak="0">
    <w:nsid w:val="1EAB3080"/>
    <w:multiLevelType w:val="hybridMultilevel"/>
    <w:tmpl w:val="C06227A2"/>
    <w:lvl w:ilvl="0" w:tplc="EC8EA65A">
      <w:start w:val="1"/>
      <w:numFmt w:val="decimal"/>
      <w:lvlText w:val="%1."/>
      <w:lvlJc w:val="left"/>
      <w:pPr>
        <w:ind w:left="620" w:hanging="320"/>
      </w:pPr>
    </w:lvl>
    <w:lvl w:ilvl="1" w:tplc="36C46596">
      <w:numFmt w:val="decimal"/>
      <w:lvlText w:val=""/>
      <w:lvlJc w:val="left"/>
    </w:lvl>
    <w:lvl w:ilvl="2" w:tplc="C5C83128">
      <w:numFmt w:val="decimal"/>
      <w:lvlText w:val=""/>
      <w:lvlJc w:val="left"/>
    </w:lvl>
    <w:lvl w:ilvl="3" w:tplc="3356F0B6">
      <w:numFmt w:val="decimal"/>
      <w:lvlText w:val=""/>
      <w:lvlJc w:val="left"/>
    </w:lvl>
    <w:lvl w:ilvl="4" w:tplc="2108A316">
      <w:numFmt w:val="decimal"/>
      <w:lvlText w:val=""/>
      <w:lvlJc w:val="left"/>
    </w:lvl>
    <w:lvl w:ilvl="5" w:tplc="250A7B5C">
      <w:numFmt w:val="decimal"/>
      <w:lvlText w:val=""/>
      <w:lvlJc w:val="left"/>
    </w:lvl>
    <w:lvl w:ilvl="6" w:tplc="FBC2E286">
      <w:numFmt w:val="decimal"/>
      <w:lvlText w:val=""/>
      <w:lvlJc w:val="left"/>
    </w:lvl>
    <w:lvl w:ilvl="7" w:tplc="BC6A9D84">
      <w:numFmt w:val="decimal"/>
      <w:lvlText w:val=""/>
      <w:lvlJc w:val="left"/>
    </w:lvl>
    <w:lvl w:ilvl="8" w:tplc="814CC096">
      <w:numFmt w:val="decimal"/>
      <w:lvlText w:val=""/>
      <w:lvlJc w:val="left"/>
    </w:lvl>
  </w:abstractNum>
  <w:abstractNum w:abstractNumId="2" w15:restartNumberingAfterBreak="0">
    <w:nsid w:val="450E7729"/>
    <w:multiLevelType w:val="hybridMultilevel"/>
    <w:tmpl w:val="5AD299A4"/>
    <w:lvl w:ilvl="0" w:tplc="C3B6B2D4">
      <w:start w:val="1"/>
      <w:numFmt w:val="decimal"/>
      <w:lvlText w:val="%1."/>
      <w:lvlJc w:val="left"/>
      <w:pPr>
        <w:ind w:left="620" w:hanging="320"/>
      </w:pPr>
    </w:lvl>
    <w:lvl w:ilvl="1" w:tplc="196248B2">
      <w:numFmt w:val="decimal"/>
      <w:lvlText w:val=""/>
      <w:lvlJc w:val="left"/>
    </w:lvl>
    <w:lvl w:ilvl="2" w:tplc="55423A6E">
      <w:numFmt w:val="decimal"/>
      <w:lvlText w:val=""/>
      <w:lvlJc w:val="left"/>
    </w:lvl>
    <w:lvl w:ilvl="3" w:tplc="0CBE153E">
      <w:numFmt w:val="decimal"/>
      <w:lvlText w:val=""/>
      <w:lvlJc w:val="left"/>
    </w:lvl>
    <w:lvl w:ilvl="4" w:tplc="3A9E3986">
      <w:numFmt w:val="decimal"/>
      <w:lvlText w:val=""/>
      <w:lvlJc w:val="left"/>
    </w:lvl>
    <w:lvl w:ilvl="5" w:tplc="12DAA06E">
      <w:numFmt w:val="decimal"/>
      <w:lvlText w:val=""/>
      <w:lvlJc w:val="left"/>
    </w:lvl>
    <w:lvl w:ilvl="6" w:tplc="0302C188">
      <w:numFmt w:val="decimal"/>
      <w:lvlText w:val=""/>
      <w:lvlJc w:val="left"/>
    </w:lvl>
    <w:lvl w:ilvl="7" w:tplc="265ABDAE">
      <w:numFmt w:val="decimal"/>
      <w:lvlText w:val=""/>
      <w:lvlJc w:val="left"/>
    </w:lvl>
    <w:lvl w:ilvl="8" w:tplc="3BE674F4">
      <w:numFmt w:val="decimal"/>
      <w:lvlText w:val=""/>
      <w:lvlJc w:val="left"/>
    </w:lvl>
  </w:abstractNum>
  <w:abstractNum w:abstractNumId="3" w15:restartNumberingAfterBreak="0">
    <w:nsid w:val="5FC02362"/>
    <w:multiLevelType w:val="hybridMultilevel"/>
    <w:tmpl w:val="3210E8FA"/>
    <w:lvl w:ilvl="0" w:tplc="5D6A245E">
      <w:start w:val="1"/>
      <w:numFmt w:val="bullet"/>
      <w:lvlText w:val="●"/>
      <w:lvlJc w:val="left"/>
      <w:pPr>
        <w:ind w:left="720" w:hanging="360"/>
      </w:pPr>
    </w:lvl>
    <w:lvl w:ilvl="1" w:tplc="A7223D9A">
      <w:start w:val="1"/>
      <w:numFmt w:val="bullet"/>
      <w:lvlText w:val="○"/>
      <w:lvlJc w:val="left"/>
      <w:pPr>
        <w:ind w:left="1440" w:hanging="360"/>
      </w:pPr>
    </w:lvl>
    <w:lvl w:ilvl="2" w:tplc="862CA83A">
      <w:start w:val="1"/>
      <w:numFmt w:val="bullet"/>
      <w:lvlText w:val="■"/>
      <w:lvlJc w:val="left"/>
      <w:pPr>
        <w:ind w:left="2160" w:hanging="360"/>
      </w:pPr>
    </w:lvl>
    <w:lvl w:ilvl="3" w:tplc="4FB40E0C">
      <w:start w:val="1"/>
      <w:numFmt w:val="bullet"/>
      <w:lvlText w:val="●"/>
      <w:lvlJc w:val="left"/>
      <w:pPr>
        <w:ind w:left="2880" w:hanging="360"/>
      </w:pPr>
    </w:lvl>
    <w:lvl w:ilvl="4" w:tplc="5A6E86F6">
      <w:start w:val="1"/>
      <w:numFmt w:val="bullet"/>
      <w:lvlText w:val="○"/>
      <w:lvlJc w:val="left"/>
      <w:pPr>
        <w:ind w:left="3600" w:hanging="360"/>
      </w:pPr>
    </w:lvl>
    <w:lvl w:ilvl="5" w:tplc="06623D3E">
      <w:start w:val="1"/>
      <w:numFmt w:val="bullet"/>
      <w:lvlText w:val="■"/>
      <w:lvlJc w:val="left"/>
      <w:pPr>
        <w:ind w:left="4320" w:hanging="360"/>
      </w:pPr>
    </w:lvl>
    <w:lvl w:ilvl="6" w:tplc="E6E457D6">
      <w:start w:val="1"/>
      <w:numFmt w:val="bullet"/>
      <w:lvlText w:val="●"/>
      <w:lvlJc w:val="left"/>
      <w:pPr>
        <w:ind w:left="5040" w:hanging="360"/>
      </w:pPr>
    </w:lvl>
    <w:lvl w:ilvl="7" w:tplc="2CAE8B4C">
      <w:start w:val="1"/>
      <w:numFmt w:val="bullet"/>
      <w:lvlText w:val="●"/>
      <w:lvlJc w:val="left"/>
      <w:pPr>
        <w:ind w:left="5760" w:hanging="360"/>
      </w:pPr>
    </w:lvl>
    <w:lvl w:ilvl="8" w:tplc="7172BA60">
      <w:start w:val="1"/>
      <w:numFmt w:val="bullet"/>
      <w:lvlText w:val="●"/>
      <w:lvlJc w:val="left"/>
      <w:pPr>
        <w:ind w:left="6480" w:hanging="360"/>
      </w:pPr>
    </w:lvl>
  </w:abstractNum>
  <w:num w:numId="1" w16cid:durableId="2110540571">
    <w:abstractNumId w:val="3"/>
    <w:lvlOverride w:ilvl="0">
      <w:startOverride w:val="1"/>
    </w:lvlOverride>
  </w:num>
  <w:num w:numId="2" w16cid:durableId="493105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C7"/>
    <w:rsid w:val="002228B9"/>
    <w:rsid w:val="00270F7B"/>
    <w:rsid w:val="00281231"/>
    <w:rsid w:val="003047E8"/>
    <w:rsid w:val="003246FF"/>
    <w:rsid w:val="00370F19"/>
    <w:rsid w:val="004A7BC7"/>
    <w:rsid w:val="00546EF2"/>
    <w:rsid w:val="006D1A3C"/>
    <w:rsid w:val="007528C6"/>
    <w:rsid w:val="008C6FAA"/>
    <w:rsid w:val="00947C15"/>
    <w:rsid w:val="009E16BD"/>
    <w:rsid w:val="00A40BA2"/>
    <w:rsid w:val="00D51614"/>
    <w:rsid w:val="00FC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9A490"/>
  <w15:docId w15:val="{BCBB844A-258A-449A-861C-84955C5D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6FA7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FA7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A5F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2164</Words>
  <Characters>11557</Characters>
  <Application>Microsoft Office Word</Application>
  <DocSecurity>0</DocSecurity>
  <Lines>321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da Solução — HUB Consolidador TCG</vt:lpstr>
    </vt:vector>
  </TitlesOfParts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da Solução — HUB Consolidador TCG</dc:title>
  <dc:creator>Equipe de Fundadores</dc:creator>
  <cp:lastModifiedBy>Theo Martins Paoliello</cp:lastModifiedBy>
  <cp:revision>7</cp:revision>
  <dcterms:created xsi:type="dcterms:W3CDTF">2026-06-26T23:09:00Z</dcterms:created>
  <dcterms:modified xsi:type="dcterms:W3CDTF">2026-06-29T12:41:00Z</dcterms:modified>
</cp:coreProperties>
</file>