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CHARTER SERVICE</w:t>
      </w:r>
    </w:p>
    <w:p>
      <w:r>
        <w:t>The contractor agrees to comply with 49 U.S.C. 5323(d), 5323(r), and 49 C.F.R. part 604, which provides that Recipients and subrecipients of FTA assistance are prohibited from providing charter service using federally funded equipment or facilities if there is at least one private charter operator willing and able to provide the service, except as permitted under: 1. Federal transit laws, specifically 49 U.S.C. § 5323(d); 2. FTA regulations, “Charter Service,” 49 C.F.R. part 604; 3. Any other federal Charter Service regulations; or 4. Federal guidance, except as FTA determines otherwise in writing. The contractor agrees that if it engages in a pattern of violations of FTA’s Charter Service regulations, FTA may require corrective measures or impose remedies on it. These corrective measures and remedies may include: 8 Jun-24 1. Barring it or any subcontractor operating public transportation under its Award that has provided prohibited charter service from receiving federal assistance from FTA; 2. Withholding an amount of federal assistance as provided by Appendix D to part 604 of FTA’s Charter Service regulations; or 3. Any other appropriate remedy that may apply. The contractor should also include the substance of this clause in each subcontract that may involve operating public transit services.</w:t>
      </w:r>
    </w:p>
    <w:p>
      <w:pPr>
        <w:pStyle w:val="Heading1"/>
      </w:pPr>
      <w:r>
        <w:t>SCHOOL BUS OPERATIONS</w:t>
      </w:r>
    </w:p>
    <w:p>
      <w:r>
        <w:t>The contractor agrees to comply with 49 U.S.C. 5323(f), and 49 C.F.R. part 604, and not engage in school bus operations using federally funded equipment or facilities in competition with private operators of school buses, except as permitted under: 1. Federal transit laws, specifically 49 U.S.C. § 5323(f); 2. FTA regulations, “School Bus Operations,” 49 C.F.R. part 605; 3. Any other Federal School Bus regulations; or 4. Federal guidance, except as FTA determines otherwise in writing. If Contractor violates this School Bus Agreement, FTA may: 1. Bar the Contractor from receiving Federal assistance for public transportation; or 2. Require the contractor to take such remedial measures as FTA considers appropriate. When operating exclusive school bus service under an allowable exemption, the contractor may not use federally funded equipment, vehicles, or facilities. The Contractor should include the substance of this clause in each subcontract or purchase under this contract that may operate public transportation services.</w:t>
      </w:r>
    </w:p>
    <w:p>
      <w:pPr>
        <w:pStyle w:val="Heading1"/>
      </w:pPr>
      <w:r>
        <w:t>PUBLIC TRANSPORTATION EMPLOYEE PROTECTIVE ARRANGEMENTS</w:t>
      </w:r>
    </w:p>
    <w:p>
      <w:r>
        <w:t>The Contractor agrees to comply with the following employee protective arrangements of 49 U.S.C. § 5333(b): 1. U.S. DOL Certification. Under this Contract or any Amendments thereto that involve public transportation operations that are supported with federal assistance, a certification issued by U.S. DOL is a condition of the Contract. 2. Special Warranty. When the Contract involves public transportation operations and is supported with federal assistance appropriated or made available for 49 U.S.C. § 5311, U.S. DOL will provide a Special Warranty for its Award, including its Award of federal assistance under the Tribal Transit Program. The U.S. DOL Special Warranty is a condition of the Contract. 3. Special Arrangements. The conditions of 49 U.S.C. § 5333(b) do not apply to Contractors providing public transportation operations pursuant to 49 U.S.C. § 5310. FTA reserves the right to make case-by-case determinations of the applicability of 49 U.S.C. § 5333(b) for all transfers of funding authorized under title 23, United States Code (flex funds), and make other exceptions as it deems appropriate, and, in those instances, any special 23 Jun-24 arrangements required by FTA will be incorporated herein as required</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SUBSTANCE ABUSE REQUIREMENTS</w:t>
      </w:r>
    </w:p>
    <w:p>
      <w:r>
        <w:t>The Contractor agrees to establish and implement a drug and alcohol testing program that complies with 49 C.F.R. part 655, produce any documentation necessary to establish its compliance with part 655, and permit any authorized representative of the United States Department of Transportation or its operating administrations, the State Oversight Agency, or Agency, to inspect the facilities and records associated with the implementation of the drug and alcohol testing program as required under 49 C.F.R. part 655 and review the testing process. The Contractor agrees further to certify annually its compliance with part 655 and to submit the Management Information System (MIS) reports to the Agency.</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CONTRACT WORK HOURS AND SAFETY STANDARDS ACT</w:t>
      </w:r>
    </w:p>
    <w:p>
      <w:r>
        <w:t>a. Applicability: This requirement applies to all FTA grant and cooperative agreement programs. b. Where applicable (see 40 U.S.C. § 3701), all contracts awarded by the non-Federal entity in excess of $100,000 that involve the employment of mechanics or laborers must include a provision for compliance with 40 U.S.C. §§ 3702 and 3704, as supplemented by Department of Labor regulations at 29 C.F.R. Part 5. See 2 C.F.R. Part 200, Appendix II. c. Under 40 U.S.C. § 3702, each contractor must be required to compute the wages of every mechanic and laborer on the basis of a standard work week of 40 hours. Work in excess of the standard work week is permissible provided that the worker is compensated at a rate of not less than one and a half times the basic rate of pay for all hours worked in excess of 40 hours in the work week. d. The requirements of 40 U.S.C. § 3704 are applicable to construction work and provide that no laborer or mechanic must be required to work in surroundings or under working conditions which are unsanitary, hazardous or dangerous. These requirements do not apply to the purchases of supplies or materials or articles ordinarily available on the open market, or contracts for transportation or transmission of intelligence. e. The regulation at 29 C.F.R. § 5.5(b) provides the required contract clause concerning compliance with the Contract Work Hours and Safety Standards Act: Compliance with the Contract Work Hours and Safety Standards Act. 12 Jun-24 (1) Overtime requirements. No contractor or subcontractor contracting for any part of the contract work which may require or involve the employment of laborers or mechanics shall require or permit any such laborer or mechanic in any workweek in which he or she is employed on such work to work in excess of forty hours in such workweek unless such laborer or mechanic receives compensation at a rate not less than one and onehalf times the basic rate of pay for all hours worked in excess of forty hours in such workweek. (2) Violation; liability for unpaid wages; liquidated damages. In the event of any violation of the clause set forth in paragraph (1) of this section the contractor and any subcontractor responsible therefor shall be liable for the unpaid wages. In addition, such contractor and subcontractor shall be liable to the United States (in the case of work done under contract for the District of Columbia or a territory, to such District or to such territory), for liquidated damages. Such liquidated damages shall be computed with respect to each individual laborer or mechanic, including watchmen and guards, employed in violation of the clause set forth in paragraph (1) of this section, in the sum of $10 for each calendar day on which such individual was required or permitted to work in excess of the standard workweek of forty hours without payment of the overtime wages required by the clause set forth in paragraph (1) of this section. (3) Withholding for unpaid wages and liquidated damages. The agency shall upon its own action or upon written request of an authorized representative of the Department of Labor withhold or cause to be withheld, from any moneys payable on account of work performed by the contractor or subcontractor under any such contract or any other Federal contract with the same prime contractor, or any other federally-assisted contract subject to the Contract Work Hours and Safety Standards Act, which is held by the same prime contractor, such sums as may be determined to be necessary to satisfy any liabilities of such contractor or subcontractor for unpaid wages and liquidated damages as provided in the clause set forth in paragraph (2) of this section. (4) Subcontracts. The contractor or subcontractor shall insert in any subcontracts the clauses set forth in paragraph (1) through (4) of this section and also a clause requiring the subcontractors to include these clauses in any lower tier subcontracts. The prime contractor shall be responsible for compliance by any subcontractor or lower tier subcontractor with the clauses set forth in paragraphs (1) through (4) of this section.”</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