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testTEST</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SIMPLIFIED ACQUISITION THRESHOLD</w:t>
      </w:r>
    </w:p>
    <w:p>
      <w:r>
        <w:t>Contracts for more than the simplified acquisition threshold, which is the inflation adjusted amount determined by the Civilian Agency Acquisition Council and the Defense Acquisition Regulations Council (Councils) as authorized by 41 U.S.C. § 1908, or otherwise set by law, must address administrative, contractual, or legal remedies in instances where contractors violate or breach contract terms, and provide for such sanctions and penalties as appropriate. (Note that the simplified acquisition threshold determines the procurement procedures that must be employed pursuant to 2 C.F.R. §§ 200.317–200.327. The simplified acquisition threshold does not exempt a procurement from other eligibility or processes requirements that may apply. For example, Buy America’s eligibility and process requirements apply to any procurement in excess of $150,000. 49 U.S.C. § 5323(j)(13).</w:t>
      </w:r>
    </w:p>
    <w:p>
      <w:pPr>
        <w:pStyle w:val="Heading1"/>
      </w:pPr>
      <w:r>
        <w:t>CLEAN AIR ACT AND FEDERAL WATER POLLUTION CONTROL ACT</w:t>
      </w:r>
    </w:p>
    <w:p>
      <w:r>
        <w:t>The Contractor agrees to comply with all applicable standards, orders, or regulations issued pursuant to the Clean Air Act (42 U.S.C. § 7401-7671q) and the Federal Water Pollution Control Act as amended (33 U.S.C. § 1251-1387). Violations must be reported to FTA and the Regional Office of the Environmental Protection Agency. The following applies for contracts of amounts in excess of $150,000: Clean Air Act (1) The contractor agrees to comply with all applicable standards, orders or regulations issued pursuant to the Clean Air Act, as amended, 42 U.S.C. § 7401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11 Jun-24 exceeding $150,000 financed in whole or in part with Federal assistance provided by FTA. Federal Water Pollution Control Act (1) The contractor agrees to comply with all applicable standards, orders or regulations issued pursuant to the Federal Water Pollution Control Act, as amended, 33 U.S.C. 1251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exceeding $150,000 financed in whole or in part with Federal assistance provided by FTA.”</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VIOLATION AND BREACH OF CONTRACT</w:t>
      </w:r>
    </w:p>
    <w:p>
      <w:r>
        <w:t>Disputes: Disputes arising in the performance of this Contract that are not resolved by agreement of the parties shall be decided in writing by the authorized representative of the agency. This decision shall be final and conclusive unless within [10] days from the date of receipt of its copy, the Contractor mails or otherwise furnishes a written appeal to the agencies authorized representative. In connection with any such appeal, the Contractor shall be afforded an opportunity to be heard and to offer evidence in support of its position. The decision of the agencies authorized representative shall be binding upon the Contractor and the Contractor shall abide be the decision. Performance during Dispute: Unless otherwise directed by the agencies authorized representative, contractor shall continue performance under this contract while matters in dispute are being resolved. Claims for Damages: Should either party to the contract suffer injury or damage to person or property because of any act or omission of the party or of any of his employees, agents or others for whose acts he is legally liable, a claim for damages therefore shall be made in writing to such other party within a reasonable time after the first observance of such injury or damage. Remedies: Unless this contract provides otherwise, all claims, counterclaims, disputes and other matters in question between the agencies authorized representative and contractor arising out of or relating to this agreement or its breach will be decided by arbitration if the parties mutually agree, or in a court of competent jurisdiction within the State in which the Agency is located. Rights and Remedies: Duties and obligations imposed by the contract documents and the rights and remedies available thereunder shall be in addition to and not a limitation of any duties, obligations, rights and remedies otherwise imposed or available by law. No action or failure to act by the Agency or contractor shall constitute a waiver of any right or duty afforded any of them under the contract, nor shall any such action or failure to act constitute an approval of or acquiescence in any breach thereunder, except as may be specifically agreed in writing.</w:t>
      </w:r>
    </w:p>
    <w:p>
      <w:pPr>
        <w:pStyle w:val="Heading1"/>
      </w:pPr>
      <w:r>
        <w:t>BOND REQUIREMENTS</w:t>
      </w:r>
    </w:p>
    <w:p>
      <w:r>
        <w:t>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(a)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(b) A performance bond on the part of the contractor for 100 percent of the contract price. A “performance bond” is one executed in connection with a contract to secure fulfillment of all the contractor's requirements under such contract. (c)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 It is also understood and agreed that if the bidder should withdraw any part or all of their bid within [90] days after the bid opening without the written consent of the Agency, or refuse or be unable to enter into this Contract as provided above, or refuse or be unable to furnish adequate and acceptable Performance and Payment Bonds, or refuse or be unable to furnish adequate and acceptable insurance, as provided above, it shall forfeit its bid guaranty to the extent Agency’s damages occasioned by such withdrawal, or refusal, or inability to enter into a Contract, or provide adequate security thereof. It is further understood and agreed that to the extent the defaulting bidder's bid guaranty shall prove inadequate to fully recompense Agency for the damages occasioned by default, then the bidder agrees to indemnify Agency and pay over to Agency the difference between the bid guarantee and Agency’s total damages so as to make Agency whole. The bidder understands that any material alteration of any of the above or any of the material contained herein, other than that requested will render the bid unresponsive. Performance Guarantee. A Performance Guarantee in the amount of 100% of the Contract value is required by the Agency to ensure faithful performance of the Contract. Either a Performance Bond or an Irrevocable Stand-By Letter of Credit shall be provided by the Contractor and shall remain in full force for the term of the Contract. The successful Bidder shall certify that it will provide the requisite Performance Guarantee to the Agency within ten 5 Jun-24 (10) business days from Contract execution. The Agency requires all Performance Bonds to be provided by a fully qualified surety company acceptable to the Agency and listed as a company currently authorized under 31 C.F.R. part 22 as possessing a Certificate of Authority as described hereunder. Agency may require additional performance bond protection when the contract price is increased. The increase in protection shall generally equal 100 percent of the increase in contract price. The Agency may secure additional protection by directing the Contractor to increase the amount of the existing bond or to obtain an additional bond. If the Bidder chooses to provide a Letter of Credit as its Performance Guarantee, the Bidder shall furnish with its bid, certification that an Irrevocable Stand-By Letter of Credit will be furnished should the Bidder become the successful Contractor. The Bidder shall also provide a statement from the banking institution certifying that an Irrevocable Stand-By Letter of Credit for the action will be provided if the Contract is awarded to the Bidder. The Irrevocable StandBy Letter of Credit will only be accepted by the Agency if: 1. A bank in good standing issues it. The Agency will not accept a Letter of Credit from an entity other than a bank. 2. It is in writing and signed by the issuing bank. 3. It conspicuously states that it is an irrevocable, non-transferable, “standby” Letter of Credit. 4. The Agency is identified as the Beneficiary. 5. It is in an amount equal to 100% of the Contract value. This amount must be in U.S. dollars. 6. The effective date of the Letter of Credit is the same as the effective date of the Contract 7. The expiration date of the Letter of Credit coincides with the term of the contract. 8. It indicates that it is being issued in order to support the obligation of the Contractor to perform under the Contract. It must specifically reference the Contract between the Agency and the Contractor the work stipulated herein. The issuing bank’s obligation to pay will arise upon the presentation of the original Letter of Credit and a certificate and draft to the issuing bank’s representative at a location and time to be determined by the parties. This documentation will indicate that the Contractor is in default under the Contract. Payment Bonds. A Labor and Materials Payment Bond equal to the full value of the contract must be furnished by the contractor to Agency as security for payment by the Contractor and subcontractors for labor, materials, and rental of equipment. The bond may be issued by a fully qualified surety company acceptable to (Agency) and listed as a company currently authorized under 31 C.F.R. part 223 as possessing a Certificate of Authority as described thereunder.</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