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6302" w:type="dxa"/>
        <w:tblInd w:w="-431" w:type="dxa"/>
        <w:tblLook w:val="04A0" w:firstRow="1" w:lastRow="0" w:firstColumn="1" w:lastColumn="0" w:noHBand="0" w:noVBand="1"/>
      </w:tblPr>
      <w:tblGrid>
        <w:gridCol w:w="8364"/>
        <w:gridCol w:w="7938"/>
      </w:tblGrid>
      <w:tr w:rsidR="00BC1686" w:rsidTr="001B540E">
        <w:tc>
          <w:tcPr>
            <w:tcW w:w="8364" w:type="dxa"/>
          </w:tcPr>
          <w:p w:rsidR="00BC1686" w:rsidRPr="00CB6DBF" w:rsidRDefault="00CB6DBF" w:rsidP="001B540E">
            <w:pPr>
              <w:pStyle w:val="Titre1"/>
              <w:spacing w:before="0"/>
            </w:pPr>
            <w:r w:rsidRPr="00CB6DBF">
              <w:t>Littérature d’idées</w:t>
            </w:r>
            <w:r w:rsidR="001B540E">
              <w:t xml:space="preserve"> – Montaigne, « Des Cannibales » et « Des coches », </w:t>
            </w:r>
            <w:r w:rsidR="001B540E" w:rsidRPr="001B540E">
              <w:rPr>
                <w:u w:val="single"/>
              </w:rPr>
              <w:t>Les Essais</w:t>
            </w:r>
          </w:p>
          <w:p w:rsidR="00CB6DBF" w:rsidRDefault="00CB6DBF"/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Mouvement :</w:t>
            </w:r>
            <w:r w:rsidRPr="001B540E">
              <w:rPr>
                <w:sz w:val="24"/>
              </w:rPr>
              <w:t xml:space="preserve"> </w:t>
            </w:r>
            <w:r w:rsidR="00595E66">
              <w:rPr>
                <w:sz w:val="24"/>
              </w:rPr>
              <w:t>humanisme</w:t>
            </w:r>
          </w:p>
          <w:p w:rsidR="001B540E" w:rsidRPr="001B540E" w:rsidRDefault="001B540E" w:rsidP="001B540E">
            <w:pPr>
              <w:rPr>
                <w:b/>
                <w:sz w:val="24"/>
              </w:rPr>
            </w:pPr>
            <w:r w:rsidRPr="001B540E">
              <w:rPr>
                <w:b/>
                <w:sz w:val="24"/>
              </w:rPr>
              <w:t>Contexte :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1B540E">
              <w:rPr>
                <w:color w:val="C00000"/>
                <w:sz w:val="24"/>
              </w:rPr>
              <w:t>Découverte du nouveau continent</w:t>
            </w:r>
            <w:r w:rsidRPr="001B540E">
              <w:rPr>
                <w:sz w:val="24"/>
              </w:rPr>
              <w:t xml:space="preserve"> en 1492 avec de nouveaux peuples et territoires et de nouvelles cultures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rFonts w:ascii="Tahoma" w:hAnsi="Tahoma" w:cs="Tahoma"/>
                <w:sz w:val="24"/>
              </w:rPr>
            </w:pPr>
            <w:r w:rsidRPr="001B540E">
              <w:rPr>
                <w:color w:val="C00000"/>
                <w:sz w:val="24"/>
              </w:rPr>
              <w:t>Remise en cause de l'Église catholique</w:t>
            </w:r>
            <w:r>
              <w:rPr>
                <w:sz w:val="24"/>
              </w:rPr>
              <w:br/>
            </w:r>
            <w:r w:rsidRPr="001B540E">
              <w:rPr>
                <w:sz w:val="24"/>
              </w:rPr>
              <w:t>Guerres de religion en France : massacres et tueries entre catholiques et protestants (s'arr</w:t>
            </w:r>
            <w:r w:rsidRPr="001B540E">
              <w:rPr>
                <w:rFonts w:ascii="Calibri" w:hAnsi="Calibri" w:cs="Calibri"/>
                <w:sz w:val="24"/>
              </w:rPr>
              <w:t>ê</w:t>
            </w:r>
            <w:r w:rsidRPr="001B540E">
              <w:rPr>
                <w:sz w:val="24"/>
              </w:rPr>
              <w:t>teront avec l'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dit de Nantes)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rFonts w:ascii="Tahoma" w:hAnsi="Tahoma" w:cs="Tahoma"/>
                <w:sz w:val="24"/>
              </w:rPr>
            </w:pPr>
            <w:r w:rsidRPr="001B540E">
              <w:rPr>
                <w:color w:val="C00000"/>
                <w:sz w:val="24"/>
              </w:rPr>
              <w:t>Renaissance :</w:t>
            </w:r>
            <w:r w:rsidRPr="001B540E">
              <w:rPr>
                <w:sz w:val="24"/>
              </w:rPr>
              <w:t xml:space="preserve"> volonté de revenir à l'Antiquité après le Moyen-Âge jugé comme période obscurantiste</w:t>
            </w:r>
            <w:bookmarkStart w:id="0" w:name="_GoBack"/>
            <w:bookmarkEnd w:id="0"/>
            <w:r>
              <w:rPr>
                <w:sz w:val="24"/>
              </w:rPr>
              <w:br/>
            </w:r>
            <w:r w:rsidRPr="001B540E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B540E">
              <w:rPr>
                <w:color w:val="C00000"/>
                <w:sz w:val="24"/>
              </w:rPr>
              <w:t xml:space="preserve">Humanisme </w:t>
            </w:r>
            <w:r w:rsidRPr="001B540E">
              <w:rPr>
                <w:sz w:val="24"/>
              </w:rPr>
              <w:t>: mouvement litt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raire, tourn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 vers l'Homme.</w:t>
            </w:r>
            <w:r>
              <w:rPr>
                <w:sz w:val="24"/>
              </w:rPr>
              <w:br/>
            </w:r>
            <w:r w:rsidRPr="001B540E">
              <w:rPr>
                <w:sz w:val="24"/>
              </w:rPr>
              <w:t>Promotion de la tol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rance et de la paix, critique de l'intol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rance, la violence, la tyrannie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rFonts w:ascii="Tahoma" w:hAnsi="Tahoma" w:cs="Tahoma"/>
                <w:sz w:val="24"/>
              </w:rPr>
            </w:pPr>
            <w:r w:rsidRPr="001B540E">
              <w:rPr>
                <w:b/>
                <w:sz w:val="24"/>
              </w:rPr>
              <w:t>Auteur :</w:t>
            </w:r>
            <w:r>
              <w:rPr>
                <w:sz w:val="24"/>
              </w:rPr>
              <w:t xml:space="preserve"> Montaigne, noble et philosophe</w:t>
            </w:r>
            <w:r>
              <w:rPr>
                <w:sz w:val="24"/>
              </w:rPr>
              <w:br/>
              <w:t>A eu des fonctions politiques (membre du parlement de Bordeaux), s’est retiré du monde pour écrire après la mort de La Boétie</w:t>
            </w:r>
          </w:p>
          <w:p w:rsidR="001B540E" w:rsidRPr="001B540E" w:rsidRDefault="001B540E" w:rsidP="001B540E">
            <w:p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N'a fait qu'une seule </w:t>
            </w:r>
            <w:r w:rsidRPr="00595E66">
              <w:rPr>
                <w:color w:val="C00000"/>
                <w:sz w:val="24"/>
              </w:rPr>
              <w:t>œuvre</w:t>
            </w:r>
            <w:r w:rsidRPr="001B540E">
              <w:rPr>
                <w:sz w:val="24"/>
              </w:rPr>
              <w:t xml:space="preserve">, </w:t>
            </w:r>
            <w:r w:rsidRPr="00595E66">
              <w:rPr>
                <w:sz w:val="24"/>
                <w:u w:val="single"/>
              </w:rPr>
              <w:t>Les Essais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Œuvre</w:t>
            </w:r>
            <w:r w:rsidRPr="001B540E">
              <w:rPr>
                <w:b/>
                <w:sz w:val="24"/>
              </w:rPr>
              <w:t xml:space="preserve"> :</w:t>
            </w:r>
            <w:r w:rsidRPr="001B540E">
              <w:rPr>
                <w:sz w:val="24"/>
              </w:rPr>
              <w:t xml:space="preserve"> commencée en 1572, composée de 4 éditions. A chacune, Montaigne </w:t>
            </w:r>
            <w:r>
              <w:rPr>
                <w:color w:val="C00000"/>
                <w:sz w:val="24"/>
              </w:rPr>
              <w:t>complète</w:t>
            </w:r>
            <w:r w:rsidRPr="001B540E">
              <w:rPr>
                <w:color w:val="C00000"/>
                <w:sz w:val="24"/>
              </w:rPr>
              <w:t xml:space="preserve"> et amplifie</w:t>
            </w:r>
            <w:r w:rsidRPr="001B540E">
              <w:rPr>
                <w:sz w:val="24"/>
              </w:rPr>
              <w:t xml:space="preserve"> ce qu'il a écrit précédemment. Elle ne s'achèvera qu'à sa mort.</w:t>
            </w: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color w:val="C00000"/>
                <w:sz w:val="24"/>
              </w:rPr>
              <w:t>Tentative, expérience</w:t>
            </w:r>
            <w:r w:rsidRPr="001B540E">
              <w:rPr>
                <w:sz w:val="24"/>
              </w:rPr>
              <w:t xml:space="preserve"> afin que Montaigne réfléchisse à différents sujets pour savoir ce qu'il en pense</w:t>
            </w:r>
          </w:p>
          <w:p w:rsidR="00CB6DBF" w:rsidRPr="00CB6DBF" w:rsidRDefault="001B540E" w:rsidP="001B540E">
            <w:r w:rsidRPr="001B540E">
              <w:rPr>
                <w:color w:val="C00000"/>
                <w:sz w:val="24"/>
              </w:rPr>
              <w:t>Genre argumentatif et autobiographique</w:t>
            </w:r>
            <w:r w:rsidRPr="001B540E">
              <w:rPr>
                <w:sz w:val="24"/>
              </w:rPr>
              <w:t xml:space="preserve"> avec volonté de sincérité et une organisation très libre</w:t>
            </w:r>
          </w:p>
        </w:tc>
        <w:tc>
          <w:tcPr>
            <w:tcW w:w="7938" w:type="dxa"/>
          </w:tcPr>
          <w:p w:rsidR="00BC1686" w:rsidRPr="00CB6DBF" w:rsidRDefault="00CB6DBF" w:rsidP="001B540E">
            <w:pPr>
              <w:pStyle w:val="Titre1"/>
              <w:spacing w:before="0"/>
            </w:pPr>
            <w:r w:rsidRPr="00CB6DBF">
              <w:t>Roman</w:t>
            </w:r>
            <w:r w:rsidR="001B540E">
              <w:t xml:space="preserve"> – M</w:t>
            </w:r>
            <w:r w:rsidR="001B540E" w:rsidRPr="001B540E">
              <w:rPr>
                <w:vertAlign w:val="superscript"/>
              </w:rPr>
              <w:t>e</w:t>
            </w:r>
            <w:r w:rsidR="001B540E">
              <w:t xml:space="preserve"> de La Fayette, </w:t>
            </w:r>
            <w:r w:rsidR="001B540E" w:rsidRPr="001B540E">
              <w:rPr>
                <w:u w:val="single"/>
              </w:rPr>
              <w:t>La Princesse de Clèves</w:t>
            </w:r>
          </w:p>
          <w:p w:rsidR="00CB6DBF" w:rsidRDefault="00CB6DBF"/>
          <w:p w:rsidR="00595E66" w:rsidRPr="00595E66" w:rsidRDefault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Mouvement :</w:t>
            </w:r>
            <w:r w:rsidRPr="00595E66">
              <w:rPr>
                <w:sz w:val="24"/>
              </w:rPr>
              <w:t xml:space="preserve"> classicisme</w:t>
            </w:r>
          </w:p>
          <w:p w:rsidR="001B540E" w:rsidRPr="001B540E" w:rsidRDefault="001B540E" w:rsidP="001B540E">
            <w:pPr>
              <w:rPr>
                <w:b/>
                <w:sz w:val="24"/>
              </w:rPr>
            </w:pPr>
            <w:r w:rsidRPr="001B540E">
              <w:rPr>
                <w:b/>
                <w:sz w:val="24"/>
              </w:rPr>
              <w:t>Contexte :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Le classicisme </w:t>
            </w:r>
            <w:r w:rsidRPr="001B540E">
              <w:rPr>
                <w:sz w:val="24"/>
              </w:rPr>
              <w:t>: goût pour les auteurs Antiques (modèle absolu, inégalable, parfait), la symétrie, l'harmonie, l'ordre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 xml:space="preserve">Volonté d'écrire des œuvres avec une </w:t>
            </w:r>
            <w:r w:rsidRPr="00361F5A">
              <w:rPr>
                <w:color w:val="C00000"/>
                <w:sz w:val="24"/>
              </w:rPr>
              <w:t>partie morale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La Préciosité </w:t>
            </w:r>
            <w:r w:rsidRPr="001B540E">
              <w:rPr>
                <w:sz w:val="24"/>
              </w:rPr>
              <w:t>: mouvement littéraire destiné aux femmes s'intéressant à l'analyse de l'amour et de ses nuances, ainsi que des dangers de l'amour, l'analyse psychologique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>Volont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 de cr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er un </w:t>
            </w:r>
            <w:r w:rsidRPr="00361F5A">
              <w:rPr>
                <w:color w:val="C00000"/>
                <w:sz w:val="24"/>
              </w:rPr>
              <w:t xml:space="preserve">style </w:t>
            </w:r>
            <w:r w:rsidRPr="00361F5A">
              <w:rPr>
                <w:rFonts w:ascii="Calibri" w:hAnsi="Calibri" w:cs="Calibri"/>
                <w:color w:val="C00000"/>
                <w:sz w:val="24"/>
              </w:rPr>
              <w:t>é</w:t>
            </w:r>
            <w:r w:rsidRPr="00361F5A">
              <w:rPr>
                <w:color w:val="C00000"/>
                <w:sz w:val="24"/>
              </w:rPr>
              <w:t>l</w:t>
            </w:r>
            <w:r w:rsidRPr="00361F5A">
              <w:rPr>
                <w:rFonts w:ascii="Calibri" w:hAnsi="Calibri" w:cs="Calibri"/>
                <w:color w:val="C00000"/>
                <w:sz w:val="24"/>
              </w:rPr>
              <w:t>é</w:t>
            </w:r>
            <w:r w:rsidRPr="00361F5A">
              <w:rPr>
                <w:color w:val="C00000"/>
                <w:sz w:val="24"/>
              </w:rPr>
              <w:t>gant</w:t>
            </w:r>
            <w:r w:rsidRPr="001B540E">
              <w:rPr>
                <w:sz w:val="24"/>
              </w:rPr>
              <w:t>, subtil pour traduire la finesse des sentiments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Les moralistes </w:t>
            </w:r>
            <w:r w:rsidRPr="001B540E">
              <w:rPr>
                <w:sz w:val="24"/>
              </w:rPr>
              <w:t>: vision pessimiste de la vie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>L'</w:t>
            </w:r>
            <w:r w:rsidRPr="001B540E">
              <w:rPr>
                <w:rFonts w:ascii="Calibri" w:hAnsi="Calibri" w:cs="Calibri"/>
                <w:sz w:val="24"/>
              </w:rPr>
              <w:t>ê</w:t>
            </w:r>
            <w:r w:rsidRPr="001B540E">
              <w:rPr>
                <w:sz w:val="24"/>
              </w:rPr>
              <w:t>tre humain serait globalement insinc</w:t>
            </w:r>
            <w:r w:rsidRPr="001B540E">
              <w:rPr>
                <w:rFonts w:ascii="Calibri" w:hAnsi="Calibri" w:cs="Calibri"/>
                <w:sz w:val="24"/>
              </w:rPr>
              <w:t>è</w:t>
            </w:r>
            <w:r w:rsidRPr="001B540E">
              <w:rPr>
                <w:sz w:val="24"/>
              </w:rPr>
              <w:t>re, versatile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Auteur :</w:t>
            </w:r>
            <w:r w:rsidRPr="001B540E">
              <w:rPr>
                <w:sz w:val="24"/>
              </w:rPr>
              <w:t xml:space="preserve"> Madame de La Fayette, petite noblesse, à la Cour, fréquente des salons mondains et de nombreux auteurs (La Rochefoucauld), publie un grand nombre de ses </w:t>
            </w:r>
            <w:r w:rsidRPr="001B540E">
              <w:rPr>
                <w:sz w:val="24"/>
              </w:rPr>
              <w:t>œuvres</w:t>
            </w:r>
            <w:r w:rsidRPr="001B540E"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anonymement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Œuvre</w:t>
            </w:r>
            <w:r w:rsidRPr="001B540E">
              <w:rPr>
                <w:b/>
                <w:sz w:val="24"/>
              </w:rPr>
              <w:t xml:space="preserve"> :</w:t>
            </w:r>
            <w:r w:rsidRPr="001B540E">
              <w:rPr>
                <w:sz w:val="24"/>
              </w:rPr>
              <w:t xml:space="preserve"> </w:t>
            </w:r>
            <w:r w:rsidRPr="00595E66">
              <w:rPr>
                <w:sz w:val="24"/>
                <w:u w:val="single"/>
              </w:rPr>
              <w:t>La Princesse de Clèves</w:t>
            </w:r>
            <w:r w:rsidRPr="001B540E">
              <w:rPr>
                <w:sz w:val="24"/>
              </w:rPr>
              <w:t>, roman de 1678 d'abord paru anonymement, et roman majeur de la littérature (considéré comme l'un des premiers</w:t>
            </w:r>
            <w:r>
              <w:rPr>
                <w:sz w:val="24"/>
              </w:rPr>
              <w:t>, si ce n’est le premier,</w:t>
            </w:r>
            <w:r w:rsidRPr="001B540E"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roman d'analyse psychologique</w:t>
            </w:r>
            <w:r w:rsidRPr="001B540E">
              <w:rPr>
                <w:sz w:val="24"/>
              </w:rPr>
              <w:t>)</w:t>
            </w:r>
          </w:p>
          <w:p w:rsidR="00CB6DBF" w:rsidRPr="00CB6DBF" w:rsidRDefault="001B540E" w:rsidP="001B540E">
            <w:r w:rsidRPr="001B540E">
              <w:rPr>
                <w:sz w:val="24"/>
              </w:rPr>
              <w:t>Raconte un amour impossible entre une femme mariée, Me de Clèves, et le duc de Nemours</w:t>
            </w:r>
          </w:p>
        </w:tc>
      </w:tr>
      <w:tr w:rsidR="00BC1686" w:rsidTr="001B540E">
        <w:tc>
          <w:tcPr>
            <w:tcW w:w="8364" w:type="dxa"/>
          </w:tcPr>
          <w:p w:rsidR="00BC1686" w:rsidRPr="00CB6DBF" w:rsidRDefault="00CB6DBF" w:rsidP="00595E66">
            <w:pPr>
              <w:pStyle w:val="Titre1"/>
              <w:spacing w:before="0"/>
            </w:pPr>
            <w:r w:rsidRPr="00CB6DBF">
              <w:lastRenderedPageBreak/>
              <w:t>Théâtre</w:t>
            </w:r>
            <w:r w:rsidR="001B540E">
              <w:t xml:space="preserve"> – Racine, </w:t>
            </w:r>
            <w:r w:rsidR="001B540E" w:rsidRPr="001B540E">
              <w:rPr>
                <w:u w:val="single"/>
              </w:rPr>
              <w:t>Phèdre</w:t>
            </w:r>
          </w:p>
          <w:p w:rsidR="00CB6DBF" w:rsidRDefault="00CB6DBF"/>
          <w:p w:rsidR="00595E66" w:rsidRPr="00595E66" w:rsidRDefault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Mouvement :</w:t>
            </w:r>
            <w:r w:rsidRPr="00595E66">
              <w:rPr>
                <w:sz w:val="24"/>
              </w:rPr>
              <w:t xml:space="preserve"> classicisme</w:t>
            </w:r>
          </w:p>
          <w:p w:rsidR="00CB6DBF" w:rsidRDefault="00595E66">
            <w:pPr>
              <w:rPr>
                <w:sz w:val="24"/>
              </w:rPr>
            </w:pPr>
            <w:r>
              <w:rPr>
                <w:b/>
                <w:sz w:val="24"/>
              </w:rPr>
              <w:t>Contexte :</w:t>
            </w:r>
          </w:p>
          <w:p w:rsidR="00595E66" w:rsidRDefault="00595E66" w:rsidP="00595E66">
            <w:pPr>
              <w:pStyle w:val="Paragraphedeliste"/>
              <w:numPr>
                <w:ilvl w:val="0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Le classicisme </w:t>
            </w:r>
            <w:r>
              <w:rPr>
                <w:sz w:val="24"/>
              </w:rPr>
              <w:t>: grande valorisation des arts et des artistes, volonté d’encadrer l’art</w:t>
            </w:r>
            <w:r>
              <w:rPr>
                <w:sz w:val="24"/>
              </w:rPr>
              <w:br/>
              <w:t>Goût pour l’Antiquité, sobriété, clarté, harmonie, intérêt pour les questions morales</w:t>
            </w:r>
            <w:r>
              <w:rPr>
                <w:sz w:val="24"/>
              </w:rPr>
              <w:br/>
              <w:t xml:space="preserve">Au théâtre : 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Règle des trois unités :</w:t>
            </w:r>
            <w:r>
              <w:rPr>
                <w:sz w:val="24"/>
              </w:rPr>
              <w:t xml:space="preserve"> temps (24h max), lieu (un seul), action (une seule intrigue)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Règle de bienséance</w:t>
            </w:r>
            <w:r>
              <w:rPr>
                <w:sz w:val="24"/>
              </w:rPr>
              <w:t> : interdiction de scènes choquantes (violence, sexualité, nudité, mort, critique religion/roi)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color w:val="C00000"/>
                <w:sz w:val="24"/>
              </w:rPr>
              <w:t xml:space="preserve">Règle de vraisemblance </w:t>
            </w:r>
            <w:r w:rsidRPr="00595E66">
              <w:rPr>
                <w:sz w:val="24"/>
              </w:rPr>
              <w:t>(≠ réalisme)</w:t>
            </w:r>
            <w:r>
              <w:rPr>
                <w:sz w:val="24"/>
              </w:rPr>
              <w:t> : cohérence et logique par rapport à l’intrigue</w:t>
            </w:r>
          </w:p>
          <w:p w:rsidR="00595E66" w:rsidRDefault="00595E66" w:rsidP="00595E66">
            <w:pPr>
              <w:rPr>
                <w:sz w:val="24"/>
              </w:rPr>
            </w:pPr>
          </w:p>
          <w:p w:rsidR="00595E66" w:rsidRDefault="00595E66" w:rsidP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Auteur :</w:t>
            </w:r>
            <w:r>
              <w:rPr>
                <w:sz w:val="24"/>
              </w:rPr>
              <w:t xml:space="preserve"> Jean Racine, dramaturge tragique du XVII</w:t>
            </w:r>
            <w:r w:rsidRPr="00595E66">
              <w:rPr>
                <w:sz w:val="24"/>
                <w:vertAlign w:val="superscript"/>
              </w:rPr>
              <w:t>e</w:t>
            </w:r>
            <w:r>
              <w:rPr>
                <w:sz w:val="24"/>
              </w:rPr>
              <w:t xml:space="preserve">, </w:t>
            </w:r>
            <w:r w:rsidRPr="00595E66">
              <w:rPr>
                <w:color w:val="C00000"/>
                <w:sz w:val="24"/>
              </w:rPr>
              <w:t>le plus grand auteur</w:t>
            </w:r>
            <w:r>
              <w:rPr>
                <w:sz w:val="24"/>
              </w:rPr>
              <w:t xml:space="preserve"> représentant le classicisme au théâtre</w:t>
            </w:r>
            <w:r>
              <w:rPr>
                <w:sz w:val="24"/>
              </w:rPr>
              <w:br/>
              <w:t>Inspiration principale de l’Antiquité / la mythologie (</w:t>
            </w:r>
            <w:r w:rsidRPr="00595E66">
              <w:rPr>
                <w:sz w:val="24"/>
                <w:u w:val="single"/>
              </w:rPr>
              <w:t>Andromaque</w:t>
            </w:r>
            <w:r>
              <w:rPr>
                <w:sz w:val="24"/>
              </w:rPr>
              <w:t xml:space="preserve">, </w:t>
            </w:r>
            <w:r w:rsidRPr="00595E66">
              <w:rPr>
                <w:sz w:val="24"/>
                <w:u w:val="single"/>
              </w:rPr>
              <w:t>Britannicus</w:t>
            </w:r>
            <w:r>
              <w:rPr>
                <w:sz w:val="24"/>
              </w:rPr>
              <w:t>)</w:t>
            </w:r>
          </w:p>
          <w:p w:rsidR="00595E66" w:rsidRDefault="00595E66" w:rsidP="00595E66">
            <w:pPr>
              <w:rPr>
                <w:color w:val="C00000"/>
                <w:sz w:val="24"/>
              </w:rPr>
            </w:pPr>
            <w:r>
              <w:rPr>
                <w:sz w:val="24"/>
              </w:rPr>
              <w:t xml:space="preserve">Pendant un court temps, il </w:t>
            </w:r>
            <w:r w:rsidRPr="00595E66">
              <w:rPr>
                <w:sz w:val="24"/>
              </w:rPr>
              <w:t>devient</w:t>
            </w:r>
            <w:r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historiographe</w:t>
            </w:r>
            <w:r>
              <w:rPr>
                <w:sz w:val="24"/>
              </w:rPr>
              <w:t xml:space="preserve"> (= biographe, mémorialiste du roi) </w:t>
            </w:r>
            <w:r w:rsidRPr="00595E66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importance à la Cour</w:t>
            </w:r>
          </w:p>
          <w:p w:rsidR="00595E66" w:rsidRDefault="00595E66" w:rsidP="00595E66">
            <w:pPr>
              <w:rPr>
                <w:color w:val="C00000"/>
                <w:sz w:val="24"/>
              </w:rPr>
            </w:pPr>
          </w:p>
          <w:p w:rsidR="00595E66" w:rsidRDefault="00595E66" w:rsidP="00595E66">
            <w:pPr>
              <w:rPr>
                <w:sz w:val="24"/>
              </w:rPr>
            </w:pPr>
            <w:r>
              <w:rPr>
                <w:b/>
                <w:sz w:val="24"/>
              </w:rPr>
              <w:t>Œuvre :</w:t>
            </w:r>
            <w:r>
              <w:rPr>
                <w:sz w:val="24"/>
              </w:rPr>
              <w:t xml:space="preserve"> 1677, 1è version </w:t>
            </w:r>
            <w:r w:rsidRPr="00595E66">
              <w:rPr>
                <w:sz w:val="24"/>
                <w:u w:val="single"/>
              </w:rPr>
              <w:t>Phèdre et Hippolyte</w:t>
            </w:r>
            <w:r>
              <w:rPr>
                <w:sz w:val="24"/>
              </w:rPr>
              <w:t>, n’a pas eu un succès immédiat</w:t>
            </w:r>
          </w:p>
          <w:p w:rsidR="00361F5A" w:rsidRPr="00595E66" w:rsidRDefault="00595E66" w:rsidP="00595E66">
            <w:pPr>
              <w:rPr>
                <w:sz w:val="24"/>
              </w:rPr>
            </w:pPr>
            <w:r w:rsidRPr="00361F5A">
              <w:rPr>
                <w:color w:val="C00000"/>
                <w:sz w:val="24"/>
              </w:rPr>
              <w:t>Réécriture</w:t>
            </w:r>
            <w:r>
              <w:rPr>
                <w:sz w:val="24"/>
              </w:rPr>
              <w:t xml:space="preserve"> de </w:t>
            </w:r>
            <w:r w:rsidRPr="00595E66">
              <w:rPr>
                <w:sz w:val="24"/>
                <w:u w:val="single"/>
              </w:rPr>
              <w:t>Hippolyte</w:t>
            </w:r>
            <w:r>
              <w:rPr>
                <w:sz w:val="24"/>
              </w:rPr>
              <w:t xml:space="preserve"> d’Euripide</w:t>
            </w:r>
            <w:r w:rsidR="00361F5A">
              <w:rPr>
                <w:sz w:val="24"/>
              </w:rPr>
              <w:t xml:space="preserve"> en – choquant (viol par réalisé, Phèdre – odieuse, Hippolyte davantage faillible)</w:t>
            </w:r>
            <w:r w:rsidR="00361F5A">
              <w:rPr>
                <w:sz w:val="24"/>
              </w:rPr>
              <w:br/>
              <w:t xml:space="preserve">Commence après le </w:t>
            </w:r>
            <w:r w:rsidR="00361F5A" w:rsidRPr="00361F5A">
              <w:rPr>
                <w:color w:val="C00000"/>
                <w:sz w:val="24"/>
              </w:rPr>
              <w:t>mariage de Phèdre et Thésée</w:t>
            </w:r>
            <w:r w:rsidR="00361F5A">
              <w:rPr>
                <w:sz w:val="24"/>
              </w:rPr>
              <w:t>, héros ayant tué le minotaure</w:t>
            </w:r>
          </w:p>
        </w:tc>
        <w:tc>
          <w:tcPr>
            <w:tcW w:w="7938" w:type="dxa"/>
          </w:tcPr>
          <w:p w:rsidR="00BC1686" w:rsidRPr="00CB6DBF" w:rsidRDefault="00CB6DBF" w:rsidP="00595E66">
            <w:pPr>
              <w:pStyle w:val="Titre1"/>
              <w:spacing w:before="0"/>
            </w:pPr>
            <w:r w:rsidRPr="00CB6DBF">
              <w:t>Poésie</w:t>
            </w:r>
            <w:r w:rsidR="00595E66">
              <w:t xml:space="preserve"> – Baudelaire, </w:t>
            </w:r>
            <w:r w:rsidR="00595E66" w:rsidRPr="00595E66">
              <w:rPr>
                <w:u w:val="single"/>
              </w:rPr>
              <w:t>Les Fleurs du mal</w:t>
            </w:r>
          </w:p>
          <w:p w:rsidR="00CB6DBF" w:rsidRDefault="00CB6DBF"/>
          <w:p w:rsidR="00CB6DBF" w:rsidRPr="00CB6DBF" w:rsidRDefault="00CB6DBF"/>
        </w:tc>
      </w:tr>
    </w:tbl>
    <w:p w:rsidR="00B24430" w:rsidRPr="00595E66" w:rsidRDefault="00B24430"/>
    <w:sectPr w:rsidR="00B24430" w:rsidRPr="00595E66" w:rsidSect="001B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3286"/>
    <w:multiLevelType w:val="hybridMultilevel"/>
    <w:tmpl w:val="6A142108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47EF5AA5"/>
    <w:multiLevelType w:val="hybridMultilevel"/>
    <w:tmpl w:val="505E9A0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A1A7062"/>
    <w:multiLevelType w:val="hybridMultilevel"/>
    <w:tmpl w:val="518CF4E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86"/>
    <w:rsid w:val="001B540E"/>
    <w:rsid w:val="00361F5A"/>
    <w:rsid w:val="00595E66"/>
    <w:rsid w:val="00B24430"/>
    <w:rsid w:val="00BC1686"/>
    <w:rsid w:val="00C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ABE3"/>
  <w15:chartTrackingRefBased/>
  <w15:docId w15:val="{6A99BED6-9001-407F-B5BF-1D7055B8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54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7FFE-BF68-42AD-AEAD-FB1847E9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Exybore LeCodeur</cp:lastModifiedBy>
  <cp:revision>2</cp:revision>
  <dcterms:created xsi:type="dcterms:W3CDTF">2020-03-27T09:08:00Z</dcterms:created>
  <dcterms:modified xsi:type="dcterms:W3CDTF">2020-03-28T16:07:00Z</dcterms:modified>
</cp:coreProperties>
</file>