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F47" w:rsidRDefault="000907B9">
      <w:pPr>
        <w:shd w:val="clear" w:color="auto" w:fill="FFFFFF"/>
        <w:jc w:val="center"/>
        <w:rPr>
          <w:b/>
          <w:sz w:val="40"/>
          <w:szCs w:val="40"/>
        </w:rPr>
      </w:pPr>
      <w:r>
        <w:rPr>
          <w:b/>
          <w:sz w:val="40"/>
          <w:szCs w:val="40"/>
        </w:rPr>
        <w:t>Prepoznavanje znakovnog jezika korišćenjem dubokih neuronskih mreža i kompjuterske vizije</w:t>
      </w:r>
    </w:p>
    <w:p w:rsidR="005B4F47" w:rsidRDefault="000907B9">
      <w:pPr>
        <w:shd w:val="clear" w:color="auto" w:fill="FFFFFF"/>
        <w:rPr>
          <w:i/>
        </w:rPr>
      </w:pPr>
      <w:r>
        <w:rPr>
          <w:i/>
        </w:rPr>
        <w:t>Milica Vučić (52/2018), E-mail: 52-2018@pmf.kg.ac.rs</w:t>
      </w:r>
    </w:p>
    <w:p w:rsidR="005B4F47" w:rsidRDefault="000907B9">
      <w:pPr>
        <w:shd w:val="clear" w:color="auto" w:fill="FFFFFF"/>
        <w:rPr>
          <w:i/>
        </w:rPr>
      </w:pPr>
      <w:r>
        <w:rPr>
          <w:i/>
        </w:rPr>
        <w:t>Nevena Bojović (47/2018), E-mail: 47-2018@pmf.kg.ac.rs</w:t>
      </w:r>
    </w:p>
    <w:p w:rsidR="005B4F47" w:rsidRDefault="000907B9">
      <w:pPr>
        <w:shd w:val="clear" w:color="auto" w:fill="FFFFFF"/>
        <w:rPr>
          <w:i/>
        </w:rPr>
      </w:pPr>
      <w:r>
        <w:rPr>
          <w:i/>
        </w:rPr>
        <w:t>Stefan Petrović (86/2017), E-mail: 86-2017@pmf.kg.ac.rs</w:t>
      </w:r>
    </w:p>
    <w:p w:rsidR="005B4F47" w:rsidRDefault="000907B9">
      <w:pPr>
        <w:shd w:val="clear" w:color="auto" w:fill="FFFFFF"/>
        <w:jc w:val="both"/>
      </w:pPr>
      <w:r>
        <w:rPr>
          <w:b/>
        </w:rPr>
        <w:t>Apstrakt</w:t>
      </w:r>
      <w:r>
        <w:t>: Oštećenje govora je invaliditet koji utiče na sposobnost pojedinca da komunicira. Ljudi koji imaju ovakav problem koriste druge načine komunikacije kao što je znakovni jezik. To što je znakovni jezik sve prisutniji predstavlja izazov za one koji</w:t>
      </w:r>
      <w:r>
        <w:t xml:space="preserve"> ne govore znakovnim jezikom da komuniciraju sa govornicima ili poznavaocima istog. Problem u prepoznavanju gestova može se rešiti tehnikama zasnovanim na dubokom učenju i kompjuterskoj viziji. Fokus ovog rada je kreiranje aplikacije, zasnovane na korišćen</w:t>
      </w:r>
      <w:r>
        <w:t>ju modela konvolucione neuronske mreže, koja prepoznaje gest znakovnog jezika i na taj način pomaže u komunikaciji.</w:t>
      </w:r>
    </w:p>
    <w:p w:rsidR="005B4F47" w:rsidRDefault="000907B9">
      <w:pPr>
        <w:numPr>
          <w:ilvl w:val="0"/>
          <w:numId w:val="1"/>
        </w:numPr>
        <w:pBdr>
          <w:top w:val="nil"/>
          <w:left w:val="nil"/>
          <w:bottom w:val="nil"/>
          <w:right w:val="nil"/>
          <w:between w:val="nil"/>
        </w:pBdr>
        <w:shd w:val="clear" w:color="auto" w:fill="FFFFFF"/>
        <w:jc w:val="both"/>
        <w:rPr>
          <w:b/>
          <w:color w:val="000000"/>
          <w:sz w:val="30"/>
          <w:szCs w:val="30"/>
        </w:rPr>
      </w:pPr>
      <w:r>
        <w:rPr>
          <w:b/>
          <w:color w:val="000000"/>
          <w:sz w:val="30"/>
          <w:szCs w:val="30"/>
        </w:rPr>
        <w:t>Uvod</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ab/>
        <w:t xml:space="preserve">Znakovni jezik predstavlja oblik komunikacije koji koriste osobe sa oštećenim sluhom i govorom. Oni koriste gestove znakovnog jezika </w:t>
      </w:r>
      <w:r>
        <w:t>kao sredstvo neverbalne komunikacije. Gestovima znakovnog jezika izražavaju se emocije i misli. Ljudi koji nemaju navedeni oblik invaliditeta teško razumeju znakovni jezik, te su im potrebni tumači kao medijatori u komunikaciji. Postoje usluge prevođenja o</w:t>
      </w:r>
      <w:r>
        <w:t>nline, ali je za to neophodan pristup internetu i nekom od uređaja za komunikaciju. Jednostavniji način prevođenja gestova znakovnog jezika, bez navedenih ograničenja, mogli bismo obezbediti korišćenjem tehnika veštačke inteligencije i kompjuterske vizije.</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Za implementaciju prethodno navedenog načina prevođenja, konstruisali smo mnoštvo modela konvolucionih neuronskih mreža od kojih je šest trenirano na originalnom skupu podataka sa grayscale slikama [3], sedam trenirano na RGB slikama koje su dobijene tran</w:t>
      </w:r>
      <w:r>
        <w:t>sformacijom originalnih grayscale slika, pet nad RGB slikama koje su augmentovane (najbolji od ovih modela je Fine Tune-ovan da bismo utvrdili da li možemo doći do još boljih rezultata), tri modela na koje je primenjen Transfer Learning (korišćenjem VGG16,</w:t>
      </w:r>
      <w:r>
        <w:t xml:space="preserve"> InceptionV3 i MobileNet) i tri modela sa Transfer Learningom koji su Fine Tune-ovani (takođe VGG16, InceptionV3 i MobileNet).</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Kao najbolji model izdvojio se model koji je treniran nad RGB slikama koje su augmentovane. U nastavku izveštaja će biti više reč</w:t>
      </w:r>
      <w:r>
        <w:t>i o njemu.</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CNN modele koje smo konstruisali za rešavanje navedenog problema, napravili smo koristeći Tensoflow i Open-CV biblioteke. </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bookmarkStart w:id="0" w:name="_heading=h.gjdgxs" w:colFirst="0" w:colLast="0"/>
      <w:bookmarkEnd w:id="0"/>
      <w:r>
        <w:t>Ostatak izveštaja istraživanja organizovan je na sledeći način: u Odeljku 2 dat je pregled literature, u Odeljku 3 opisan</w:t>
      </w:r>
      <w:r>
        <w:t>i su skupovi podataka (trening i test) i njihove karakteristike, Odeljak 4 daje uvid u arhitekturu mreže koja je dala najbolje rezultate, dok u Odeljku 5 predstavljamo rezultate treniranja i testiranja modela. U Odeljku 6 prikazana je struktura aplikacije.</w:t>
      </w:r>
      <w:r>
        <w:t xml:space="preserve"> U Odeljku 7 smo izložili probleme sa kojima smo se susreli prilikom predikcije i dali predloge za poboljšanja modela i aplikacije.</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p>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bookmarkStart w:id="1" w:name="_heading=h.30j0zll" w:colFirst="0" w:colLast="0"/>
      <w:bookmarkEnd w:id="1"/>
      <w:r>
        <w:rPr>
          <w:b/>
          <w:color w:val="000000"/>
          <w:sz w:val="30"/>
          <w:szCs w:val="30"/>
        </w:rPr>
        <w:t>Pregled literature</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bookmarkStart w:id="2" w:name="_heading=h.1fob9te" w:colFirst="0" w:colLast="0"/>
      <w:bookmarkEnd w:id="2"/>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[8] Ovaj rad se fokusira na prepoznavanju gestova znakovnog jezika engleske abecede koja sadrži 26 gestova ruku (A-Z) i 10 cifara (0-9). Rešenje se bazira na korišćenju duboke neuronske mreže. Modeli neuronske mreže su konstruisani nad postojećim arhitektu</w:t>
      </w:r>
      <w:r>
        <w:t xml:space="preserve">rama (LeNet-5 i MobileNetV2), ali i nad </w:t>
      </w:r>
      <w:r>
        <w:lastRenderedPageBreak/>
        <w:t xml:space="preserve">arhitekturom koju su osmislili autori rada. Napravljena je web aplikacija koristeći Django Rest Framework da bi se rezultati testirali u real time-u i dobile predikcije. </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[9] Sistem za prepoznavanje je napravljen kor</w:t>
      </w:r>
      <w:r>
        <w:t>išćenjem algoritama mašinskog učenja u MATLAB-u. Autori su radili sa gestovima koji zahtevaju jednu ili obe ruke. Korišćena su dva algoritma, K najbližih suseda i Back Propagation algoritam. Postignuta je tačnost od 93-96%. Iako je veoma precizan, ovaj sis</w:t>
      </w:r>
      <w:r>
        <w:t>tem nije implementiran da radi u real time-u.</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[10] U ovom radu, region u kom se nalazi ruka se segmentuje koristeći model baziran na ljudskoj boji kože u YCbCr modelu boja. Zatim se primenjuje threshold u cilju razdvajanja prikazanog gesta od pozadine I na</w:t>
      </w:r>
      <w:r>
        <w:t xml:space="preserve"> kraju template matching tehnika je razvijenja korišćenjem PCA za prepoznavanje gesta.</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[11] Autori predlažu sistem koji je implementiran da prepozna pokrete ruke u real time-u. On može da prepozna 35 pokreta rukama, kojima su predstavljena slova američkog </w:t>
      </w:r>
      <w:r>
        <w:t xml:space="preserve">i indijskog znakovnog jezika. Slike su iz RGB formata konvertovane u grayscale format da bi se smanjio broj lažno pozitivnih. Autori koriste SIFT (Scale Invariant Feature Transform) metodu. Rešenje je implementirano u MATLAB-u. Za aplikaciju postoji i GUI </w:t>
      </w:r>
      <w:r>
        <w:t>model.</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[12] Osnovna funkcionalnost aplikacije koja se u ovom radu navodi jeste konverzija gestova u tekst. Koraci procesiranja su: preprocesiranje podataka, izdvajanje gesta sa slike, utvrđivanje kom simbolu znakovnog jezika pripada gest i dobijanje glasov</w:t>
      </w:r>
      <w:r>
        <w:t xml:space="preserve">ne reprezentacije od teksta dobijenog u prethodnom koraku. Za izdvajanje gesta su korišćene dve metode: Skin color segmentation i Region Growing, dok su za prepoznavanje gesta korišćene tehnike SIFT i Correlation matching. </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p>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bookmarkStart w:id="3" w:name="_heading=h.3znysh7" w:colFirst="0" w:colLast="0"/>
      <w:bookmarkEnd w:id="3"/>
      <w:r>
        <w:rPr>
          <w:b/>
          <w:color w:val="000000"/>
          <w:sz w:val="30"/>
          <w:szCs w:val="30"/>
        </w:rPr>
        <w:t xml:space="preserve">Skup podataka </w:t>
      </w:r>
    </w:p>
    <w:p w:rsidR="005B4F47" w:rsidRDefault="005B4F47">
      <w:pPr>
        <w:pBdr>
          <w:top w:val="nil"/>
          <w:left w:val="nil"/>
          <w:bottom w:val="nil"/>
          <w:right w:val="nil"/>
          <w:between w:val="nil"/>
        </w:pBdr>
        <w:spacing w:line="240" w:lineRule="auto"/>
        <w:jc w:val="both"/>
        <w:rPr>
          <w:color w:val="000000"/>
        </w:rPr>
      </w:pPr>
    </w:p>
    <w:p w:rsidR="005B4F47" w:rsidRDefault="000907B9">
      <w:pPr>
        <w:pBdr>
          <w:top w:val="nil"/>
          <w:left w:val="nil"/>
          <w:bottom w:val="nil"/>
          <w:right w:val="nil"/>
          <w:between w:val="nil"/>
        </w:pBdr>
        <w:spacing w:line="240" w:lineRule="auto"/>
        <w:ind w:firstLine="708"/>
        <w:jc w:val="both"/>
        <w:rPr>
          <w:color w:val="000000"/>
        </w:rPr>
      </w:pPr>
      <w:bookmarkStart w:id="4" w:name="_heading=h.2et92p0" w:colFirst="0" w:colLast="0"/>
      <w:bookmarkEnd w:id="4"/>
      <w:r>
        <w:rPr>
          <w:color w:val="000000"/>
        </w:rPr>
        <w:t xml:space="preserve">Skup podataka [3] sadrži 2 </w:t>
      </w:r>
      <w:r>
        <w:rPr>
          <w:rFonts w:ascii="Courier New" w:eastAsia="Courier New" w:hAnsi="Courier New" w:cs="Courier New"/>
          <w:color w:val="000000"/>
        </w:rPr>
        <w:t>csv</w:t>
      </w:r>
      <w:r>
        <w:rPr>
          <w:color w:val="000000"/>
        </w:rPr>
        <w:t xml:space="preserve"> fajla, </w:t>
      </w:r>
      <w:r>
        <w:rPr>
          <w:rFonts w:ascii="Courier New" w:eastAsia="Courier New" w:hAnsi="Courier New" w:cs="Courier New"/>
          <w:color w:val="000000"/>
        </w:rPr>
        <w:t>sign_mnist_training.csv</w:t>
      </w:r>
      <w:r>
        <w:rPr>
          <w:color w:val="000000"/>
        </w:rPr>
        <w:t xml:space="preserve">  i </w:t>
      </w:r>
      <w:r>
        <w:rPr>
          <w:rFonts w:ascii="Courier New" w:eastAsia="Courier New" w:hAnsi="Courier New" w:cs="Courier New"/>
          <w:color w:val="000000"/>
        </w:rPr>
        <w:t>sign_mnist_test.csv</w:t>
      </w:r>
      <w:r>
        <w:rPr>
          <w:color w:val="000000"/>
        </w:rPr>
        <w:t xml:space="preserve">. U </w:t>
      </w:r>
      <w:r>
        <w:rPr>
          <w:rFonts w:ascii="Courier New" w:eastAsia="Courier New" w:hAnsi="Courier New" w:cs="Courier New"/>
          <w:color w:val="000000"/>
        </w:rPr>
        <w:t>csv</w:t>
      </w:r>
      <w:r>
        <w:rPr>
          <w:color w:val="000000"/>
        </w:rPr>
        <w:t xml:space="preserve"> fajlovima su slike predstavljene preko vrednosti piksela. Pošto su originalne slike dimenzija 28 X 28, postoji ukupno 784 featura za slike i jedan feature koji predstavlja labelu. Postoje 24 labele (ne računaju se labele za znakove “J” I “Z” jer se ovi zn</w:t>
      </w:r>
      <w:r>
        <w:rPr>
          <w:color w:val="000000"/>
        </w:rPr>
        <w:t xml:space="preserve">akovi predstavljaju pokretom, a ne samo položajem ruku). Inače, labele su numerisane na sledeći način: 0 - A, 1 - B, 2 – C …. Y – 23.  Vizuelni prikaz skupa podataka dat je na </w:t>
      </w:r>
      <w:r>
        <w:rPr>
          <w:i/>
          <w:color w:val="000000"/>
        </w:rPr>
        <w:t>Slici 1</w:t>
      </w:r>
      <w:r>
        <w:rPr>
          <w:color w:val="000000"/>
        </w:rPr>
        <w:t>.</w:t>
      </w:r>
    </w:p>
    <w:p w:rsidR="005B4F47" w:rsidRDefault="000907B9">
      <w:pPr>
        <w:keepNext/>
        <w:pBdr>
          <w:top w:val="nil"/>
          <w:left w:val="nil"/>
          <w:bottom w:val="nil"/>
          <w:right w:val="nil"/>
          <w:between w:val="nil"/>
        </w:pBdr>
        <w:spacing w:line="240" w:lineRule="auto"/>
        <w:jc w:val="both"/>
        <w:rPr>
          <w:color w:val="000000"/>
          <w:sz w:val="24"/>
          <w:szCs w:val="24"/>
        </w:rPr>
      </w:pPr>
      <w:r>
        <w:rPr>
          <w:noProof/>
          <w:color w:val="000000"/>
          <w:lang w:val="en-US"/>
        </w:rPr>
        <w:lastRenderedPageBreak/>
        <w:drawing>
          <wp:inline distT="0" distB="0" distL="0" distR="0">
            <wp:extent cx="3547585" cy="3317345"/>
            <wp:effectExtent l="0" t="0" r="0" b="0"/>
            <wp:docPr id="19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547585" cy="3317345"/>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000000"/>
        </w:rPr>
      </w:pPr>
      <w:r>
        <w:rPr>
          <w:i/>
          <w:color w:val="44546A"/>
          <w:sz w:val="18"/>
          <w:szCs w:val="18"/>
        </w:rPr>
        <w:t>Slika 1. Grayscale slike – prikaz gestova</w:t>
      </w:r>
    </w:p>
    <w:p w:rsidR="005B4F47" w:rsidRDefault="005B4F47">
      <w:pPr>
        <w:pBdr>
          <w:top w:val="nil"/>
          <w:left w:val="nil"/>
          <w:bottom w:val="nil"/>
          <w:right w:val="nil"/>
          <w:between w:val="nil"/>
        </w:pBdr>
        <w:spacing w:line="240" w:lineRule="auto"/>
        <w:jc w:val="both"/>
        <w:rPr>
          <w:color w:val="000000"/>
        </w:rPr>
      </w:pPr>
    </w:p>
    <w:p w:rsidR="005B4F47" w:rsidRDefault="000907B9">
      <w:pPr>
        <w:pBdr>
          <w:top w:val="nil"/>
          <w:left w:val="nil"/>
          <w:bottom w:val="nil"/>
          <w:right w:val="nil"/>
          <w:between w:val="nil"/>
        </w:pBdr>
        <w:spacing w:line="240" w:lineRule="auto"/>
        <w:jc w:val="both"/>
        <w:rPr>
          <w:color w:val="000000"/>
        </w:rPr>
      </w:pPr>
      <w:r>
        <w:rPr>
          <w:color w:val="000000"/>
        </w:rPr>
        <w:t xml:space="preserve">U fajlu </w:t>
      </w:r>
      <w:r>
        <w:rPr>
          <w:rFonts w:ascii="Courier New" w:eastAsia="Courier New" w:hAnsi="Courier New" w:cs="Courier New"/>
          <w:color w:val="000000"/>
        </w:rPr>
        <w:t>sign_mnist_training.csv</w:t>
      </w:r>
      <w:r>
        <w:rPr>
          <w:color w:val="000000"/>
        </w:rPr>
        <w:t xml:space="preserve"> se nalazi trening skup, koji sadrži 27455 slika, dok  test skup (</w:t>
      </w:r>
      <w:r>
        <w:rPr>
          <w:rFonts w:ascii="Courier New" w:eastAsia="Courier New" w:hAnsi="Courier New" w:cs="Courier New"/>
          <w:color w:val="000000"/>
        </w:rPr>
        <w:t>sign_mnist_test.csv</w:t>
      </w:r>
      <w:r>
        <w:rPr>
          <w:color w:val="000000"/>
        </w:rPr>
        <w:t xml:space="preserve">) sadrži 7172 slika. </w:t>
      </w:r>
      <w:r>
        <w:rPr>
          <w:color w:val="000000"/>
          <w:sz w:val="24"/>
          <w:szCs w:val="24"/>
        </w:rPr>
        <w:t xml:space="preserve">Zastupljenost svakog slova u trening i test skupu data je na  </w:t>
      </w:r>
      <w:r>
        <w:rPr>
          <w:i/>
          <w:color w:val="000000"/>
          <w:sz w:val="24"/>
          <w:szCs w:val="24"/>
        </w:rPr>
        <w:t>Slici 2 i Slici 3</w:t>
      </w:r>
      <w:r>
        <w:rPr>
          <w:color w:val="000000"/>
        </w:rPr>
        <w:t xml:space="preserve"> :</w:t>
      </w:r>
    </w:p>
    <w:p w:rsidR="005B4F47" w:rsidRDefault="000907B9">
      <w:pPr>
        <w:keepNext/>
        <w:pBdr>
          <w:top w:val="nil"/>
          <w:left w:val="nil"/>
          <w:bottom w:val="nil"/>
          <w:right w:val="nil"/>
          <w:between w:val="nil"/>
        </w:pBdr>
        <w:spacing w:line="240" w:lineRule="auto"/>
        <w:jc w:val="both"/>
        <w:rPr>
          <w:color w:val="000000"/>
          <w:sz w:val="24"/>
          <w:szCs w:val="24"/>
        </w:rPr>
      </w:pPr>
      <w:r>
        <w:rPr>
          <w:noProof/>
          <w:color w:val="000000"/>
          <w:lang w:val="en-US"/>
        </w:rPr>
        <w:drawing>
          <wp:inline distT="0" distB="0" distL="0" distR="0">
            <wp:extent cx="4739640" cy="2910840"/>
            <wp:effectExtent l="0" t="0" r="0" b="0"/>
            <wp:docPr id="1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739640" cy="2910840"/>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000000"/>
        </w:rPr>
      </w:pPr>
      <w:r>
        <w:rPr>
          <w:i/>
          <w:color w:val="44546A"/>
          <w:sz w:val="18"/>
          <w:szCs w:val="18"/>
        </w:rPr>
        <w:t>Slika 2. Distribucija na trening skupu</w:t>
      </w:r>
    </w:p>
    <w:p w:rsidR="005B4F47" w:rsidRDefault="005B4F47">
      <w:pPr>
        <w:keepNext/>
        <w:pBdr>
          <w:top w:val="nil"/>
          <w:left w:val="nil"/>
          <w:bottom w:val="nil"/>
          <w:right w:val="nil"/>
          <w:between w:val="nil"/>
        </w:pBdr>
        <w:spacing w:line="240" w:lineRule="auto"/>
        <w:jc w:val="both"/>
        <w:rPr>
          <w:color w:val="000000"/>
          <w:sz w:val="24"/>
          <w:szCs w:val="24"/>
        </w:rPr>
      </w:pPr>
    </w:p>
    <w:p w:rsidR="005B4F47" w:rsidRDefault="000907B9">
      <w:pPr>
        <w:keepNext/>
        <w:pBdr>
          <w:top w:val="nil"/>
          <w:left w:val="nil"/>
          <w:bottom w:val="nil"/>
          <w:right w:val="nil"/>
          <w:between w:val="nil"/>
        </w:pBdr>
        <w:spacing w:line="240" w:lineRule="auto"/>
        <w:jc w:val="both"/>
        <w:rPr>
          <w:color w:val="000000"/>
          <w:sz w:val="24"/>
          <w:szCs w:val="24"/>
        </w:rPr>
      </w:pPr>
      <w:r>
        <w:rPr>
          <w:noProof/>
          <w:color w:val="000000"/>
          <w:sz w:val="24"/>
          <w:szCs w:val="24"/>
          <w:lang w:val="en-US"/>
        </w:rPr>
        <w:drawing>
          <wp:inline distT="0" distB="0" distL="0" distR="0">
            <wp:extent cx="4739640" cy="2910840"/>
            <wp:effectExtent l="0" t="0" r="0" b="0"/>
            <wp:docPr id="1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739640" cy="2910840"/>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44546A"/>
          <w:sz w:val="18"/>
          <w:szCs w:val="18"/>
        </w:rPr>
      </w:pPr>
      <w:r>
        <w:rPr>
          <w:i/>
          <w:color w:val="44546A"/>
          <w:sz w:val="18"/>
          <w:szCs w:val="18"/>
        </w:rPr>
        <w:t>Slika 3. Distribucija na test skupu</w:t>
      </w:r>
    </w:p>
    <w:p w:rsidR="005B4F47" w:rsidRDefault="000907B9">
      <w:pPr>
        <w:pBdr>
          <w:top w:val="nil"/>
          <w:left w:val="nil"/>
          <w:bottom w:val="nil"/>
          <w:right w:val="nil"/>
          <w:between w:val="nil"/>
        </w:pBdr>
        <w:spacing w:line="240" w:lineRule="auto"/>
        <w:jc w:val="both"/>
        <w:rPr>
          <w:color w:val="000000"/>
          <w:sz w:val="24"/>
          <w:szCs w:val="24"/>
        </w:rPr>
      </w:pPr>
      <w:r>
        <w:rPr>
          <w:color w:val="000000"/>
        </w:rPr>
        <w:t xml:space="preserve">Primećujemo da je različita distribucija podataka na ovim skupovima. Potencijalni problem koji može da nastane je velika razlika u broju instanci određenih klasa. Na primer, loša predikcija na nekom broju instanci klase </w:t>
      </w:r>
      <w:r>
        <w:rPr>
          <w:color w:val="000000"/>
        </w:rPr>
        <w:t>R će više uticati na rezultate modela nego na istom broju instanci klase E.</w:t>
      </w:r>
    </w:p>
    <w:p w:rsidR="005B4F47" w:rsidRDefault="000907B9">
      <w:pPr>
        <w:pBdr>
          <w:top w:val="nil"/>
          <w:left w:val="nil"/>
          <w:bottom w:val="nil"/>
          <w:right w:val="nil"/>
          <w:between w:val="nil"/>
        </w:pBdr>
        <w:spacing w:line="240" w:lineRule="auto"/>
        <w:jc w:val="both"/>
        <w:rPr>
          <w:color w:val="000000"/>
        </w:rPr>
      </w:pPr>
      <w:r>
        <w:rPr>
          <w:color w:val="000000"/>
        </w:rPr>
        <w:t xml:space="preserve">Koristimo </w:t>
      </w:r>
      <w:r>
        <w:rPr>
          <w:rFonts w:ascii="Courier New" w:eastAsia="Courier New" w:hAnsi="Courier New" w:cs="Courier New"/>
          <w:color w:val="000000"/>
        </w:rPr>
        <w:t>LabelBinarizer()</w:t>
      </w:r>
      <w:r>
        <w:rPr>
          <w:color w:val="000000"/>
        </w:rPr>
        <w:t xml:space="preserve"> za enkodiranje labele (kao izlaz dobijamo vektor). Radimo sa originalnim grayscale slikama, ali ćemo ih takođe transformisati u RGB slike, tako što dodajemo još 2 kanala, sa istim vrednostima piksela koje se nalaze u prvom kanalu, da bismo mogli da prover</w:t>
      </w:r>
      <w:r>
        <w:rPr>
          <w:color w:val="000000"/>
        </w:rPr>
        <w:t>imo da li će rezultati treniranja biti bolji na RGB slikama.</w:t>
      </w:r>
    </w:p>
    <w:p w:rsidR="005B4F47" w:rsidRDefault="000907B9">
      <w:pPr>
        <w:pBdr>
          <w:top w:val="nil"/>
          <w:left w:val="nil"/>
          <w:bottom w:val="nil"/>
          <w:right w:val="nil"/>
          <w:between w:val="nil"/>
        </w:pBdr>
        <w:spacing w:line="240" w:lineRule="auto"/>
        <w:jc w:val="both"/>
        <w:rPr>
          <w:color w:val="000000"/>
        </w:rPr>
      </w:pPr>
      <w:r>
        <w:rPr>
          <w:color w:val="000000"/>
        </w:rPr>
        <w:t>Primećujemo da slike u RGB formatu izgledaju skoro isto kao slike u grayscale formatu (Slika 1 i Slika 4). Razlog je to što se prilikom dodavanja neophodnih kanala „prepisuje“ ista vrednost pikse</w:t>
      </w:r>
      <w:r>
        <w:rPr>
          <w:color w:val="000000"/>
        </w:rPr>
        <w:t>la koji se nalaze na prvom kanalu.</w:t>
      </w:r>
    </w:p>
    <w:p w:rsidR="005B4F47" w:rsidRDefault="000907B9">
      <w:pPr>
        <w:keepNext/>
        <w:pBdr>
          <w:top w:val="nil"/>
          <w:left w:val="nil"/>
          <w:bottom w:val="nil"/>
          <w:right w:val="nil"/>
          <w:between w:val="nil"/>
        </w:pBdr>
        <w:spacing w:line="240" w:lineRule="auto"/>
        <w:jc w:val="both"/>
        <w:rPr>
          <w:color w:val="000000"/>
          <w:sz w:val="24"/>
          <w:szCs w:val="24"/>
        </w:rPr>
      </w:pPr>
      <w:r>
        <w:rPr>
          <w:noProof/>
          <w:color w:val="000000"/>
          <w:lang w:val="en-US"/>
        </w:rPr>
        <w:lastRenderedPageBreak/>
        <w:drawing>
          <wp:inline distT="0" distB="0" distL="0" distR="0">
            <wp:extent cx="3862371" cy="3611701"/>
            <wp:effectExtent l="0" t="0" r="0" b="0"/>
            <wp:docPr id="2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862371" cy="3611701"/>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44546A"/>
          <w:sz w:val="18"/>
          <w:szCs w:val="18"/>
        </w:rPr>
      </w:pPr>
      <w:r>
        <w:rPr>
          <w:i/>
          <w:color w:val="44546A"/>
          <w:sz w:val="18"/>
          <w:szCs w:val="18"/>
        </w:rPr>
        <w:t>Slika 4. RGB slike – prikaz gestova</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p>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r>
        <w:rPr>
          <w:b/>
          <w:color w:val="000000"/>
          <w:sz w:val="30"/>
          <w:szCs w:val="30"/>
        </w:rPr>
        <w:t>Arhitektura istreniranog CNN modela</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rPr>
      </w:pP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CNN model se sastoji od 14 slojeva:</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Ulazni sloj</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Konvolucioni sloj (75 filtera dimenzije 3 X 3)</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 xml:space="preserve">Batch Normalization </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Max Pooling (dimenzije filtera 2 X 2, stride = 2)</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Konvolucioni sloj (50 filtera dimenzije 3 X 3)</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 xml:space="preserve">Batch Normalization </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Max Pooling (dimenzije filtera 2 X 2, stride = 2)</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Konvolucioni sloj (25 filtera dimenzije 3 X 3)</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 xml:space="preserve">Batch Normalization </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Max Pooling (dimenzi</w:t>
      </w:r>
      <w:r>
        <w:rPr>
          <w:color w:val="000000"/>
        </w:rPr>
        <w:t>je filtera 2 X 2, stride = 2)</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 xml:space="preserve">Flatten </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Potpuno povezani sloj</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 xml:space="preserve">Dropout (0.3) </w:t>
      </w:r>
    </w:p>
    <w:p w:rsidR="005B4F47" w:rsidRDefault="000907B9">
      <w:pPr>
        <w:numPr>
          <w:ilvl w:val="0"/>
          <w:numId w:val="2"/>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 xml:space="preserve">Izlazni sloj </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noProof/>
          <w:lang w:val="en-US"/>
        </w:rPr>
        <w:lastRenderedPageBreak/>
        <w:drawing>
          <wp:inline distT="0" distB="0" distL="0" distR="0">
            <wp:extent cx="5751195" cy="3975100"/>
            <wp:effectExtent l="0" t="0" r="0" b="0"/>
            <wp:docPr id="2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51195" cy="3975100"/>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44546A"/>
          <w:sz w:val="18"/>
          <w:szCs w:val="18"/>
        </w:rPr>
      </w:pPr>
      <w:r>
        <w:rPr>
          <w:i/>
          <w:color w:val="44546A"/>
          <w:sz w:val="18"/>
          <w:szCs w:val="18"/>
        </w:rPr>
        <w:t>Slika 5. Arhitektura CNN modela</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t>U modelu koji smo trenirali su korišćeni konvolucioni kerneli dimenzija 3 X 3. Svaki Max Pooling sloj je dimenzija 2 X 2 što utiče na znatno smanjenje dimenzionalosti tenzora. Konvolucije i potpuno povezani sloj koji se nalazi posle Flatten sloja imaju ReL</w:t>
      </w:r>
      <w:r>
        <w:t>u (Rectified Linear Unit), dok poslednji potpuno povezani sloj (klasifikacioni sloj) ima Softmax aktivaciju. Posle svake konvolucije rađena je Batch Normalization kako bi se poboljšalo treniranje podataka. Dropout sloj sa datom verovatnoćom od 30% je iskor</w:t>
      </w:r>
      <w:r>
        <w:t>išćen u ovom modelu kako bi se izbegao overfitting modela jer se „isključuje“ 30% neurona iz ovih potpuno povezanih slojeva. Izlaz iz mreže se dobija primenom SoftMax aktivacije.</w:t>
      </w:r>
    </w:p>
    <w:p w:rsidR="005B4F47" w:rsidRDefault="000907B9">
      <w:pPr>
        <w:pBdr>
          <w:top w:val="nil"/>
          <w:left w:val="nil"/>
          <w:bottom w:val="nil"/>
          <w:right w:val="nil"/>
          <w:between w:val="nil"/>
        </w:pBdr>
        <w:spacing w:before="120" w:line="240" w:lineRule="auto"/>
        <w:rPr>
          <w:color w:val="000000"/>
        </w:rPr>
      </w:pPr>
      <w:r>
        <w:rPr>
          <w:color w:val="000000"/>
        </w:rPr>
        <w:t>Konačan model je model sa najmanjim vrednošću funkcije gubitka na validacioni</w:t>
      </w:r>
      <w:r>
        <w:rPr>
          <w:color w:val="000000"/>
        </w:rPr>
        <w:t>m skupu podataka.</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12121"/>
          <w:highlight w:val="white"/>
        </w:rPr>
      </w:pPr>
      <w:r>
        <w:rPr>
          <w:color w:val="212121"/>
          <w:highlight w:val="white"/>
        </w:rPr>
        <w:t>Ispod se nalaze parametri augmentacije koji su dali najbolje rezultate:</w:t>
      </w:r>
    </w:p>
    <w:p w:rsidR="005B4F47" w:rsidRDefault="000907B9">
      <w:pP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rescale = </w:t>
      </w:r>
      <w:r>
        <w:rPr>
          <w:rFonts w:ascii="Courier New" w:eastAsia="Courier New" w:hAnsi="Courier New" w:cs="Courier New"/>
          <w:color w:val="098156"/>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098156"/>
          <w:sz w:val="21"/>
          <w:szCs w:val="21"/>
        </w:rPr>
        <w:t>255</w:t>
      </w:r>
      <w:r>
        <w:rPr>
          <w:rFonts w:ascii="Courier New" w:eastAsia="Courier New" w:hAnsi="Courier New" w:cs="Courier New"/>
          <w:color w:val="000000"/>
          <w:sz w:val="21"/>
          <w:szCs w:val="21"/>
        </w:rPr>
        <w:t>,</w:t>
      </w:r>
    </w:p>
    <w:p w:rsidR="005B4F47" w:rsidRDefault="000907B9">
      <w:pP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rotation_range=</w:t>
      </w:r>
      <w:r>
        <w:rPr>
          <w:rFonts w:ascii="Courier New" w:eastAsia="Courier New" w:hAnsi="Courier New" w:cs="Courier New"/>
          <w:color w:val="098156"/>
          <w:sz w:val="21"/>
          <w:szCs w:val="21"/>
        </w:rPr>
        <w:t>10</w:t>
      </w:r>
      <w:r>
        <w:rPr>
          <w:rFonts w:ascii="Courier New" w:eastAsia="Courier New" w:hAnsi="Courier New" w:cs="Courier New"/>
          <w:color w:val="000000"/>
          <w:sz w:val="21"/>
          <w:szCs w:val="21"/>
        </w:rPr>
        <w:t>,</w:t>
      </w:r>
    </w:p>
    <w:p w:rsidR="005B4F47" w:rsidRDefault="000907B9">
      <w:pP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zoom_range = </w:t>
      </w:r>
      <w:r>
        <w:rPr>
          <w:rFonts w:ascii="Courier New" w:eastAsia="Courier New" w:hAnsi="Courier New" w:cs="Courier New"/>
          <w:color w:val="098156"/>
          <w:sz w:val="21"/>
          <w:szCs w:val="21"/>
        </w:rPr>
        <w:t>0.05</w:t>
      </w:r>
      <w:r>
        <w:rPr>
          <w:rFonts w:ascii="Courier New" w:eastAsia="Courier New" w:hAnsi="Courier New" w:cs="Courier New"/>
          <w:color w:val="000000"/>
          <w:sz w:val="21"/>
          <w:szCs w:val="21"/>
        </w:rPr>
        <w:t>,</w:t>
      </w:r>
    </w:p>
    <w:p w:rsidR="005B4F47" w:rsidRDefault="000907B9">
      <w:pP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width_shift_range=</w:t>
      </w:r>
      <w:r>
        <w:rPr>
          <w:rFonts w:ascii="Courier New" w:eastAsia="Courier New" w:hAnsi="Courier New" w:cs="Courier New"/>
          <w:color w:val="098156"/>
          <w:sz w:val="21"/>
          <w:szCs w:val="21"/>
        </w:rPr>
        <w:t>0.1</w:t>
      </w:r>
      <w:r>
        <w:rPr>
          <w:rFonts w:ascii="Courier New" w:eastAsia="Courier New" w:hAnsi="Courier New" w:cs="Courier New"/>
          <w:color w:val="000000"/>
          <w:sz w:val="21"/>
          <w:szCs w:val="21"/>
        </w:rPr>
        <w:t>,</w:t>
      </w:r>
    </w:p>
    <w:p w:rsidR="005B4F47" w:rsidRDefault="000907B9">
      <w:pP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height_shift_range=</w:t>
      </w:r>
      <w:r>
        <w:rPr>
          <w:rFonts w:ascii="Courier New" w:eastAsia="Courier New" w:hAnsi="Courier New" w:cs="Courier New"/>
          <w:color w:val="098156"/>
          <w:sz w:val="21"/>
          <w:szCs w:val="21"/>
        </w:rPr>
        <w:t>0.1</w:t>
      </w:r>
      <w:r>
        <w:rPr>
          <w:rFonts w:ascii="Courier New" w:eastAsia="Courier New" w:hAnsi="Courier New" w:cs="Courier New"/>
          <w:color w:val="000000"/>
          <w:sz w:val="21"/>
          <w:szCs w:val="21"/>
        </w:rPr>
        <w:t>,</w:t>
      </w:r>
    </w:p>
    <w:p w:rsidR="005B4F47" w:rsidRDefault="000907B9">
      <w:pPr>
        <w:shd w:val="clear" w:color="auto" w:fill="FFFFFE"/>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validation_split=</w:t>
      </w:r>
      <w:r>
        <w:rPr>
          <w:rFonts w:ascii="Courier New" w:eastAsia="Courier New" w:hAnsi="Courier New" w:cs="Courier New"/>
          <w:color w:val="098156"/>
          <w:sz w:val="21"/>
          <w:szCs w:val="21"/>
        </w:rPr>
        <w:t>0.2</w:t>
      </w:r>
      <w:r>
        <w:rPr>
          <w:rFonts w:ascii="Courier New" w:eastAsia="Courier New" w:hAnsi="Courier New" w:cs="Courier New"/>
          <w:color w:val="000000"/>
          <w:sz w:val="21"/>
          <w:szCs w:val="21"/>
        </w:rPr>
        <w:t>,</w:t>
      </w:r>
    </w:p>
    <w:p w:rsidR="005B4F47" w:rsidRDefault="000907B9">
      <w:pPr>
        <w:shd w:val="clear" w:color="auto" w:fill="FFFFFE"/>
        <w:spacing w:after="0"/>
        <w:rPr>
          <w:rFonts w:ascii="Courier New" w:eastAsia="Courier New" w:hAnsi="Courier New" w:cs="Courier New"/>
          <w:color w:val="098156"/>
          <w:sz w:val="21"/>
          <w:szCs w:val="21"/>
        </w:rPr>
      </w:pPr>
      <w:r>
        <w:rPr>
          <w:rFonts w:ascii="Courier New" w:eastAsia="Courier New" w:hAnsi="Courier New" w:cs="Courier New"/>
          <w:color w:val="000000"/>
          <w:sz w:val="21"/>
          <w:szCs w:val="21"/>
        </w:rPr>
        <w:t>    channel_shift_range = </w:t>
      </w:r>
      <w:r>
        <w:rPr>
          <w:rFonts w:ascii="Courier New" w:eastAsia="Courier New" w:hAnsi="Courier New" w:cs="Courier New"/>
          <w:color w:val="098156"/>
          <w:sz w:val="21"/>
          <w:szCs w:val="21"/>
        </w:rPr>
        <w:t>0.2</w:t>
      </w:r>
    </w:p>
    <w:p w:rsidR="005B4F47" w:rsidRDefault="005B4F47">
      <w:pPr>
        <w:shd w:val="clear" w:color="auto" w:fill="FFFFFE"/>
        <w:spacing w:after="0"/>
        <w:rPr>
          <w:rFonts w:ascii="Courier New" w:eastAsia="Courier New" w:hAnsi="Courier New" w:cs="Courier New"/>
          <w:color w:val="098156"/>
          <w:sz w:val="21"/>
          <w:szCs w:val="21"/>
        </w:rPr>
      </w:pPr>
    </w:p>
    <w:p w:rsidR="005B4F47" w:rsidRDefault="000907B9">
      <w:pPr>
        <w:shd w:val="clear" w:color="auto" w:fill="FFFFFE"/>
        <w:spacing w:after="0"/>
      </w:pPr>
      <w:r>
        <w:t>Cilj augmentacije je bio da se dobije robusniji model.</w:t>
      </w:r>
    </w:p>
    <w:p w:rsidR="005B4F47" w:rsidRDefault="005B4F47">
      <w:pPr>
        <w:shd w:val="clear" w:color="auto" w:fill="FFFFFE"/>
        <w:spacing w:after="0"/>
      </w:pPr>
    </w:p>
    <w:p w:rsidR="005B4F47" w:rsidRDefault="000907B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noProof/>
          <w:lang w:val="en-US"/>
        </w:rPr>
        <w:lastRenderedPageBreak/>
        <w:drawing>
          <wp:inline distT="0" distB="0" distL="0" distR="0">
            <wp:extent cx="3098165" cy="5320030"/>
            <wp:effectExtent l="0" t="0" r="0" b="0"/>
            <wp:docPr id="2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98165" cy="5320030"/>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44546A"/>
          <w:sz w:val="18"/>
          <w:szCs w:val="18"/>
        </w:rPr>
      </w:pPr>
      <w:r>
        <w:rPr>
          <w:i/>
          <w:color w:val="44546A"/>
          <w:sz w:val="18"/>
          <w:szCs w:val="18"/>
        </w:rPr>
        <w:t>Slika 6. Uporedni prikaz originalnih i augmentovanih slika</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Ovako konstruisan CNN model daje visok nivo od 99,97% tačnosti na trening skupu. Osim tačnosti, ispod su pri</w:t>
      </w:r>
      <w:r>
        <w:t>kazane ostale metrike evaluacije na trening skupu:</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loss: 0.0013</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f1_score: 0.9997</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precision: 0.9997</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recall: 0.9996</w:t>
      </w:r>
    </w:p>
    <w:p w:rsidR="005B4F47" w:rsidRDefault="005B4F47"/>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r>
        <w:rPr>
          <w:b/>
          <w:color w:val="000000"/>
          <w:sz w:val="30"/>
          <w:szCs w:val="30"/>
        </w:rPr>
        <w:t>Rezultati modela</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sz w:val="30"/>
          <w:szCs w:val="30"/>
        </w:rPr>
      </w:pP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ab/>
        <w:t xml:space="preserve">Model je obučen tako da minimizuje funkciju gubitka (engl. </w:t>
      </w:r>
      <w:r>
        <w:rPr>
          <w:i/>
        </w:rPr>
        <w:t>loss</w:t>
      </w:r>
      <w:r>
        <w:t xml:space="preserve">) </w:t>
      </w:r>
      <w:r>
        <w:rPr>
          <w:rFonts w:ascii="Courier New" w:eastAsia="Courier New" w:hAnsi="Courier New" w:cs="Courier New"/>
        </w:rPr>
        <w:t>categorical_crossentropy</w:t>
      </w:r>
      <w:r>
        <w:t xml:space="preserve">, a optimizator koji je korišćen je </w:t>
      </w:r>
      <w:r>
        <w:rPr>
          <w:i/>
        </w:rPr>
        <w:t>ADAM</w:t>
      </w:r>
      <w:r>
        <w:t xml:space="preserve"> [4]. Model je obučen na 20 epoha gde je batch size 32. Korišćena je podrazumevana stopa učenja (engl. </w:t>
      </w:r>
      <w:r>
        <w:rPr>
          <w:i/>
        </w:rPr>
        <w:t>learning rate</w:t>
      </w:r>
      <w:r>
        <w:t xml:space="preserve">) 0.001. </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Na slici ispod prikazani su grafici tačnosti modela i funkcije gubitka na trening i valida</w:t>
      </w:r>
      <w:r>
        <w:t>cionom skupu prilikom treniranja.</w:t>
      </w:r>
    </w:p>
    <w:p w:rsidR="005B4F47" w:rsidRDefault="000907B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lastRenderedPageBreak/>
        <w:t xml:space="preserve"> </w:t>
      </w:r>
      <w:r>
        <w:rPr>
          <w:noProof/>
          <w:color w:val="212121"/>
          <w:sz w:val="32"/>
          <w:szCs w:val="32"/>
          <w:highlight w:val="white"/>
          <w:lang w:val="en-US"/>
        </w:rPr>
        <w:drawing>
          <wp:inline distT="0" distB="0" distL="0" distR="0">
            <wp:extent cx="5760720" cy="3335020"/>
            <wp:effectExtent l="0" t="0" r="0" b="0"/>
            <wp:docPr id="2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60720" cy="3335020"/>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000000"/>
        </w:rPr>
      </w:pPr>
      <w:r>
        <w:rPr>
          <w:i/>
          <w:color w:val="44546A"/>
          <w:sz w:val="18"/>
          <w:szCs w:val="18"/>
        </w:rPr>
        <w:t>Slika 7. Grafici promene tačnosti modela i funkcije gubitka na trening i validacionom skupu</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Na test skupu su dobijeni sledeći rezultati evaluacije:</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loss: 0.0192</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accuracy: 0.9922</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f1_score: 0.9934</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precision: 0.9923</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recall: 0.9922</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Primećujemo da je veoma visok nivo tačnosti na test skupu, čak 99,22%. </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Na Slici 8. prikazana je konfuziona matrica sa klasifikacijom svih instanci test skupa u definisane kategorije. Model radi veoma dobru klasifikaciju, mali broj slika se </w:t>
      </w:r>
      <w:r>
        <w:t>pogrešno klasifikuje.</w:t>
      </w:r>
    </w:p>
    <w:p w:rsidR="005B4F47" w:rsidRDefault="000907B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noProof/>
          <w:lang w:val="en-US"/>
        </w:rPr>
        <w:lastRenderedPageBreak/>
        <w:drawing>
          <wp:inline distT="0" distB="0" distL="0" distR="0">
            <wp:extent cx="5758180" cy="6129020"/>
            <wp:effectExtent l="0" t="0" r="0" b="0"/>
            <wp:docPr id="2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58180" cy="6129020"/>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44546A"/>
          <w:sz w:val="18"/>
          <w:szCs w:val="18"/>
        </w:rPr>
      </w:pPr>
      <w:r>
        <w:rPr>
          <w:i/>
          <w:color w:val="44546A"/>
          <w:sz w:val="18"/>
          <w:szCs w:val="18"/>
        </w:rPr>
        <w:t>Slika 8. Konfuziona matrica klasifikacije na test skupu</w:t>
      </w:r>
    </w:p>
    <w:p w:rsidR="005B4F47" w:rsidRDefault="005B4F47"/>
    <w:p w:rsidR="005B4F47" w:rsidRDefault="005B4F47"/>
    <w:p w:rsidR="005B4F47" w:rsidRDefault="005B4F47"/>
    <w:p w:rsidR="005B4F47" w:rsidRDefault="005B4F47"/>
    <w:p w:rsidR="005B4F47" w:rsidRDefault="005B4F47"/>
    <w:p w:rsidR="005B4F47" w:rsidRDefault="005B4F47"/>
    <w:p w:rsidR="005B4F47" w:rsidRDefault="005B4F47"/>
    <w:p w:rsidR="005B4F47" w:rsidRDefault="005B4F47"/>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r>
        <w:rPr>
          <w:b/>
          <w:color w:val="000000"/>
          <w:sz w:val="30"/>
          <w:szCs w:val="30"/>
        </w:rPr>
        <w:lastRenderedPageBreak/>
        <w:t>Struktura aplikacije</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p>
    <w:p w:rsidR="005B4F47" w:rsidRDefault="000907B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noProof/>
          <w:lang w:val="en-US"/>
        </w:rPr>
        <w:drawing>
          <wp:inline distT="0" distB="0" distL="0" distR="0">
            <wp:extent cx="5755005" cy="2021840"/>
            <wp:effectExtent l="0" t="0" r="0" b="0"/>
            <wp:docPr id="2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55005" cy="2021840"/>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44546A"/>
          <w:sz w:val="18"/>
          <w:szCs w:val="18"/>
        </w:rPr>
      </w:pPr>
      <w:r>
        <w:rPr>
          <w:i/>
          <w:color w:val="44546A"/>
          <w:sz w:val="18"/>
          <w:szCs w:val="18"/>
        </w:rPr>
        <w:t>Slika 9. Arhitektura aplikacije</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ab/>
      </w:r>
      <w:r>
        <w:t>Kao što je prikazano na Slici 9, slika sa početka se deli iz video ulaza sa kamere. Frejmovi su izvučeni sa slike i nalaze se u regionu od interesa (Threshold Square Box) kako bi se izbegli konflikti u pozadini. Koristi se istrenirani CNN model sa 14 sloje</w:t>
      </w:r>
      <w:r>
        <w:t>va, koji je prethodno opisan. Slika gesta izdvojena iz video frejma se nalazi u RGB formatu.  Pošto koristimo istrenirani CNN model nad RGB slikama, ulazna slika ostaje u istom formatu za dalju manipulaciju u aplikaciji. Dalje, slika se skalira u odnosu na</w:t>
      </w:r>
      <w:r>
        <w:t xml:space="preserve"> veličinu slika sa kojima je model bio treniran. Unapred obučeni CNN model prihvata sliku nakon skaliranja i transformacije. Naredni korak je predviđanje gesta pomoću CNN modela. Klasifikovani gest se prikazuje kao slovo.</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Na narednim slikama dat je prikaz</w:t>
      </w:r>
      <w:r>
        <w:t xml:space="preserve"> gesta u aplikaciji (slika levo) i verovatnoća kojoj klasi taj gest pripada (date su tri klase kod kojih je najveća verovatnoća predikcije na slici desno):</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noProof/>
          <w:lang w:val="en-US"/>
        </w:rPr>
        <w:drawing>
          <wp:inline distT="0" distB="0" distL="0" distR="0">
            <wp:extent cx="1889924" cy="3033023"/>
            <wp:effectExtent l="0" t="0" r="0" b="0"/>
            <wp:docPr id="20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889924" cy="3033023"/>
                    </a:xfrm>
                    <a:prstGeom prst="rect">
                      <a:avLst/>
                    </a:prstGeom>
                    <a:ln/>
                  </pic:spPr>
                </pic:pic>
              </a:graphicData>
            </a:graphic>
          </wp:inline>
        </w:drawing>
      </w:r>
      <w:r>
        <w:t xml:space="preserve"> </w:t>
      </w:r>
      <w:r>
        <w:rPr>
          <w:noProof/>
          <w:lang w:val="en-US"/>
        </w:rPr>
        <w:drawing>
          <wp:inline distT="0" distB="0" distL="0" distR="0">
            <wp:extent cx="2712720" cy="998220"/>
            <wp:effectExtent l="0" t="0" r="0" b="0"/>
            <wp:docPr id="20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712720" cy="998220"/>
                    </a:xfrm>
                    <a:prstGeom prst="rect">
                      <a:avLst/>
                    </a:prstGeom>
                    <a:ln/>
                  </pic:spPr>
                </pic:pic>
              </a:graphicData>
            </a:graphic>
          </wp:inline>
        </w:drawing>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noProof/>
          <w:lang w:val="en-US"/>
        </w:rPr>
        <w:lastRenderedPageBreak/>
        <w:drawing>
          <wp:inline distT="0" distB="0" distL="0" distR="0">
            <wp:extent cx="2086292" cy="3085772"/>
            <wp:effectExtent l="0" t="0" r="0" b="0"/>
            <wp:docPr id="2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086292" cy="3085772"/>
                    </a:xfrm>
                    <a:prstGeom prst="rect">
                      <a:avLst/>
                    </a:prstGeom>
                    <a:ln/>
                  </pic:spPr>
                </pic:pic>
              </a:graphicData>
            </a:graphic>
          </wp:inline>
        </w:drawing>
      </w:r>
      <w:r>
        <w:t xml:space="preserve"> </w:t>
      </w:r>
      <w:r>
        <w:rPr>
          <w:noProof/>
          <w:lang w:val="en-US"/>
        </w:rPr>
        <w:drawing>
          <wp:inline distT="0" distB="0" distL="0" distR="0">
            <wp:extent cx="2598420" cy="1059180"/>
            <wp:effectExtent l="0" t="0" r="0" b="0"/>
            <wp:docPr id="20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2598420" cy="1059180"/>
                    </a:xfrm>
                    <a:prstGeom prst="rect">
                      <a:avLst/>
                    </a:prstGeom>
                    <a:ln/>
                  </pic:spPr>
                </pic:pic>
              </a:graphicData>
            </a:graphic>
          </wp:inline>
        </w:drawing>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p>
    <w:p w:rsidR="005B4F47" w:rsidRDefault="000907B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noProof/>
          <w:lang w:val="en-US"/>
        </w:rPr>
        <w:drawing>
          <wp:inline distT="0" distB="0" distL="0" distR="0">
            <wp:extent cx="2067735" cy="3284049"/>
            <wp:effectExtent l="0" t="0" r="0" b="0"/>
            <wp:docPr id="2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067735" cy="3284049"/>
                    </a:xfrm>
                    <a:prstGeom prst="rect">
                      <a:avLst/>
                    </a:prstGeom>
                    <a:ln/>
                  </pic:spPr>
                </pic:pic>
              </a:graphicData>
            </a:graphic>
          </wp:inline>
        </w:drawing>
      </w:r>
      <w:r>
        <w:t xml:space="preserve"> </w:t>
      </w:r>
      <w:r>
        <w:rPr>
          <w:noProof/>
          <w:lang w:val="en-US"/>
        </w:rPr>
        <w:drawing>
          <wp:inline distT="0" distB="0" distL="0" distR="0">
            <wp:extent cx="2560320" cy="1021080"/>
            <wp:effectExtent l="0" t="0" r="0" b="0"/>
            <wp:docPr id="2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2560320" cy="1021080"/>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44546A"/>
          <w:sz w:val="18"/>
          <w:szCs w:val="18"/>
        </w:rPr>
      </w:pPr>
      <w:r>
        <w:rPr>
          <w:i/>
          <w:color w:val="44546A"/>
          <w:sz w:val="18"/>
          <w:szCs w:val="18"/>
        </w:rPr>
        <w:t>Slika 10. Prikaz gesta i predikcija (za slova C, F, Y)</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p>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r>
        <w:rPr>
          <w:b/>
          <w:color w:val="000000"/>
          <w:sz w:val="30"/>
          <w:szCs w:val="30"/>
        </w:rPr>
        <w:t>Diskusija</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ab/>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ab/>
      </w:r>
      <w:r>
        <w:t>Osnovni problem sa kojim smo se susreli prilikom testiranja aplikacije jeste to što na kvalitet predikcije utiče količina osvetljenja u prostoriji i boja pozadine. Poželjno je da pozadina bude svetla, kao i da osvetljenja bude umereno, tako da ne bude prev</w:t>
      </w:r>
      <w:r>
        <w:t xml:space="preserve">iše tamno niti previše osvetljeno. Takođe, osoba koja pokazuje gest mora se udaljiti od kamere, da bi se frejm koji aplikacija prihvata dalje preprocesirao na odgovarajući način.  </w:t>
      </w:r>
      <w:r>
        <w:tab/>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Ograničenje koje zadaje skup koji smo koristili u istraživanju, je to što </w:t>
      </w:r>
      <w:r>
        <w:t xml:space="preserve">slovo T nije prikazano na način koji se najčešće upotrebljava. Da bismo prevazišli ovu situaciju, primenili smo Fine Tuning nad </w:t>
      </w:r>
      <w:r>
        <w:lastRenderedPageBreak/>
        <w:t>modelom koji nam je dao najbolje rezultate sa proširenim skupom podataka (dodali smo dve klase, jednu klasu za „uobičajeno“ slov</w:t>
      </w:r>
      <w:r>
        <w:t>o T i jednu za pozadinu).</w:t>
      </w:r>
      <w:r>
        <w:tab/>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Problem „mešanja“ gestova koji su slič</w:t>
      </w:r>
      <w:bookmarkStart w:id="5" w:name="_GoBack"/>
      <w:bookmarkEnd w:id="5"/>
      <w:r>
        <w:t xml:space="preserve">ni je primetan. Gestovi kojima se prikazuju slova M, N, S, A i E su vizuelno slični, što se može videti na Slici 1. Za znakove A, M, N, S, E položaj šake je sličan (pesnica), a položaj palca </w:t>
      </w:r>
      <w:r>
        <w:t>je različit (A - položaj palca je slobodan, E - palac je savijen ispod ostalih prstiju šake, M - palac se nalazi između 4. i 5. prsta, N - palac se nalazi između 3. i 4., S - palac se nalazi ispred 1. i 2. prsta šake). Veća sličnost je prisutna između slov</w:t>
      </w:r>
      <w:r>
        <w:t>a M i N (ukoliko posmatramo manji skup slova koja su slična).</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Ovaj model se može primeniti i na druge znakovne jezike kao što je indijski znakovni jezik, tako što će se uraditi Fine Tuning nad proširenim skupom slika. Model se može dodatno obučiti sa skupo</w:t>
      </w:r>
      <w:r>
        <w:t>m podataka tako da automatski izdvoji gest iz frejma automatskim oduzimanjem pozadine. Takođe se može podesiti i proširiti model da bi se identifikovale frekventne reči i izrazi. Pored toga, obuka modela neuronske mreže za simbole nekog drugog znakovnog je</w:t>
      </w:r>
      <w:r>
        <w:t>zika zahteva dve ruke (britanski, australijski, novozelandski znakovni jezik). Integracija optimizovanog modela u postojeće AI sisteme kao što je Amazon Alexa.</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bookmarkStart w:id="6" w:name="_heading=h.tyjcwt" w:colFirst="0" w:colLast="0"/>
      <w:bookmarkEnd w:id="6"/>
    </w:p>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bookmarkStart w:id="7" w:name="_heading=h.3dy6vkm" w:colFirst="0" w:colLast="0"/>
      <w:bookmarkEnd w:id="7"/>
      <w:r>
        <w:rPr>
          <w:b/>
          <w:color w:val="000000"/>
          <w:sz w:val="30"/>
          <w:szCs w:val="30"/>
        </w:rPr>
        <w:t>Zaključak</w:t>
      </w:r>
    </w:p>
    <w:p w:rsidR="005B4F47" w:rsidRDefault="005B4F4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b/>
          <w:color w:val="000000"/>
          <w:sz w:val="30"/>
          <w:szCs w:val="30"/>
        </w:rPr>
      </w:pP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ab/>
      </w:r>
      <w:r>
        <w:t xml:space="preserve">Ovaj rad je zasnovan na CNN-u za prepoznavanje i klasifikaciju znakovnog jezika koristeći kompjuterski vid. Za razliku od drugih pristupa [5], ovaj pristup daje veoma visoku tačnost i znatno mali broj lažno pozitivnih (engl. </w:t>
      </w:r>
      <w:r>
        <w:rPr>
          <w:i/>
        </w:rPr>
        <w:t>False Positive</w:t>
      </w:r>
      <w:r>
        <w:t>). Ostala moguća</w:t>
      </w:r>
      <w:r>
        <w:t xml:space="preserve"> proširenja ovog rada predstavljena su u Odeljku 7 (Predlozi za poboljšanja).</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u w:val="single"/>
        </w:rPr>
      </w:pPr>
    </w:p>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r>
        <w:rPr>
          <w:b/>
          <w:color w:val="000000"/>
          <w:sz w:val="30"/>
          <w:szCs w:val="30"/>
        </w:rPr>
        <w:t>Dodatak</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sz w:val="30"/>
          <w:szCs w:val="30"/>
        </w:rPr>
      </w:pP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 xml:space="preserve">Na Slici 10 prikazani su rezultati svih modela koje smo koristili prilikom istraživanja. Za svaki model istaknut je loss i  accuracy za trening i test skup.  </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sz w:val="30"/>
          <w:szCs w:val="30"/>
        </w:rPr>
      </w:pPr>
    </w:p>
    <w:p w:rsidR="005B4F47" w:rsidRDefault="000907B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noProof/>
          <w:lang w:val="en-US"/>
        </w:rPr>
        <w:drawing>
          <wp:inline distT="0" distB="0" distL="0" distR="0">
            <wp:extent cx="6401669" cy="2229954"/>
            <wp:effectExtent l="0" t="0" r="0" b="0"/>
            <wp:docPr id="2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401669" cy="2229954"/>
                    </a:xfrm>
                    <a:prstGeom prst="rect">
                      <a:avLst/>
                    </a:prstGeom>
                    <a:ln/>
                  </pic:spPr>
                </pic:pic>
              </a:graphicData>
            </a:graphic>
          </wp:inline>
        </w:drawing>
      </w:r>
    </w:p>
    <w:p w:rsidR="005B4F47" w:rsidRDefault="000907B9">
      <w:pPr>
        <w:pBdr>
          <w:top w:val="nil"/>
          <w:left w:val="nil"/>
          <w:bottom w:val="nil"/>
          <w:right w:val="nil"/>
          <w:between w:val="nil"/>
        </w:pBdr>
        <w:spacing w:after="200" w:line="240" w:lineRule="auto"/>
        <w:jc w:val="both"/>
        <w:rPr>
          <w:i/>
          <w:color w:val="44546A"/>
          <w:sz w:val="18"/>
          <w:szCs w:val="18"/>
        </w:rPr>
      </w:pPr>
      <w:r>
        <w:rPr>
          <w:i/>
          <w:color w:val="44546A"/>
          <w:sz w:val="18"/>
          <w:szCs w:val="18"/>
        </w:rPr>
        <w:t>Slika 11. Analiza svih treniranih modela - tačnost i funkcija gubitka</w:t>
      </w:r>
    </w:p>
    <w:p w:rsidR="005B4F47" w:rsidRDefault="000907B9">
      <w:pPr>
        <w:rPr>
          <w:color w:val="0563C1"/>
          <w:u w:val="single"/>
        </w:rPr>
      </w:pPr>
      <w:r>
        <w:t xml:space="preserve">Referenca praktičnog istraživačkog rada: </w:t>
      </w:r>
      <w:hyperlink r:id="rId22">
        <w:r>
          <w:rPr>
            <w:color w:val="0563C1"/>
            <w:u w:val="single"/>
          </w:rPr>
          <w:t>https://drive.google.com/drive/folders/1sH0DN4EX7ZPMT</w:t>
        </w:r>
        <w:r>
          <w:rPr>
            <w:color w:val="0563C1"/>
            <w:u w:val="single"/>
          </w:rPr>
          <w:t>UtDWPqoL44a_Y_8BXQO</w:t>
        </w:r>
      </w:hyperlink>
    </w:p>
    <w:p w:rsidR="005B4F47" w:rsidRDefault="005B4F47">
      <w:pPr>
        <w:rPr>
          <w:color w:val="0563C1"/>
          <w:u w:val="single"/>
        </w:rPr>
      </w:pPr>
    </w:p>
    <w:p w:rsidR="005B4F47" w:rsidRDefault="000907B9">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b/>
          <w:color w:val="000000"/>
          <w:sz w:val="30"/>
          <w:szCs w:val="30"/>
        </w:rPr>
      </w:pPr>
      <w:r>
        <w:rPr>
          <w:b/>
          <w:color w:val="000000"/>
          <w:sz w:val="30"/>
          <w:szCs w:val="30"/>
        </w:rPr>
        <w:lastRenderedPageBreak/>
        <w:t>Literatura</w:t>
      </w:r>
    </w:p>
    <w:p w:rsidR="005B4F47" w:rsidRDefault="005B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sz w:val="30"/>
          <w:szCs w:val="30"/>
        </w:rPr>
      </w:pP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[1] </w:t>
      </w:r>
      <w:hyperlink r:id="rId23">
        <w:r>
          <w:rPr>
            <w:color w:val="0563C1"/>
            <w:u w:val="single"/>
          </w:rPr>
          <w:t>https://www.kaggle.com/datasets/ahmedkhanak1995/sign-language-gesture-images-dataset</w:t>
        </w:r>
      </w:hyperlink>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[2] </w:t>
      </w:r>
      <w:hyperlink r:id="rId24">
        <w:r>
          <w:rPr>
            <w:color w:val="0563C1"/>
            <w:u w:val="single"/>
          </w:rPr>
          <w:t>https://www.kaggle.com/code/madz2000/cnn-using-keras-100-accuracy</w:t>
        </w:r>
      </w:hyperlink>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563C1"/>
          <w:u w:val="single"/>
        </w:rPr>
      </w:pPr>
      <w:r>
        <w:t xml:space="preserve">[3] </w:t>
      </w:r>
      <w:hyperlink r:id="rId25">
        <w:r>
          <w:rPr>
            <w:color w:val="0563C1"/>
            <w:u w:val="single"/>
          </w:rPr>
          <w:t>https://www.kaggle.com</w:t>
        </w:r>
        <w:r>
          <w:rPr>
            <w:color w:val="0563C1"/>
            <w:u w:val="single"/>
          </w:rPr>
          <w:t>/datasets/datamunge/sign-language-mnist</w:t>
        </w:r>
      </w:hyperlink>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Pr>
          <w:color w:val="000000"/>
        </w:rPr>
        <w:t xml:space="preserve">[4] </w:t>
      </w:r>
      <w:r>
        <w:t>Adam: A Method for Stochastic Optimization, Diederik P. Kingma, Jimmy Ba, Published as a conference paper at the 3rd International Conference for Learning Representations, San Diego, 2015.</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[5] </w:t>
      </w:r>
      <w:hyperlink r:id="rId26">
        <w:r>
          <w:rPr>
            <w:color w:val="0563C1"/>
            <w:u w:val="single"/>
          </w:rPr>
          <w:t>https://towardsdatascience.com/sign-language-recognition-with-advanced-computer-vision-7b74f20f3442</w:t>
        </w:r>
      </w:hyperlink>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563C1"/>
          <w:u w:val="single"/>
        </w:rPr>
      </w:pPr>
      <w:r>
        <w:t xml:space="preserve">[6] </w:t>
      </w:r>
      <w:r>
        <w:fldChar w:fldCharType="begin"/>
      </w:r>
      <w:r>
        <w:instrText xml:space="preserve"> HYPERLINK "https://www.kaggle.com/code/themlphdstud</w:instrText>
      </w:r>
      <w:r>
        <w:instrText xml:space="preserve">ent/sign-classification-using-tl-inceptionv3" </w:instrText>
      </w:r>
      <w:r>
        <w:fldChar w:fldCharType="separate"/>
      </w:r>
      <w:r>
        <w:rPr>
          <w:color w:val="0563C1"/>
          <w:u w:val="single"/>
        </w:rPr>
        <w:t>https://www.kaggle.com/code/themlphdstudent/sign-classification-using-tl-inceptionv3</w:t>
      </w:r>
    </w:p>
    <w:p w:rsidR="005B4F47" w:rsidRDefault="00090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fldChar w:fldCharType="end"/>
      </w:r>
      <w:r>
        <w:rPr>
          <w:color w:val="000000"/>
        </w:rPr>
        <w:t xml:space="preserve">[7] </w:t>
      </w:r>
      <w:hyperlink r:id="rId27">
        <w:r>
          <w:rPr>
            <w:color w:val="0563C1"/>
            <w:u w:val="single"/>
          </w:rPr>
          <w:t>https://digitalcommons.kennesaw.edu/cgi/viewcontent.cgi?article=1024&amp;context=cs_etd</w:t>
        </w:r>
      </w:hyperlink>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[5]Kang, Byeongkeun, Subarna Tripathi, and Truong Q. Nguyen. </w:t>
      </w:r>
      <w:r w:rsidRPr="000907B9">
        <w:rPr>
          <w:rFonts w:ascii="ff6" w:eastAsia="ff6" w:hAnsi="ff6" w:cs="ff6"/>
          <w:color w:val="000000"/>
        </w:rPr>
        <w:t>”</w:t>
      </w:r>
      <w:r w:rsidRPr="000907B9">
        <w:rPr>
          <w:rFonts w:ascii="ff4" w:eastAsia="ff4" w:hAnsi="ff4" w:cs="ff4"/>
          <w:color w:val="000000"/>
        </w:rPr>
        <w:t xml:space="preserve">Real- time sign   language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fingerspelling  recognition  using  convolutional  neural  networks  from  depth  </w:t>
      </w:r>
      <w:r w:rsidRPr="000907B9">
        <w:rPr>
          <w:rFonts w:ascii="ff4" w:eastAsia="ff4" w:hAnsi="ff4" w:cs="ff4"/>
          <w:color w:val="000000"/>
        </w:rPr>
        <w:t>map.</w:t>
      </w:r>
      <w:r w:rsidRPr="000907B9">
        <w:rPr>
          <w:rFonts w:ascii="ff6" w:eastAsia="ff6" w:hAnsi="ff6" w:cs="ff6"/>
          <w:color w:val="000000"/>
        </w:rPr>
        <w:t>”</w:t>
      </w:r>
      <w:r w:rsidRPr="000907B9">
        <w:rPr>
          <w:rFonts w:ascii="ff4" w:eastAsia="ff4" w:hAnsi="ff4" w:cs="ff4"/>
          <w:color w:val="000000"/>
        </w:rPr>
        <w:t xml:space="preserve">  arXiv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preprint arXiv: 1509.03001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[6]  Suganya,  R.,  and  T.  Meeradevi.  </w:t>
      </w:r>
      <w:r w:rsidRPr="000907B9">
        <w:rPr>
          <w:rFonts w:ascii="ff6" w:eastAsia="ff6" w:hAnsi="ff6" w:cs="ff6"/>
          <w:color w:val="000000"/>
        </w:rPr>
        <w:t>”</w:t>
      </w:r>
      <w:r w:rsidRPr="000907B9">
        <w:rPr>
          <w:rFonts w:ascii="ff4" w:eastAsia="ff4" w:hAnsi="ff4" w:cs="ff4"/>
          <w:color w:val="000000"/>
        </w:rPr>
        <w:t xml:space="preserve">Design  of  a  communication  aid  for  phys-  ically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challenged.</w:t>
      </w:r>
      <w:r w:rsidRPr="000907B9">
        <w:rPr>
          <w:rFonts w:ascii="ff6" w:eastAsia="ff6" w:hAnsi="ff6" w:cs="ff6"/>
          <w:color w:val="000000"/>
        </w:rPr>
        <w:t>”</w:t>
      </w:r>
      <w:r w:rsidRPr="000907B9">
        <w:rPr>
          <w:rFonts w:ascii="ff4" w:eastAsia="ff4" w:hAnsi="ff4" w:cs="ff4"/>
          <w:color w:val="000000"/>
        </w:rPr>
        <w:t xml:space="preserve">  In  Electronics  and  Communication  Systems  (ICECS), 2015  2nd  International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Conference on, pp. 818-822. IEEE,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[7]  Sruthi  Upendran,  Thamizharasi.  A,</w:t>
      </w:r>
      <w:r w:rsidRPr="000907B9">
        <w:rPr>
          <w:rFonts w:ascii="ff6" w:eastAsia="ff6" w:hAnsi="ff6" w:cs="ff6"/>
          <w:color w:val="000000"/>
        </w:rPr>
        <w:t>”</w:t>
      </w:r>
      <w:r w:rsidRPr="000907B9">
        <w:rPr>
          <w:rFonts w:ascii="ff4" w:eastAsia="ff4" w:hAnsi="ff4" w:cs="ff4"/>
          <w:color w:val="000000"/>
        </w:rPr>
        <w:t xml:space="preserve">  American  Sign  Language  Interpreter  System  for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Deaf  and  Dumb  Individuals</w:t>
      </w:r>
      <w:r w:rsidRPr="000907B9">
        <w:rPr>
          <w:rFonts w:ascii="ff6" w:eastAsia="ff6" w:hAnsi="ff6" w:cs="ff6"/>
          <w:color w:val="000000"/>
        </w:rPr>
        <w:t>”</w:t>
      </w:r>
      <w:r w:rsidRPr="000907B9">
        <w:rPr>
          <w:rFonts w:ascii="ff4" w:eastAsia="ff4" w:hAnsi="ff4" w:cs="ff4"/>
          <w:color w:val="000000"/>
        </w:rPr>
        <w:t xml:space="preserve">,  2014  International  Conference  on  Control,  Instrumentation,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Communication and Comp</w:t>
      </w:r>
      <w:r w:rsidRPr="000907B9">
        <w:rPr>
          <w:rFonts w:ascii="ff4" w:eastAsia="ff4" w:hAnsi="ff4" w:cs="ff4"/>
          <w:color w:val="000000"/>
        </w:rPr>
        <w:t>uta.</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[5]Kang, Byeongkeun, Subarna Tripathi, and Truong Q. Nguyen. </w:t>
      </w:r>
      <w:r w:rsidRPr="000907B9">
        <w:rPr>
          <w:rFonts w:ascii="ff6" w:eastAsia="ff6" w:hAnsi="ff6" w:cs="ff6"/>
          <w:color w:val="000000"/>
        </w:rPr>
        <w:t>”</w:t>
      </w:r>
      <w:r w:rsidRPr="000907B9">
        <w:rPr>
          <w:rFonts w:ascii="ff4" w:eastAsia="ff4" w:hAnsi="ff4" w:cs="ff4"/>
          <w:color w:val="000000"/>
        </w:rPr>
        <w:t xml:space="preserve">Real- time sign   language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fingerspelling  recognition  using  convolutional  neural  networks  from  depth  map.</w:t>
      </w:r>
      <w:r w:rsidRPr="000907B9">
        <w:rPr>
          <w:rFonts w:ascii="ff6" w:eastAsia="ff6" w:hAnsi="ff6" w:cs="ff6"/>
          <w:color w:val="000000"/>
        </w:rPr>
        <w:t>”</w:t>
      </w:r>
      <w:r w:rsidRPr="000907B9">
        <w:rPr>
          <w:rFonts w:ascii="ff4" w:eastAsia="ff4" w:hAnsi="ff4" w:cs="ff4"/>
          <w:color w:val="000000"/>
        </w:rPr>
        <w:t xml:space="preserve">  arXiv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preprint arXiv: 1509.03001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[6]  Suganya,  R.,  and  T.  </w:t>
      </w:r>
      <w:r w:rsidRPr="000907B9">
        <w:rPr>
          <w:rFonts w:ascii="ff4" w:eastAsia="ff4" w:hAnsi="ff4" w:cs="ff4"/>
          <w:color w:val="000000"/>
        </w:rPr>
        <w:t xml:space="preserve">Meeradevi.  </w:t>
      </w:r>
      <w:r w:rsidRPr="000907B9">
        <w:rPr>
          <w:rFonts w:ascii="ff6" w:eastAsia="ff6" w:hAnsi="ff6" w:cs="ff6"/>
          <w:color w:val="000000"/>
        </w:rPr>
        <w:t>”</w:t>
      </w:r>
      <w:r w:rsidRPr="000907B9">
        <w:rPr>
          <w:rFonts w:ascii="ff4" w:eastAsia="ff4" w:hAnsi="ff4" w:cs="ff4"/>
          <w:color w:val="000000"/>
        </w:rPr>
        <w:t xml:space="preserve">Design  of  a  communication  aid  for  phys-  ically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challenged.</w:t>
      </w:r>
      <w:r w:rsidRPr="000907B9">
        <w:rPr>
          <w:rFonts w:ascii="ff6" w:eastAsia="ff6" w:hAnsi="ff6" w:cs="ff6"/>
          <w:color w:val="000000"/>
        </w:rPr>
        <w:t>”</w:t>
      </w:r>
      <w:r w:rsidRPr="000907B9">
        <w:rPr>
          <w:rFonts w:ascii="ff4" w:eastAsia="ff4" w:hAnsi="ff4" w:cs="ff4"/>
          <w:color w:val="000000"/>
        </w:rPr>
        <w:t xml:space="preserve">  In  Electronics  and  Communication  Systems  (ICECS), 2015  2nd  International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Conference on, pp. 818-822. IEEE,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[7]  Sruthi  Upendran,  Thamizharasi.  A,</w:t>
      </w:r>
      <w:r w:rsidRPr="000907B9">
        <w:rPr>
          <w:rFonts w:ascii="ff6" w:eastAsia="ff6" w:hAnsi="ff6" w:cs="ff6"/>
          <w:color w:val="000000"/>
        </w:rPr>
        <w:t>”</w:t>
      </w:r>
      <w:r w:rsidRPr="000907B9">
        <w:rPr>
          <w:rFonts w:ascii="ff4" w:eastAsia="ff4" w:hAnsi="ff4" w:cs="ff4"/>
          <w:color w:val="000000"/>
        </w:rPr>
        <w:t xml:space="preserve">  American</w:t>
      </w:r>
      <w:r w:rsidRPr="000907B9">
        <w:rPr>
          <w:rFonts w:ascii="ff4" w:eastAsia="ff4" w:hAnsi="ff4" w:cs="ff4"/>
          <w:color w:val="000000"/>
        </w:rPr>
        <w:t xml:space="preserve">  Sign  Language  Interpreter  System  for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Deaf  and  Dumb  Individuals</w:t>
      </w:r>
      <w:r w:rsidRPr="000907B9">
        <w:rPr>
          <w:rFonts w:ascii="ff6" w:eastAsia="ff6" w:hAnsi="ff6" w:cs="ff6"/>
          <w:color w:val="000000"/>
        </w:rPr>
        <w:t>”</w:t>
      </w:r>
      <w:r w:rsidRPr="000907B9">
        <w:rPr>
          <w:rFonts w:ascii="ff4" w:eastAsia="ff4" w:hAnsi="ff4" w:cs="ff4"/>
          <w:color w:val="000000"/>
        </w:rPr>
        <w:t xml:space="preserve">,  2014  International  Conference  on  Control,  Instrumentation,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Communication and Computa.</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[5]Kang, Byeongkeun, Subarna Tripathi, and Truong Q. Nguyen. </w:t>
      </w:r>
      <w:r w:rsidRPr="000907B9">
        <w:rPr>
          <w:rFonts w:ascii="ff6" w:eastAsia="ff6" w:hAnsi="ff6" w:cs="ff6"/>
          <w:color w:val="000000"/>
        </w:rPr>
        <w:t>”</w:t>
      </w:r>
      <w:r w:rsidRPr="000907B9">
        <w:rPr>
          <w:rFonts w:ascii="ff4" w:eastAsia="ff4" w:hAnsi="ff4" w:cs="ff4"/>
          <w:color w:val="000000"/>
        </w:rPr>
        <w:t xml:space="preserve">Real- time sign   language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fingerspelling  recognition  using  convolutional  neural  networks  from  depth  map.</w:t>
      </w:r>
      <w:r w:rsidRPr="000907B9">
        <w:rPr>
          <w:rFonts w:ascii="ff6" w:eastAsia="ff6" w:hAnsi="ff6" w:cs="ff6"/>
          <w:color w:val="000000"/>
        </w:rPr>
        <w:t>”</w:t>
      </w:r>
      <w:r w:rsidRPr="000907B9">
        <w:rPr>
          <w:rFonts w:ascii="ff4" w:eastAsia="ff4" w:hAnsi="ff4" w:cs="ff4"/>
          <w:color w:val="000000"/>
        </w:rPr>
        <w:t xml:space="preserve">  arXiv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preprint arXiv: 1509.03001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[6]  Suganya,  R.,  and  T.  Meeradevi.  </w:t>
      </w:r>
      <w:r w:rsidRPr="000907B9">
        <w:rPr>
          <w:rFonts w:ascii="ff6" w:eastAsia="ff6" w:hAnsi="ff6" w:cs="ff6"/>
          <w:color w:val="000000"/>
        </w:rPr>
        <w:t>”</w:t>
      </w:r>
      <w:r w:rsidRPr="000907B9">
        <w:rPr>
          <w:rFonts w:ascii="ff4" w:eastAsia="ff4" w:hAnsi="ff4" w:cs="ff4"/>
          <w:color w:val="000000"/>
        </w:rPr>
        <w:t xml:space="preserve">Design  of  a  communication  aid  for  phys-  ically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challenged.</w:t>
      </w:r>
      <w:r w:rsidRPr="000907B9">
        <w:rPr>
          <w:rFonts w:ascii="ff6" w:eastAsia="ff6" w:hAnsi="ff6" w:cs="ff6"/>
          <w:color w:val="000000"/>
        </w:rPr>
        <w:t>”</w:t>
      </w:r>
      <w:r w:rsidRPr="000907B9">
        <w:rPr>
          <w:rFonts w:ascii="ff4" w:eastAsia="ff4" w:hAnsi="ff4" w:cs="ff4"/>
          <w:color w:val="000000"/>
        </w:rPr>
        <w:t xml:space="preserve">  In  Electronics  and  Communication  Systems  (ICECS), 2015  2nd  International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Conference on, pp. 818-822. IEEE,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[7]  Sruthi  Upendran,  Thamizharasi.  A,</w:t>
      </w:r>
      <w:r w:rsidRPr="000907B9">
        <w:rPr>
          <w:rFonts w:ascii="ff6" w:eastAsia="ff6" w:hAnsi="ff6" w:cs="ff6"/>
          <w:color w:val="000000"/>
        </w:rPr>
        <w:t>”</w:t>
      </w:r>
      <w:r w:rsidRPr="000907B9">
        <w:rPr>
          <w:rFonts w:ascii="ff4" w:eastAsia="ff4" w:hAnsi="ff4" w:cs="ff4"/>
          <w:color w:val="000000"/>
        </w:rPr>
        <w:t xml:space="preserve">  American  Sign  Language  Interpreter  System  for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Deaf  and  Dumb  Indivi</w:t>
      </w:r>
      <w:r w:rsidRPr="000907B9">
        <w:rPr>
          <w:rFonts w:ascii="ff4" w:eastAsia="ff4" w:hAnsi="ff4" w:cs="ff4"/>
          <w:color w:val="000000"/>
        </w:rPr>
        <w:t>duals</w:t>
      </w:r>
      <w:r w:rsidRPr="000907B9">
        <w:rPr>
          <w:rFonts w:ascii="ff6" w:eastAsia="ff6" w:hAnsi="ff6" w:cs="ff6"/>
          <w:color w:val="000000"/>
        </w:rPr>
        <w:t>”</w:t>
      </w:r>
      <w:r w:rsidRPr="000907B9">
        <w:rPr>
          <w:rFonts w:ascii="ff4" w:eastAsia="ff4" w:hAnsi="ff4" w:cs="ff4"/>
          <w:color w:val="000000"/>
        </w:rPr>
        <w:t xml:space="preserve">,  2014  International  Conference  on  Control,  Instrumentation,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Communication and Computa.</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[5]Kang, Byeongkeun, Subarna Tripathi, and Truong Q. Nguyen. </w:t>
      </w:r>
      <w:r w:rsidRPr="000907B9">
        <w:rPr>
          <w:rFonts w:ascii="ff6" w:eastAsia="ff6" w:hAnsi="ff6" w:cs="ff6"/>
          <w:color w:val="000000"/>
        </w:rPr>
        <w:t>”</w:t>
      </w:r>
      <w:r w:rsidRPr="000907B9">
        <w:rPr>
          <w:rFonts w:ascii="ff4" w:eastAsia="ff4" w:hAnsi="ff4" w:cs="ff4"/>
          <w:color w:val="000000"/>
        </w:rPr>
        <w:t xml:space="preserve">Real- time sign   language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fingerspelling  recognition  using  convolutional  neural  networ</w:t>
      </w:r>
      <w:r w:rsidRPr="000907B9">
        <w:rPr>
          <w:rFonts w:ascii="ff4" w:eastAsia="ff4" w:hAnsi="ff4" w:cs="ff4"/>
          <w:color w:val="000000"/>
        </w:rPr>
        <w:t>ks  from  depth  map.</w:t>
      </w:r>
      <w:r w:rsidRPr="000907B9">
        <w:rPr>
          <w:rFonts w:ascii="ff6" w:eastAsia="ff6" w:hAnsi="ff6" w:cs="ff6"/>
          <w:color w:val="000000"/>
        </w:rPr>
        <w:t>”</w:t>
      </w:r>
      <w:r w:rsidRPr="000907B9">
        <w:rPr>
          <w:rFonts w:ascii="ff4" w:eastAsia="ff4" w:hAnsi="ff4" w:cs="ff4"/>
          <w:color w:val="000000"/>
        </w:rPr>
        <w:t xml:space="preserve">  arXiv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preprint arXiv: 1509.03001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[6]  Suganya,  R.,  and  T.  Meeradevi.  </w:t>
      </w:r>
      <w:r w:rsidRPr="000907B9">
        <w:rPr>
          <w:rFonts w:ascii="ff6" w:eastAsia="ff6" w:hAnsi="ff6" w:cs="ff6"/>
          <w:color w:val="000000"/>
        </w:rPr>
        <w:t>”</w:t>
      </w:r>
      <w:r w:rsidRPr="000907B9">
        <w:rPr>
          <w:rFonts w:ascii="ff4" w:eastAsia="ff4" w:hAnsi="ff4" w:cs="ff4"/>
          <w:color w:val="000000"/>
        </w:rPr>
        <w:t xml:space="preserve">Design  of  a  communication  aid  for  phys-  ically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challenged.</w:t>
      </w:r>
      <w:r w:rsidRPr="000907B9">
        <w:rPr>
          <w:rFonts w:ascii="ff6" w:eastAsia="ff6" w:hAnsi="ff6" w:cs="ff6"/>
          <w:color w:val="000000"/>
        </w:rPr>
        <w:t>”</w:t>
      </w:r>
      <w:r w:rsidRPr="000907B9">
        <w:rPr>
          <w:rFonts w:ascii="ff4" w:eastAsia="ff4" w:hAnsi="ff4" w:cs="ff4"/>
          <w:color w:val="000000"/>
        </w:rPr>
        <w:t xml:space="preserve">  In  Electronics  and  Communication  Systems  (ICECS), 2015  2nd  International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Conference on, pp. 818-822. IEEE,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[7]  Sruthi  Upendran,  Thamizharasi.  A,</w:t>
      </w:r>
      <w:r w:rsidRPr="000907B9">
        <w:rPr>
          <w:rFonts w:ascii="ff6" w:eastAsia="ff6" w:hAnsi="ff6" w:cs="ff6"/>
          <w:color w:val="000000"/>
        </w:rPr>
        <w:t>”</w:t>
      </w:r>
      <w:r w:rsidRPr="000907B9">
        <w:rPr>
          <w:rFonts w:ascii="ff4" w:eastAsia="ff4" w:hAnsi="ff4" w:cs="ff4"/>
          <w:color w:val="000000"/>
        </w:rPr>
        <w:t xml:space="preserve">  American  Sign  Language  Interpreter  System  for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Deaf  and  Dumb  Individuals</w:t>
      </w:r>
      <w:r w:rsidRPr="000907B9">
        <w:rPr>
          <w:rFonts w:ascii="ff6" w:eastAsia="ff6" w:hAnsi="ff6" w:cs="ff6"/>
          <w:color w:val="000000"/>
        </w:rPr>
        <w:t>”</w:t>
      </w:r>
      <w:r w:rsidRPr="000907B9">
        <w:rPr>
          <w:rFonts w:ascii="ff4" w:eastAsia="ff4" w:hAnsi="ff4" w:cs="ff4"/>
          <w:color w:val="000000"/>
        </w:rPr>
        <w:t>,  2014</w:t>
      </w:r>
      <w:r w:rsidRPr="000907B9">
        <w:rPr>
          <w:rFonts w:ascii="ff4" w:eastAsia="ff4" w:hAnsi="ff4" w:cs="ff4"/>
          <w:color w:val="000000"/>
        </w:rPr>
        <w:t xml:space="preserve">  International  Conference  on  Control,  Instrumentation,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Communication and Computa.</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[5]Kang, Byeongkeun, Subarna Tripathi, and Truong Q. Nguyen. </w:t>
      </w:r>
      <w:r w:rsidRPr="000907B9">
        <w:rPr>
          <w:rFonts w:ascii="ff6" w:eastAsia="ff6" w:hAnsi="ff6" w:cs="ff6"/>
          <w:color w:val="000000"/>
        </w:rPr>
        <w:t>”</w:t>
      </w:r>
      <w:r w:rsidRPr="000907B9">
        <w:rPr>
          <w:rFonts w:ascii="ff4" w:eastAsia="ff4" w:hAnsi="ff4" w:cs="ff4"/>
          <w:color w:val="000000"/>
        </w:rPr>
        <w:t xml:space="preserve">Real- time sign   language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fingerspelling  recognition  using  convolutional  neural  networks  from  dep</w:t>
      </w:r>
      <w:r w:rsidRPr="000907B9">
        <w:rPr>
          <w:rFonts w:ascii="ff4" w:eastAsia="ff4" w:hAnsi="ff4" w:cs="ff4"/>
          <w:color w:val="000000"/>
        </w:rPr>
        <w:t>th  map.</w:t>
      </w:r>
      <w:r w:rsidRPr="000907B9">
        <w:rPr>
          <w:rFonts w:ascii="ff6" w:eastAsia="ff6" w:hAnsi="ff6" w:cs="ff6"/>
          <w:color w:val="000000"/>
        </w:rPr>
        <w:t>”</w:t>
      </w:r>
      <w:r w:rsidRPr="000907B9">
        <w:rPr>
          <w:rFonts w:ascii="ff4" w:eastAsia="ff4" w:hAnsi="ff4" w:cs="ff4"/>
          <w:color w:val="000000"/>
        </w:rPr>
        <w:t xml:space="preserve">  arXiv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lastRenderedPageBreak/>
        <w:t xml:space="preserve">preprint arXiv: 1509.03001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[6]  Suganya,  R.,  and  T.  Meeradevi.  </w:t>
      </w:r>
      <w:r w:rsidRPr="000907B9">
        <w:rPr>
          <w:rFonts w:ascii="ff6" w:eastAsia="ff6" w:hAnsi="ff6" w:cs="ff6"/>
          <w:color w:val="000000"/>
        </w:rPr>
        <w:t>”</w:t>
      </w:r>
      <w:r w:rsidRPr="000907B9">
        <w:rPr>
          <w:rFonts w:ascii="ff4" w:eastAsia="ff4" w:hAnsi="ff4" w:cs="ff4"/>
          <w:color w:val="000000"/>
        </w:rPr>
        <w:t xml:space="preserve">Design  of  a  communication  aid  for  phys-  ically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challenged.</w:t>
      </w:r>
      <w:r w:rsidRPr="000907B9">
        <w:rPr>
          <w:rFonts w:ascii="ff6" w:eastAsia="ff6" w:hAnsi="ff6" w:cs="ff6"/>
          <w:color w:val="000000"/>
        </w:rPr>
        <w:t>”</w:t>
      </w:r>
      <w:r w:rsidRPr="000907B9">
        <w:rPr>
          <w:rFonts w:ascii="ff4" w:eastAsia="ff4" w:hAnsi="ff4" w:cs="ff4"/>
          <w:color w:val="000000"/>
        </w:rPr>
        <w:t xml:space="preserve">  In  Electronics  and  Communication  Systems  (ICECS), 2015  2nd  International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 xml:space="preserve">Conference on, pp. 818-822. IEEE, 2015.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[7]  Sruthi  Upendran,  Thamizharasi.  A,</w:t>
      </w:r>
      <w:r w:rsidRPr="000907B9">
        <w:rPr>
          <w:rFonts w:ascii="ff6" w:eastAsia="ff6" w:hAnsi="ff6" w:cs="ff6"/>
          <w:color w:val="000000"/>
        </w:rPr>
        <w:t>”</w:t>
      </w:r>
      <w:r w:rsidRPr="000907B9">
        <w:rPr>
          <w:rFonts w:ascii="ff4" w:eastAsia="ff4" w:hAnsi="ff4" w:cs="ff4"/>
          <w:color w:val="000000"/>
        </w:rPr>
        <w:t xml:space="preserve">  American  Sign  Language  Interpreter  System  for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Deaf  and  Dumb  Individuals</w:t>
      </w:r>
      <w:r w:rsidRPr="000907B9">
        <w:rPr>
          <w:rFonts w:ascii="ff6" w:eastAsia="ff6" w:hAnsi="ff6" w:cs="ff6"/>
          <w:color w:val="000000"/>
        </w:rPr>
        <w:t>”</w:t>
      </w:r>
      <w:r w:rsidRPr="000907B9">
        <w:rPr>
          <w:rFonts w:ascii="ff4" w:eastAsia="ff4" w:hAnsi="ff4" w:cs="ff4"/>
          <w:color w:val="000000"/>
        </w:rPr>
        <w:t xml:space="preserve">,  2014  International  Conference  on  Control,  Instrumentation, </w:t>
      </w:r>
    </w:p>
    <w:p w:rsidR="005B4F47" w:rsidRPr="000907B9" w:rsidRDefault="000907B9">
      <w:pPr>
        <w:shd w:val="clear" w:color="auto" w:fill="FFFFFF"/>
        <w:spacing w:after="0"/>
        <w:jc w:val="both"/>
        <w:rPr>
          <w:rFonts w:ascii="ff4" w:eastAsia="ff4" w:hAnsi="ff4" w:cs="ff4"/>
          <w:color w:val="000000"/>
        </w:rPr>
      </w:pPr>
      <w:r w:rsidRPr="000907B9">
        <w:rPr>
          <w:rFonts w:ascii="ff4" w:eastAsia="ff4" w:hAnsi="ff4" w:cs="ff4"/>
          <w:color w:val="000000"/>
        </w:rPr>
        <w:t>Communication and Comp</w:t>
      </w:r>
      <w:r w:rsidRPr="000907B9">
        <w:rPr>
          <w:rFonts w:ascii="ff4" w:eastAsia="ff4" w:hAnsi="ff4" w:cs="ff4"/>
          <w:color w:val="000000"/>
        </w:rPr>
        <w:t>uta.</w:t>
      </w:r>
    </w:p>
    <w:p w:rsidR="005B4F47" w:rsidRPr="000907B9" w:rsidRDefault="000907B9">
      <w:pPr>
        <w:spacing w:after="0"/>
        <w:jc w:val="both"/>
      </w:pPr>
      <w:r w:rsidRPr="000907B9">
        <w:t xml:space="preserve">[8] Satwik Ram Kodandaram, Sunil Gl, N. Pavan Kumar. „Sign Language Recognition“. Turkish Journal of Computer and Mathematics Education (TURCOMAT) (2021) </w:t>
      </w:r>
      <w:hyperlink r:id="rId28">
        <w:r w:rsidRPr="000907B9">
          <w:rPr>
            <w:color w:val="0563C1"/>
            <w:u w:val="single"/>
          </w:rPr>
          <w:t>h</w:t>
        </w:r>
        <w:r w:rsidRPr="000907B9">
          <w:rPr>
            <w:color w:val="0563C1"/>
            <w:u w:val="single"/>
          </w:rPr>
          <w:t>ttps://www.researchgate.net/publication/353141966_Sign_Language_Recognition</w:t>
        </w:r>
      </w:hyperlink>
    </w:p>
    <w:p w:rsidR="005B4F47" w:rsidRPr="000907B9" w:rsidRDefault="000907B9">
      <w:pPr>
        <w:spacing w:after="0"/>
        <w:jc w:val="both"/>
      </w:pPr>
      <w:r w:rsidRPr="000907B9">
        <w:t>[9] Dutta, K.K., Bellary, S.A.S.: Machine Learning Techniques for Indian Sign Language Recognition. Int. Conf. Curr. Trends Comput. Electr. Electron. Commun. CTCEEC 2017. 333–336 (</w:t>
      </w:r>
      <w:r w:rsidRPr="000907B9">
        <w:t xml:space="preserve">2018). </w:t>
      </w:r>
      <w:hyperlink r:id="rId29">
        <w:r w:rsidRPr="000907B9">
          <w:rPr>
            <w:color w:val="0563C1"/>
            <w:u w:val="single"/>
          </w:rPr>
          <w:t>https://doi.org/10.1109/CTCEEC.2017.8454988</w:t>
        </w:r>
      </w:hyperlink>
    </w:p>
    <w:p w:rsidR="005B4F47" w:rsidRPr="000907B9" w:rsidRDefault="000907B9">
      <w:pPr>
        <w:pBdr>
          <w:top w:val="nil"/>
          <w:left w:val="nil"/>
          <w:bottom w:val="nil"/>
          <w:right w:val="nil"/>
          <w:between w:val="nil"/>
        </w:pBdr>
        <w:shd w:val="clear" w:color="auto" w:fill="FFFFFF"/>
        <w:spacing w:after="0" w:line="240" w:lineRule="auto"/>
        <w:jc w:val="both"/>
        <w:rPr>
          <w:color w:val="000000"/>
        </w:rPr>
      </w:pPr>
      <w:r w:rsidRPr="000907B9">
        <w:rPr>
          <w:color w:val="000000"/>
        </w:rPr>
        <w:t>[10]</w:t>
      </w:r>
      <w:r w:rsidRPr="000907B9">
        <w:rPr>
          <w:rFonts w:ascii="Times New Roman" w:eastAsia="Times New Roman" w:hAnsi="Times New Roman" w:cs="Times New Roman"/>
          <w:color w:val="000000"/>
        </w:rPr>
        <w:t xml:space="preserve"> </w:t>
      </w:r>
      <w:r w:rsidRPr="000907B9">
        <w:rPr>
          <w:color w:val="000000"/>
        </w:rPr>
        <w:t>Mandeep Kaur Ahuja, Amardeep Singh, Hand Gesture Recognition Using PCA, International Journal of Computer Science Engineering and Technol</w:t>
      </w:r>
      <w:r w:rsidRPr="000907B9">
        <w:rPr>
          <w:color w:val="000000"/>
        </w:rPr>
        <w:t xml:space="preserve">ogy (IJCSET), Volume 5, Issue 7, pp. 267-27,  (2015) </w:t>
      </w:r>
      <w:hyperlink r:id="rId30">
        <w:r w:rsidRPr="000907B9">
          <w:rPr>
            <w:color w:val="0563C1"/>
            <w:u w:val="single"/>
          </w:rPr>
          <w:t>http://ijcset.net/docs/Volumes/volume5issue7/ijcset2015050714.pdf</w:t>
        </w:r>
      </w:hyperlink>
    </w:p>
    <w:p w:rsidR="005B4F47" w:rsidRPr="000907B9" w:rsidRDefault="000907B9">
      <w:pPr>
        <w:pBdr>
          <w:top w:val="nil"/>
          <w:left w:val="nil"/>
          <w:bottom w:val="nil"/>
          <w:right w:val="nil"/>
          <w:between w:val="nil"/>
        </w:pBdr>
        <w:shd w:val="clear" w:color="auto" w:fill="FFFFFF"/>
        <w:spacing w:after="0" w:line="240" w:lineRule="auto"/>
        <w:jc w:val="both"/>
        <w:rPr>
          <w:color w:val="000000"/>
        </w:rPr>
      </w:pPr>
      <w:r w:rsidRPr="000907B9">
        <w:rPr>
          <w:color w:val="000000"/>
        </w:rPr>
        <w:t>[11] Nakul Nagpal,Dr. Arun Mitra.,Dr. Pankaj Agrawal, Design Issue and Proposed Implementation of Communication Aid for Deaf &amp; Dumb People, International Journal on Recent and Innovation Trends in Computing and Communication ,Volume: 3 Issue: 5,pp- 147 149</w:t>
      </w:r>
      <w:r w:rsidRPr="000907B9">
        <w:rPr>
          <w:color w:val="000000"/>
        </w:rPr>
        <w:t xml:space="preserve">. </w:t>
      </w:r>
      <w:hyperlink r:id="rId31">
        <w:r w:rsidRPr="000907B9">
          <w:rPr>
            <w:color w:val="0563C1"/>
            <w:u w:val="single"/>
          </w:rPr>
          <w:t>https://www.researchgate.net/publication/351358081_Design_Issue_and_Proposed_Implementation_of_Commun</w:t>
        </w:r>
        <w:r w:rsidRPr="000907B9">
          <w:rPr>
            <w:color w:val="0563C1"/>
            <w:u w:val="single"/>
          </w:rPr>
          <w:t>ication_Aid_for_Deaf_Dumb_People</w:t>
        </w:r>
      </w:hyperlink>
    </w:p>
    <w:p w:rsidR="005B4F47" w:rsidRPr="000907B9" w:rsidRDefault="000907B9">
      <w:pPr>
        <w:spacing w:after="0"/>
        <w:jc w:val="both"/>
      </w:pPr>
      <w:r w:rsidRPr="000907B9">
        <w:t xml:space="preserve">[12] Ashish Sethi, Hemanth S,Kuldeep Kumar, Bhaskara Rao N,Krishnan R, SignPro-An Application Suite for Deaf and Dumb, (2012), </w:t>
      </w:r>
      <w:hyperlink r:id="rId32">
        <w:r w:rsidRPr="000907B9">
          <w:rPr>
            <w:color w:val="0563C1"/>
            <w:u w:val="single"/>
          </w:rPr>
          <w:t>https://citeseerx.ist.psu.edu/document?repid=rep1&amp;type=pdf&amp;doi=d9663fbea941b3d1feba14d467f461eae744c33b</w:t>
        </w:r>
      </w:hyperlink>
    </w:p>
    <w:sectPr w:rsidR="005B4F47" w:rsidRPr="000907B9">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f4">
    <w:altName w:val="Times New Roman"/>
    <w:charset w:val="00"/>
    <w:family w:val="auto"/>
    <w:pitch w:val="default"/>
  </w:font>
  <w:font w:name="ff6">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A65F54"/>
    <w:multiLevelType w:val="multilevel"/>
    <w:tmpl w:val="EC10B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D0426E"/>
    <w:multiLevelType w:val="multilevel"/>
    <w:tmpl w:val="5CE04FAE"/>
    <w:lvl w:ilvl="0">
      <w:start w:val="1"/>
      <w:numFmt w:val="decimal"/>
      <w:lvlText w:val="%1."/>
      <w:lvlJc w:val="left"/>
      <w:pPr>
        <w:ind w:left="64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F47"/>
    <w:rsid w:val="000907B9"/>
    <w:rsid w:val="005B4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DD7871-511A-492A-8D8A-B5C7C56B8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TMLPreformatted">
    <w:name w:val="HTML Preformatted"/>
    <w:basedOn w:val="Normal"/>
    <w:link w:val="HTMLPreformattedChar"/>
    <w:uiPriority w:val="99"/>
    <w:unhideWhenUsed/>
    <w:rsid w:val="00BB4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RS"/>
    </w:rPr>
  </w:style>
  <w:style w:type="character" w:customStyle="1" w:styleId="HTMLPreformattedChar">
    <w:name w:val="HTML Preformatted Char"/>
    <w:basedOn w:val="DefaultParagraphFont"/>
    <w:link w:val="HTMLPreformatted"/>
    <w:uiPriority w:val="99"/>
    <w:rsid w:val="00BB4918"/>
    <w:rPr>
      <w:rFonts w:ascii="Courier New" w:eastAsia="Times New Roman" w:hAnsi="Courier New" w:cs="Courier New"/>
      <w:sz w:val="20"/>
      <w:szCs w:val="20"/>
      <w:lang w:eastAsia="sr-Latn-RS"/>
    </w:rPr>
  </w:style>
  <w:style w:type="character" w:customStyle="1" w:styleId="y2iqfc">
    <w:name w:val="y2iqfc"/>
    <w:basedOn w:val="DefaultParagraphFont"/>
    <w:rsid w:val="00BB4918"/>
  </w:style>
  <w:style w:type="character" w:styleId="Hyperlink">
    <w:name w:val="Hyperlink"/>
    <w:basedOn w:val="DefaultParagraphFont"/>
    <w:uiPriority w:val="99"/>
    <w:unhideWhenUsed/>
    <w:rsid w:val="001874DC"/>
    <w:rPr>
      <w:color w:val="0563C1" w:themeColor="hyperlink"/>
      <w:u w:val="single"/>
    </w:rPr>
  </w:style>
  <w:style w:type="character" w:customStyle="1" w:styleId="1">
    <w:name w:val="Неразрешено помињање1"/>
    <w:basedOn w:val="DefaultParagraphFont"/>
    <w:uiPriority w:val="99"/>
    <w:semiHidden/>
    <w:unhideWhenUsed/>
    <w:rsid w:val="001874DC"/>
    <w:rPr>
      <w:color w:val="605E5C"/>
      <w:shd w:val="clear" w:color="auto" w:fill="E1DFDD"/>
    </w:rPr>
  </w:style>
  <w:style w:type="paragraph" w:styleId="NormalWeb">
    <w:name w:val="Normal (Web)"/>
    <w:basedOn w:val="Normal"/>
    <w:uiPriority w:val="99"/>
    <w:unhideWhenUsed/>
    <w:rsid w:val="00D6445E"/>
    <w:pPr>
      <w:spacing w:before="100" w:beforeAutospacing="1" w:after="100" w:afterAutospacing="1" w:line="240" w:lineRule="auto"/>
    </w:pPr>
    <w:rPr>
      <w:rFonts w:ascii="Times New Roman" w:eastAsia="Times New Roman" w:hAnsi="Times New Roman" w:cs="Times New Roman"/>
      <w:sz w:val="24"/>
      <w:szCs w:val="24"/>
      <w:lang w:eastAsia="sr-Latn-RS"/>
    </w:rPr>
  </w:style>
  <w:style w:type="paragraph" w:styleId="ListParagraph">
    <w:name w:val="List Paragraph"/>
    <w:basedOn w:val="Normal"/>
    <w:uiPriority w:val="34"/>
    <w:qFormat/>
    <w:rsid w:val="00392417"/>
    <w:pPr>
      <w:ind w:left="720"/>
      <w:contextualSpacing/>
    </w:pPr>
  </w:style>
  <w:style w:type="paragraph" w:styleId="Caption">
    <w:name w:val="caption"/>
    <w:basedOn w:val="Normal"/>
    <w:next w:val="Normal"/>
    <w:uiPriority w:val="35"/>
    <w:unhideWhenUsed/>
    <w:qFormat/>
    <w:rsid w:val="007A6026"/>
    <w:pPr>
      <w:spacing w:after="200" w:line="240" w:lineRule="auto"/>
    </w:pPr>
    <w:rPr>
      <w:i/>
      <w:iCs/>
      <w:color w:val="44546A" w:themeColor="text2"/>
      <w:sz w:val="18"/>
      <w:szCs w:val="18"/>
    </w:rPr>
  </w:style>
  <w:style w:type="paragraph" w:styleId="CommentText">
    <w:name w:val="annotation text"/>
    <w:basedOn w:val="Normal"/>
    <w:link w:val="CommentTextChar"/>
    <w:uiPriority w:val="99"/>
    <w:unhideWhenUsed/>
    <w:rsid w:val="00AC0A85"/>
    <w:pPr>
      <w:spacing w:line="240" w:lineRule="auto"/>
    </w:pPr>
    <w:rPr>
      <w:sz w:val="20"/>
      <w:szCs w:val="20"/>
    </w:rPr>
  </w:style>
  <w:style w:type="character" w:customStyle="1" w:styleId="CommentTextChar">
    <w:name w:val="Comment Text Char"/>
    <w:basedOn w:val="DefaultParagraphFont"/>
    <w:link w:val="CommentText"/>
    <w:uiPriority w:val="99"/>
    <w:rsid w:val="00AC0A85"/>
    <w:rPr>
      <w:sz w:val="20"/>
      <w:szCs w:val="20"/>
    </w:rPr>
  </w:style>
  <w:style w:type="character" w:customStyle="1" w:styleId="UnresolvedMention">
    <w:name w:val="Unresolved Mention"/>
    <w:basedOn w:val="DefaultParagraphFont"/>
    <w:uiPriority w:val="99"/>
    <w:semiHidden/>
    <w:unhideWhenUsed/>
    <w:rsid w:val="0019554E"/>
    <w:rPr>
      <w:color w:val="605E5C"/>
      <w:shd w:val="clear" w:color="auto" w:fill="E1DFDD"/>
    </w:rPr>
  </w:style>
  <w:style w:type="character" w:customStyle="1" w:styleId="a">
    <w:name w:val="_"/>
    <w:basedOn w:val="DefaultParagraphFont"/>
    <w:rsid w:val="00023D67"/>
  </w:style>
  <w:style w:type="character" w:customStyle="1" w:styleId="ff6">
    <w:name w:val="ff6"/>
    <w:basedOn w:val="DefaultParagraphFont"/>
    <w:rsid w:val="00023D67"/>
  </w:style>
  <w:style w:type="character" w:customStyle="1" w:styleId="ws7">
    <w:name w:val="ws7"/>
    <w:basedOn w:val="DefaultParagraphFont"/>
    <w:rsid w:val="00023D67"/>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hyperlink" Target="https://towardsdatascience.com/sign-language-recognition-with-advanced-computer-vision-7b74f20f3442"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datasets/datamunge/sign-language-mnis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yperlink" Target="https://doi.org/10.1109/CTCEEC.2017.845498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code/madz2000/cnn-using-keras-100-accuracy" TargetMode="External"/><Relationship Id="rId32" Type="http://schemas.openxmlformats.org/officeDocument/2006/relationships/hyperlink" Target="https://citeseerx.ist.psu.edu/document?repid=rep1&amp;type=pdf&amp;doi=d9663fbea941b3d1feba14d467f461eae744c33b"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ahmedkhanak1995/sign-language-gesture-images-dataset" TargetMode="External"/><Relationship Id="rId28" Type="http://schemas.openxmlformats.org/officeDocument/2006/relationships/hyperlink" Target="https://www.researchgate.net/publication/353141966_Sign_Language_Recogni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researchgate.net/publication/351358081_Design_Issue_and_Proposed_Implementation_of_Communication_Aid_for_Deaf_Dumb_Peop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drive/folders/1sH0DN4EX7ZPMTUtDWPqoL44a_Y_8BXQO" TargetMode="External"/><Relationship Id="rId27" Type="http://schemas.openxmlformats.org/officeDocument/2006/relationships/hyperlink" Target="https://digitalcommons.kennesaw.edu/cgi/viewcontent.cgi?article=1024&amp;context=cs_etd" TargetMode="External"/><Relationship Id="rId30" Type="http://schemas.openxmlformats.org/officeDocument/2006/relationships/hyperlink" Target="http://ijcset.net/docs/Volumes/volume5issue7/ijcset2015050714.pdf"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J7PnWsl/tr6kWSGb4Tv+6vMVw==">CgMxLjAyCGguZ2pkZ3hzMgloLjMwajB6bGwyCWguMWZvYjl0ZTIJaC4zem55c2g3MgloLjJldDkycDAyCGgudHlqY3d0MgloLjNkeTZ2a204AHIhMXFhNTRCQVhqZE1yNF9KLWg5UGV6dkxOUGJBdmZIRWN0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2986</Words>
  <Characters>17025</Characters>
  <Application>Microsoft Office Word</Application>
  <DocSecurity>0</DocSecurity>
  <Lines>141</Lines>
  <Paragraphs>39</Paragraphs>
  <ScaleCrop>false</ScaleCrop>
  <Company/>
  <LinksUpToDate>false</LinksUpToDate>
  <CharactersWithSpaces>19972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Nevena Bojovic</dc:creator>
  <cp:lastModifiedBy>Snežana</cp:lastModifiedBy>
  <cp:revision>2</cp:revision>
  <dcterms:created xsi:type="dcterms:W3CDTF">2023-01-20T13:25:00Z</dcterms:created>
  <dcterms:modified xsi:type="dcterms:W3CDTF">2024-03-15T10:39:00Z</dcterms:modified>
</cp:coreProperties>
</file>