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Xc1c052c9f9d0f9f8e2af052070dbcfdd038b1f9"/>
    <w:p>
      <w:pPr>
        <w:pStyle w:val="Heading1"/>
      </w:pPr>
      <w:r>
        <w:rPr>
          <w:rFonts w:ascii="Arial" w:hAnsi="Arial"/>
        </w:rPr>
        <w:t xml:space="preserve">Pfizer-only Cortef vials anchor Symbiotec's DCV case</w:t>
      </w:r>
    </w:p>
    <w:p>
      <w:pPr>
        <w:pStyle w:val="FirstParagraph"/>
      </w:pPr>
      <w:r>
        <w:rPr>
          <w:iCs/>
          <w:rFonts w:ascii="Arial" w:hAnsi="Arial"/>
          <w:i/>
        </w:rPr>
        <w:t xml:space="preserve">As of 21 October 2026. Prepared for a sell-side analyst covering Symbiotec Pharmalab. Every factual claim links to its source. "Our calculation" marks figures we derived from the linked dataset. "Inference" marks our reading of the data, not a disclosed fact. All links were checked and opened on 21 October 2026. SEC EDGAR links open in a browser, but EDGAR refuses scripts that do not identify themselves. Every calculation is rebuilt with live formulas in the companion workbook "Symbiotec DCV calculations.xlsx". Its Report_Map sheet links each figure quoted here to the cell that calculates it.</w:t>
      </w:r>
    </w:p>
    <w:p>
      <w:pPr>
        <w:pStyle w:val="BodyText"/>
      </w:pPr>
      <w:r>
        <w:rPr>
          <w:rFonts w:ascii="Arial" w:hAnsi="Arial"/>
        </w:rPr>
        <w:t xml:space="preserve">The view that "Medrol is crowded, Cortef is not" holds, but each half needs a qualifier.</w:t>
      </w:r>
    </w:p>
    <w:p>
      <w:pPr>
        <w:pStyle w:val="BodyText"/>
      </w:pPr>
      <w:r>
        <w:rPr>
          <w:bCs/>
          <w:rFonts w:ascii="Arial" w:hAnsi="Arial"/>
          <w:b/>
        </w:rPr>
        <w:t xml:space="preserve">Generic Solu-Medrol (methylprednisolone sodium succinate, MPSS):</w:t>
      </w:r>
    </w:p>
    <w:p>
      <w:pPr>
        <w:numPr>
          <w:ilvl w:val="0"/>
          <w:numId w:val="1001"/>
        </w:numPr>
        <w:pStyle w:val="Compact"/>
      </w:pPr>
      <w:r>
        <w:rPr>
          <w:bCs/>
          <w:rFonts w:ascii="Arial" w:hAnsi="Arial"/>
          <w:b/>
        </w:rPr>
        <w:t xml:space="preserve">Approvals vs sellers:</w:t>
      </w:r>
      <w:r>
        <w:rPr>
          <w:rFonts w:ascii="Arial" w:hAnsi="Arial"/>
        </w:rPr>
        <w:t xml:space="preserve"> </w:t>
      </w:r>
      <w:r>
        <w:rPr>
          <w:rFonts w:ascii="Arial" w:hAnsi="Arial"/>
        </w:rPr>
        <w:t xml:space="preserve">five active ANDA holders (</w:t>
      </w:r>
      <w:hyperlink r:id="rId20">
        <w:r>
          <w:rPr>
            <w:rStyle w:val="Hyperlink"/>
          </w:rPr>
          <w:t xml:space="preserve">Orange Book</w:t>
        </w:r>
      </w:hyperlink>
      <w:r>
        <w:rPr>
          <w:rFonts w:ascii="Arial" w:hAnsi="Arial"/>
        </w:rPr>
        <w:t xml:space="preserve">) and seven listed generic labelers (</w:t>
      </w:r>
      <w:hyperlink r:id="rId21">
        <w:r>
          <w:rPr>
            <w:rStyle w:val="Hyperlink"/>
          </w:rPr>
          <w:t xml:space="preserve">openFDA NDC, MPSS</w:t>
        </w:r>
      </w:hyperlink>
      <w:r>
        <w:rPr>
          <w:rFonts w:ascii="Arial" w:hAnsi="Arial"/>
        </w:rPr>
        <w:t xml:space="preserve">). Only</w:t>
      </w:r>
      <w:r>
        <w:rPr>
          <w:rFonts w:ascii="Arial" w:hAnsi="Arial"/>
        </w:rPr>
        <w:t xml:space="preserve"> </w:t>
      </w:r>
      <w:r>
        <w:rPr>
          <w:bCs/>
          <w:rFonts w:ascii="Arial" w:hAnsi="Arial"/>
          <w:b/>
        </w:rPr>
        <w:t xml:space="preserve">four generic labelers actually report ASP</w:t>
      </w:r>
      <w:r>
        <w:rPr>
          <w:rFonts w:ascii="Arial" w:hAnsi="Arial"/>
        </w:rPr>
        <w:t xml:space="preserve"> </w:t>
      </w:r>
      <w:r>
        <w:rPr>
          <w:rFonts w:ascii="Arial" w:hAnsi="Arial"/>
        </w:rPr>
        <w:t xml:space="preserve">(</w:t>
      </w:r>
      <w:hyperlink r:id="rId22">
        <w:r>
          <w:rPr>
            <w:rStyle w:val="Hyperlink"/>
          </w:rPr>
          <w:t xml:space="preserve">CMS Oct 2026 crosswalk</w:t>
        </w:r>
      </w:hyperlink>
      <w:r>
        <w:rPr>
          <w:rFonts w:ascii="Arial" w:hAnsi="Arial"/>
        </w:rPr>
        <w:t xml:space="preserve">):</w:t>
      </w:r>
    </w:p>
    <w:p>
      <w:pPr>
        <w:numPr>
          <w:ilvl w:val="1"/>
          <w:numId w:val="1002"/>
        </w:numPr>
        <w:pStyle w:val="Compact"/>
      </w:pPr>
      <w:r>
        <w:rPr>
          <w:rFonts w:ascii="Arial" w:hAnsi="Arial"/>
        </w:rPr>
        <w:t xml:space="preserve">Dr. Reddy's, selling under Tianjin Kingyork's ANDA (</w:t>
      </w:r>
      <w:hyperlink r:id="rId23">
        <w:r>
          <w:rPr>
            <w:rStyle w:val="Hyperlink"/>
          </w:rPr>
          <w:t xml:space="preserve">DRL label</w:t>
        </w:r>
      </w:hyperlink>
      <w:r>
        <w:rPr>
          <w:rFonts w:ascii="Arial" w:hAnsi="Arial"/>
        </w:rPr>
        <w:t xml:space="preserve">)</w:t>
      </w:r>
    </w:p>
    <w:p>
      <w:pPr>
        <w:numPr>
          <w:ilvl w:val="1"/>
          <w:numId w:val="1002"/>
        </w:numPr>
        <w:pStyle w:val="Compact"/>
      </w:pPr>
      <w:r>
        <w:rPr>
          <w:rFonts w:ascii="Arial" w:hAnsi="Arial"/>
        </w:rPr>
        <w:t xml:space="preserve">Fresenius Kabi</w:t>
      </w:r>
    </w:p>
    <w:p>
      <w:pPr>
        <w:numPr>
          <w:ilvl w:val="1"/>
          <w:numId w:val="1002"/>
        </w:numPr>
        <w:pStyle w:val="Compact"/>
      </w:pPr>
      <w:r>
        <w:rPr>
          <w:rFonts w:ascii="Arial" w:hAnsi="Arial"/>
        </w:rPr>
        <w:t xml:space="preserve">Hikma</w:t>
      </w:r>
    </w:p>
    <w:p>
      <w:pPr>
        <w:numPr>
          <w:ilvl w:val="1"/>
          <w:numId w:val="1002"/>
        </w:numPr>
        <w:pStyle w:val="Compact"/>
      </w:pPr>
      <w:r>
        <w:rPr>
          <w:rFonts w:ascii="Arial" w:hAnsi="Arial"/>
        </w:rPr>
        <w:t xml:space="preserve">Civica, selling under Hikma's ANDA (</w:t>
      </w:r>
      <w:hyperlink r:id="rId24">
        <w:r>
          <w:rPr>
            <w:rStyle w:val="Hyperlink"/>
          </w:rPr>
          <w:t xml:space="preserve">Civica label</w:t>
        </w:r>
      </w:hyperlink>
      <w:r>
        <w:rPr>
          <w:rFonts w:ascii="Arial" w:hAnsi="Arial"/>
        </w:rPr>
        <w:t xml:space="preserve">)</w:t>
      </w:r>
    </w:p>
    <w:p>
      <w:pPr>
        <w:numPr>
          <w:ilvl w:val="0"/>
          <w:numId w:val="1001"/>
        </w:numPr>
        <w:pStyle w:val="Compact"/>
      </w:pPr>
      <w:r>
        <w:rPr>
          <w:bCs/>
          <w:rFonts w:ascii="Arial" w:hAnsi="Arial"/>
          <w:b/>
        </w:rPr>
        <w:t xml:space="preserve">No new approvals:</w:t>
      </w:r>
      <w:r>
        <w:rPr>
          <w:rFonts w:ascii="Arial" w:hAnsi="Arial"/>
        </w:rPr>
        <w:t xml:space="preserve"> </w:t>
      </w:r>
      <w:r>
        <w:rPr>
          <w:rFonts w:ascii="Arial" w:hAnsi="Arial"/>
        </w:rPr>
        <w:t xml:space="preserve">no MPSS ANDA has been approved since September 2022 (</w:t>
      </w:r>
      <w:hyperlink r:id="rId20">
        <w:r>
          <w:rPr>
            <w:rStyle w:val="Hyperlink"/>
          </w:rPr>
          <w:t xml:space="preserve">Orange Book</w:t>
        </w:r>
      </w:hyperlink>
      <w:r>
        <w:rPr>
          <w:rFonts w:ascii="Arial" w:hAnsi="Arial"/>
        </w:rPr>
        <w:t xml:space="preserve">).</w:t>
      </w:r>
    </w:p>
    <w:p>
      <w:pPr>
        <w:numPr>
          <w:ilvl w:val="0"/>
          <w:numId w:val="1001"/>
        </w:numPr>
        <w:pStyle w:val="Compact"/>
      </w:pPr>
      <w:r>
        <w:rPr>
          <w:bCs/>
          <w:rFonts w:ascii="Arial" w:hAnsi="Arial"/>
          <w:b/>
        </w:rPr>
        <w:t xml:space="preserve">Brand share:</w:t>
      </w:r>
      <w:r>
        <w:rPr>
          <w:rFonts w:ascii="Arial" w:hAnsi="Arial"/>
        </w:rPr>
        <w:t xml:space="preserve"> </w:t>
      </w:r>
      <w:r>
        <w:rPr>
          <w:rFonts w:ascii="Arial" w:hAnsi="Arial"/>
        </w:rPr>
        <w:t xml:space="preserve">Pfizer still writes</w:t>
      </w:r>
      <w:r>
        <w:rPr>
          <w:rFonts w:ascii="Arial" w:hAnsi="Arial"/>
        </w:rPr>
        <w:t xml:space="preserve"> </w:t>
      </w:r>
      <w:r>
        <w:rPr>
          <w:bCs/>
          <w:rFonts w:ascii="Arial" w:hAnsi="Arial"/>
          <w:b/>
        </w:rPr>
        <w:t xml:space="preserve">~74% of Medicaid MPSS prescriptions</w:t>
      </w:r>
      <w:r>
        <w:rPr>
          <w:rFonts w:ascii="Arial" w:hAnsi="Arial"/>
        </w:rPr>
        <w:t xml:space="preserve"> </w:t>
      </w:r>
      <w:r>
        <w:rPr>
          <w:rFonts w:ascii="Arial" w:hAnsi="Arial"/>
        </w:rPr>
        <w:t xml:space="preserve">(our calculation from</w:t>
      </w:r>
      <w:r>
        <w:rPr>
          <w:rFonts w:ascii="Arial" w:hAnsi="Arial"/>
        </w:rPr>
        <w:t xml:space="preserve"> </w:t>
      </w:r>
      <w:hyperlink r:id="rId25">
        <w:r>
          <w:rPr>
            <w:rStyle w:val="Hyperlink"/>
          </w:rPr>
          <w:t xml:space="preserve">SDUD 2026</w:t>
        </w:r>
      </w:hyperlink>
      <w:r>
        <w:rPr>
          <w:rFonts w:ascii="Arial" w:hAnsi="Arial"/>
        </w:rPr>
        <w:t xml:space="preserve">).</w:t>
      </w:r>
    </w:p>
    <w:p>
      <w:pPr>
        <w:numPr>
          <w:ilvl w:val="0"/>
          <w:numId w:val="1001"/>
        </w:numPr>
        <w:pStyle w:val="Compact"/>
      </w:pPr>
      <w:r>
        <w:rPr>
          <w:bCs/>
          <w:rFonts w:ascii="Arial" w:hAnsi="Arial"/>
          <w:b/>
        </w:rPr>
        <w:t xml:space="preserve">Price:</w:t>
      </w:r>
      <w:r>
        <w:rPr>
          <w:rFonts w:ascii="Arial" w:hAnsi="Arial"/>
        </w:rPr>
        <w:t xml:space="preserve"> </w:t>
      </w:r>
      <w:r>
        <w:rPr>
          <w:rFonts w:ascii="Arial" w:hAnsi="Arial"/>
        </w:rPr>
        <w:t xml:space="preserve">the Part B ASP per 125 mg vial peaked at</w:t>
      </w:r>
      <w:r>
        <w:rPr>
          <w:rFonts w:ascii="Arial" w:hAnsi="Arial"/>
        </w:rPr>
        <w:t xml:space="preserve"> </w:t>
      </w:r>
      <w:r>
        <w:rPr>
          <w:bCs/>
          <w:rFonts w:ascii="Arial" w:hAnsi="Arial"/>
          <w:b/>
        </w:rPr>
        <w:t xml:space="preserve">US$6.57 in Q3 2018</w:t>
      </w:r>
      <w:r>
        <w:rPr>
          <w:rFonts w:ascii="Arial" w:hAnsi="Arial"/>
        </w:rPr>
        <w:t xml:space="preserve"> </w:t>
      </w:r>
      <w:r>
        <w:rPr>
          <w:rFonts w:ascii="Arial" w:hAnsi="Arial"/>
        </w:rPr>
        <w:t xml:space="preserve">under the old J2930 code and is</w:t>
      </w:r>
      <w:r>
        <w:rPr>
          <w:rFonts w:ascii="Arial" w:hAnsi="Arial"/>
        </w:rPr>
        <w:t xml:space="preserve"> </w:t>
      </w:r>
      <w:r>
        <w:rPr>
          <w:bCs/>
          <w:rFonts w:ascii="Arial" w:hAnsi="Arial"/>
          <w:b/>
        </w:rPr>
        <w:t xml:space="preserve">US$6.01 in Q4 2026</w:t>
      </w:r>
      <w:r>
        <w:rPr>
          <w:rFonts w:ascii="Arial" w:hAnsi="Arial"/>
        </w:rPr>
        <w:t xml:space="preserve">. On the blended J2919 code used since April 2024, it touched US$7.17 in Q4 2024 (our calculation from</w:t>
      </w:r>
      <w:r>
        <w:rPr>
          <w:rFonts w:ascii="Arial" w:hAnsi="Arial"/>
        </w:rPr>
        <w:t xml:space="preserve"> </w:t>
      </w:r>
      <w:hyperlink r:id="rId26">
        <w:r>
          <w:rPr>
            <w:rStyle w:val="Hyperlink"/>
          </w:rPr>
          <w:t xml:space="preserve">CMS ASP files</w:t>
        </w:r>
      </w:hyperlink>
      <w:r>
        <w:rPr>
          <w:rFonts w:ascii="Arial" w:hAnsi="Arial"/>
        </w:rPr>
        <w:t xml:space="preserve">). Generic 125 mg vials acquire at</w:t>
      </w:r>
      <w:r>
        <w:rPr>
          <w:rFonts w:ascii="Arial" w:hAnsi="Arial"/>
        </w:rPr>
        <w:t xml:space="preserve"> </w:t>
      </w:r>
      <w:r>
        <w:rPr>
          <w:bCs/>
          <w:rFonts w:ascii="Arial" w:hAnsi="Arial"/>
          <w:b/>
        </w:rPr>
        <w:t xml:space="preserve">US$3.27</w:t>
      </w:r>
      <w:r>
        <w:rPr>
          <w:rFonts w:ascii="Arial" w:hAnsi="Arial"/>
        </w:rPr>
        <w:t xml:space="preserve"> </w:t>
      </w:r>
      <w:r>
        <w:rPr>
          <w:rFonts w:ascii="Arial" w:hAnsi="Arial"/>
        </w:rPr>
        <w:t xml:space="preserve">(</w:t>
      </w:r>
      <w:hyperlink r:id="rId27">
        <w:r>
          <w:rPr>
            <w:rStyle w:val="Hyperlink"/>
          </w:rPr>
          <w:t xml:space="preserve">NADAC 2026</w:t>
        </w:r>
      </w:hyperlink>
      <w:r>
        <w:rPr>
          <w:rFonts w:ascii="Arial" w:hAnsi="Arial"/>
        </w:rPr>
        <w:t xml:space="preserve">).</w:t>
      </w:r>
    </w:p>
    <w:p>
      <w:pPr>
        <w:pStyle w:val="FirstParagraph"/>
      </w:pPr>
      <w:r>
        <w:rPr>
          <w:bCs/>
          <w:rFonts w:ascii="Arial" w:hAnsi="Arial"/>
          <w:b/>
        </w:rPr>
        <w:t xml:space="preserve">Generic Solu-Cortef (hydrocortisone sodium succinate, HSS):</w:t>
      </w:r>
    </w:p>
    <w:p>
      <w:pPr>
        <w:numPr>
          <w:ilvl w:val="0"/>
          <w:numId w:val="1003"/>
        </w:numPr>
        <w:pStyle w:val="Compact"/>
      </w:pPr>
      <w:r>
        <w:rPr>
          <w:bCs/>
          <w:rFonts w:ascii="Arial" w:hAnsi="Arial"/>
          <w:b/>
        </w:rPr>
        <w:t xml:space="preserve">100 mg plain vials only:</w:t>
      </w:r>
      <w:r>
        <w:rPr>
          <w:rFonts w:ascii="Arial" w:hAnsi="Arial"/>
        </w:rPr>
        <w:t xml:space="preserve"> </w:t>
      </w:r>
      <w:r>
        <w:rPr>
          <w:rFonts w:ascii="Arial" w:hAnsi="Arial"/>
        </w:rPr>
        <w:t xml:space="preserve">the only generics are from Cipla (September 2024), Apotex (February 2026) and Zydus (May 2026) (</w:t>
      </w:r>
      <w:hyperlink r:id="rId20">
        <w:r>
          <w:rPr>
            <w:rStyle w:val="Hyperlink"/>
          </w:rPr>
          <w:t xml:space="preserve">Orange Book</w:t>
        </w:r>
      </w:hyperlink>
      <w:r>
        <w:rPr>
          <w:rFonts w:ascii="Arial" w:hAnsi="Arial"/>
        </w:rPr>
        <w:t xml:space="preserve">).</w:t>
      </w:r>
    </w:p>
    <w:p>
      <w:pPr>
        <w:numPr>
          <w:ilvl w:val="0"/>
          <w:numId w:val="1003"/>
        </w:numPr>
        <w:pStyle w:val="Compact"/>
      </w:pPr>
      <w:r>
        <w:rPr>
          <w:bCs/>
          <w:rFonts w:ascii="Arial" w:hAnsi="Arial"/>
          <w:b/>
        </w:rPr>
        <w:t xml:space="preserve">Larger strengths are Pfizer-only:</w:t>
      </w:r>
      <w:r>
        <w:rPr>
          <w:rFonts w:ascii="Arial" w:hAnsi="Arial"/>
        </w:rPr>
        <w:t xml:space="preserve"> </w:t>
      </w:r>
      <w:r>
        <w:rPr>
          <w:rFonts w:ascii="Arial" w:hAnsi="Arial"/>
        </w:rPr>
        <w:t xml:space="preserve">the</w:t>
      </w:r>
      <w:r>
        <w:rPr>
          <w:rFonts w:ascii="Arial" w:hAnsi="Arial"/>
        </w:rPr>
        <w:t xml:space="preserve"> </w:t>
      </w:r>
      <w:r>
        <w:rPr>
          <w:bCs/>
          <w:rFonts w:ascii="Arial" w:hAnsi="Arial"/>
          <w:b/>
        </w:rPr>
        <w:t xml:space="preserve">250 mg, 500 mg and 1 g strengths are sold only as Pfizer Act-O-Vial dual-chamber vials (DCVs) and have no ANDA at all</w:t>
      </w:r>
      <w:r>
        <w:rPr>
          <w:rFonts w:ascii="Arial" w:hAnsi="Arial"/>
        </w:rPr>
        <w:t xml:space="preserve"> </w:t>
      </w:r>
      <w:r>
        <w:rPr>
          <w:rFonts w:ascii="Arial" w:hAnsi="Arial"/>
        </w:rPr>
        <w:t xml:space="preserve">(</w:t>
      </w:r>
      <w:hyperlink r:id="rId20">
        <w:r>
          <w:rPr>
            <w:rStyle w:val="Hyperlink"/>
          </w:rPr>
          <w:t xml:space="preserve">Orange Book</w:t>
        </w:r>
      </w:hyperlink>
      <w:r>
        <w:rPr>
          <w:rFonts w:ascii="Arial" w:hAnsi="Arial"/>
        </w:rPr>
        <w:t xml:space="preserve">;</w:t>
      </w:r>
      <w:r>
        <w:rPr>
          <w:rFonts w:ascii="Arial" w:hAnsi="Arial"/>
        </w:rPr>
        <w:t xml:space="preserve"> </w:t>
      </w:r>
      <w:hyperlink r:id="rId28">
        <w:r>
          <w:rPr>
            <w:rStyle w:val="Hyperlink"/>
          </w:rPr>
          <w:t xml:space="preserve">Solu-Cortef label</w:t>
        </w:r>
      </w:hyperlink>
      <w:r>
        <w:rPr>
          <w:rFonts w:ascii="Arial" w:hAnsi="Arial"/>
        </w:rPr>
        <w:t xml:space="preserve">).</w:t>
      </w:r>
    </w:p>
    <w:p>
      <w:pPr>
        <w:numPr>
          <w:ilvl w:val="0"/>
          <w:numId w:val="1003"/>
        </w:numPr>
        <w:pStyle w:val="Compact"/>
      </w:pPr>
      <w:r>
        <w:rPr>
          <w:bCs/>
          <w:rFonts w:ascii="Arial" w:hAnsi="Arial"/>
          <w:b/>
        </w:rPr>
        <w:t xml:space="preserve">Price:</w:t>
      </w:r>
      <w:r>
        <w:rPr>
          <w:rFonts w:ascii="Arial" w:hAnsi="Arial"/>
        </w:rPr>
        <w:t xml:space="preserve"> </w:t>
      </w:r>
      <w:r>
        <w:rPr>
          <w:rFonts w:ascii="Arial" w:hAnsi="Arial"/>
        </w:rPr>
        <w:t xml:space="preserve">J1720 ASP has compounded</w:t>
      </w:r>
      <w:r>
        <w:rPr>
          <w:rFonts w:ascii="Arial" w:hAnsi="Arial"/>
        </w:rPr>
        <w:t xml:space="preserve"> </w:t>
      </w:r>
      <w:r>
        <w:rPr>
          <w:bCs/>
          <w:rFonts w:ascii="Arial" w:hAnsi="Arial"/>
          <w:b/>
        </w:rPr>
        <w:t xml:space="preserve">~11% a year since 2016, to US$21.84 per 100 mg in Q4 2026</w:t>
      </w:r>
      <w:r>
        <w:rPr>
          <w:rFonts w:ascii="Arial" w:hAnsi="Arial"/>
        </w:rPr>
        <w:t xml:space="preserve">. That implies roughly</w:t>
      </w:r>
      <w:r>
        <w:rPr>
          <w:rFonts w:ascii="Arial" w:hAnsi="Arial"/>
        </w:rPr>
        <w:t xml:space="preserve"> </w:t>
      </w:r>
      <w:r>
        <w:rPr>
          <w:bCs/>
          <w:rFonts w:ascii="Arial" w:hAnsi="Arial"/>
          <w:b/>
        </w:rPr>
        <w:t xml:space="preserve">US$55, US$109 and US$218 per 250 mg, 500 mg and 1 g vial</w:t>
      </w:r>
      <w:r>
        <w:rPr>
          <w:rFonts w:ascii="Arial" w:hAnsi="Arial"/>
        </w:rPr>
        <w:t xml:space="preserve"> </w:t>
      </w:r>
      <w:r>
        <w:rPr>
          <w:rFonts w:ascii="Arial" w:hAnsi="Arial"/>
        </w:rPr>
        <w:t xml:space="preserve">(our calculation from</w:t>
      </w:r>
      <w:r>
        <w:rPr>
          <w:rFonts w:ascii="Arial" w:hAnsi="Arial"/>
        </w:rPr>
        <w:t xml:space="preserve"> </w:t>
      </w:r>
      <w:hyperlink r:id="rId29">
        <w:r>
          <w:rPr>
            <w:rStyle w:val="Hyperlink"/>
          </w:rPr>
          <w:t xml:space="preserve">CMS Oct 2026 payment limit file</w:t>
        </w:r>
      </w:hyperlink>
      <w:r>
        <w:rPr>
          <w:rFonts w:ascii="Arial" w:hAnsi="Arial"/>
        </w:rPr>
        <w:t xml:space="preserve"> </w:t>
      </w:r>
      <w:r>
        <w:rPr>
          <w:rFonts w:ascii="Arial" w:hAnsi="Arial"/>
        </w:rPr>
        <w:t xml:space="preserve">and</w:t>
      </w:r>
      <w:r>
        <w:rPr>
          <w:rFonts w:ascii="Arial" w:hAnsi="Arial"/>
        </w:rPr>
        <w:t xml:space="preserve"> </w:t>
      </w:r>
      <w:hyperlink r:id="rId22">
        <w:r>
          <w:rPr>
            <w:rStyle w:val="Hyperlink"/>
          </w:rPr>
          <w:t xml:space="preserve">crosswalk</w:t>
        </w:r>
      </w:hyperlink>
      <w:r>
        <w:rPr>
          <w:rFonts w:ascii="Arial" w:hAnsi="Arial"/>
        </w:rPr>
        <w:t xml:space="preserve">).</w:t>
      </w:r>
    </w:p>
    <w:p>
      <w:pPr>
        <w:pStyle w:val="FirstParagraph"/>
      </w:pPr>
      <w:r>
        <w:rPr>
          <w:bCs/>
          <w:rFonts w:ascii="Arial" w:hAnsi="Arial"/>
          <w:b/>
        </w:rPr>
        <w:t xml:space="preserve">No US generic of either molecule comes in a DCV.</w:t>
      </w:r>
      <w:r>
        <w:rPr>
          <w:rFonts w:ascii="Arial" w:hAnsi="Arial"/>
        </w:rPr>
        <w:t xml:space="preserve"> </w:t>
      </w:r>
      <w:r>
        <w:rPr>
          <w:rFonts w:ascii="Arial" w:hAnsi="Arial"/>
        </w:rPr>
        <w:t xml:space="preserve">Every generic label describes a single-chamber vial (</w:t>
      </w:r>
      <w:hyperlink r:id="rId21">
        <w:r>
          <w:rPr>
            <w:rStyle w:val="Hyperlink"/>
          </w:rPr>
          <w:t xml:space="preserve">openFDA NDC, MPSS</w:t>
        </w:r>
      </w:hyperlink>
      <w:r>
        <w:rPr>
          <w:rFonts w:ascii="Arial" w:hAnsi="Arial"/>
        </w:rPr>
        <w:t xml:space="preserve">;</w:t>
      </w:r>
      <w:r>
        <w:rPr>
          <w:rFonts w:ascii="Arial" w:hAnsi="Arial"/>
        </w:rPr>
        <w:t xml:space="preserve"> </w:t>
      </w:r>
      <w:hyperlink r:id="rId30">
        <w:r>
          <w:rPr>
            <w:rStyle w:val="Hyperlink"/>
          </w:rPr>
          <w:t xml:space="preserve">openFDA NDC, HSS</w:t>
        </w:r>
      </w:hyperlink>
      <w:r>
        <w:rPr>
          <w:rFonts w:ascii="Arial" w:hAnsi="Arial"/>
        </w:rPr>
        <w:t xml:space="preserve">).</w:t>
      </w:r>
    </w:p>
    <w:p>
      <w:pPr>
        <w:pStyle w:val="BodyText"/>
      </w:pPr>
      <w:r>
        <w:rPr>
          <w:rFonts w:ascii="Arial" w:hAnsi="Arial"/>
        </w:rPr>
        <w:t xml:space="preserve">Symbiotec's subsidiary Knovea has disclosed four things:</w:t>
      </w:r>
    </w:p>
    <w:p>
      <w:pPr>
        <w:numPr>
          <w:ilvl w:val="0"/>
          <w:numId w:val="1004"/>
        </w:numPr>
        <w:pStyle w:val="Compact"/>
      </w:pPr>
      <w:r>
        <w:rPr>
          <w:rFonts w:ascii="Arial" w:hAnsi="Arial"/>
        </w:rPr>
        <w:t xml:space="preserve">It filed its</w:t>
      </w:r>
      <w:r>
        <w:rPr>
          <w:rFonts w:ascii="Arial" w:hAnsi="Arial"/>
        </w:rPr>
        <w:t xml:space="preserve"> </w:t>
      </w:r>
      <w:r>
        <w:rPr>
          <w:bCs/>
          <w:rFonts w:ascii="Arial" w:hAnsi="Arial"/>
          <w:b/>
        </w:rPr>
        <w:t xml:space="preserve">first DCV ANDA in September 2026</w:t>
      </w:r>
      <w:r>
        <w:rPr>
          <w:rFonts w:ascii="Arial" w:hAnsi="Arial"/>
        </w:rPr>
        <w:t xml:space="preserve"> </w:t>
      </w:r>
      <w:r>
        <w:rPr>
          <w:rFonts w:ascii="Arial" w:hAnsi="Arial"/>
        </w:rPr>
        <w:t xml:space="preserve">and did not name the molecule (</w:t>
      </w:r>
      <w:hyperlink r:id="rId31">
        <w:r>
          <w:rPr>
            <w:rStyle w:val="Hyperlink"/>
          </w:rPr>
          <w:t xml:space="preserve">Q1FY27 presentation</w:t>
        </w:r>
      </w:hyperlink>
      <w:r>
        <w:rPr>
          <w:rFonts w:ascii="Arial" w:hAnsi="Arial"/>
        </w:rPr>
        <w:t xml:space="preserve">, slide 5).</w:t>
      </w:r>
    </w:p>
    <w:p>
      <w:pPr>
        <w:numPr>
          <w:ilvl w:val="0"/>
          <w:numId w:val="1004"/>
        </w:numPr>
        <w:pStyle w:val="Compact"/>
      </w:pPr>
      <w:r>
        <w:rPr>
          <w:rFonts w:ascii="Arial" w:hAnsi="Arial"/>
        </w:rPr>
        <w:t xml:space="preserve">It plans a</w:t>
      </w:r>
      <w:r>
        <w:rPr>
          <w:rFonts w:ascii="Arial" w:hAnsi="Arial"/>
        </w:rPr>
        <w:t xml:space="preserve"> </w:t>
      </w:r>
      <w:r>
        <w:rPr>
          <w:bCs/>
          <w:rFonts w:ascii="Arial" w:hAnsi="Arial"/>
          <w:b/>
        </w:rPr>
        <w:t xml:space="preserve">second filing in Q4 FY27 (January–March 2027)</w:t>
      </w:r>
      <w:r>
        <w:rPr>
          <w:rFonts w:ascii="Arial" w:hAnsi="Arial"/>
        </w:rPr>
        <w:t xml:space="preserve"> </w:t>
      </w:r>
      <w:r>
        <w:rPr>
          <w:rFonts w:ascii="Arial" w:hAnsi="Arial"/>
        </w:rPr>
        <w:t xml:space="preserve">(same slide).</w:t>
      </w:r>
    </w:p>
    <w:p>
      <w:pPr>
        <w:numPr>
          <w:ilvl w:val="0"/>
          <w:numId w:val="1004"/>
        </w:numPr>
        <w:pStyle w:val="Compact"/>
      </w:pPr>
      <w:r>
        <w:rPr>
          <w:rFonts w:ascii="Arial" w:hAnsi="Arial"/>
        </w:rPr>
        <w:t xml:space="preserve">On</w:t>
      </w:r>
      <w:r>
        <w:rPr>
          <w:rFonts w:ascii="Arial" w:hAnsi="Arial"/>
        </w:rPr>
        <w:t xml:space="preserve"> </w:t>
      </w:r>
      <w:r>
        <w:rPr>
          <w:bCs/>
          <w:rFonts w:ascii="Arial" w:hAnsi="Arial"/>
          <w:b/>
        </w:rPr>
        <w:t xml:space="preserve">30 September 2026</w:t>
      </w:r>
      <w:r>
        <w:rPr>
          <w:rFonts w:ascii="Arial" w:hAnsi="Arial"/>
        </w:rPr>
        <w:t xml:space="preserve"> </w:t>
      </w:r>
      <w:r>
        <w:rPr>
          <w:rFonts w:ascii="Arial" w:hAnsi="Arial"/>
        </w:rPr>
        <w:t xml:space="preserve">it licensed both DCV products to an unnamed global partner, for milestones plus a profit share (</w:t>
      </w:r>
      <w:hyperlink r:id="rId32">
        <w:r>
          <w:rPr>
            <w:rStyle w:val="Hyperlink"/>
          </w:rPr>
          <w:t xml:space="preserve">BSE Reg. 30 filing</w:t>
        </w:r>
      </w:hyperlink>
      <w:r>
        <w:rPr>
          <w:rFonts w:ascii="Arial" w:hAnsi="Arial"/>
        </w:rPr>
        <w:t xml:space="preserve">).</w:t>
      </w:r>
    </w:p>
    <w:p>
      <w:pPr>
        <w:numPr>
          <w:ilvl w:val="0"/>
          <w:numId w:val="1004"/>
        </w:numPr>
        <w:pStyle w:val="Compact"/>
      </w:pPr>
      <w:r>
        <w:rPr>
          <w:rFonts w:ascii="Arial" w:hAnsi="Arial"/>
        </w:rPr>
        <w:t xml:space="preserve">It sizes the two-product US market at</w:t>
      </w:r>
      <w:r>
        <w:rPr>
          <w:rFonts w:ascii="Arial" w:hAnsi="Arial"/>
        </w:rPr>
        <w:t xml:space="preserve"> </w:t>
      </w:r>
      <w:r>
        <w:rPr>
          <w:bCs/>
          <w:rFonts w:ascii="Arial" w:hAnsi="Arial"/>
          <w:b/>
        </w:rPr>
        <w:t xml:space="preserve">US$288 mn</w:t>
      </w:r>
      <w:r>
        <w:rPr>
          <w:rFonts w:ascii="Arial" w:hAnsi="Arial"/>
        </w:rPr>
        <w:t xml:space="preserve">, a figure that covers both molecules combined (</w:t>
      </w:r>
      <w:hyperlink r:id="rId33">
        <w:r>
          <w:rPr>
            <w:rStyle w:val="Hyperlink"/>
          </w:rPr>
          <w:t xml:space="preserve">RHP</w:t>
        </w:r>
      </w:hyperlink>
      <w:r>
        <w:rPr>
          <w:rFonts w:ascii="Arial" w:hAnsi="Arial"/>
        </w:rPr>
        <w:t xml:space="preserve"> </w:t>
      </w:r>
      <w:r>
        <w:rPr>
          <w:rFonts w:ascii="Arial" w:hAnsi="Arial"/>
        </w:rPr>
        <w:t xml:space="preserve">p.182;</w:t>
      </w:r>
      <w:r>
        <w:rPr>
          <w:rFonts w:ascii="Arial" w:hAnsi="Arial"/>
        </w:rPr>
        <w:t xml:space="preserve"> </w:t>
      </w:r>
      <w:hyperlink r:id="rId32">
        <w:r>
          <w:rPr>
            <w:rStyle w:val="Hyperlink"/>
          </w:rPr>
          <w:t xml:space="preserve">BSE Reg. 30 filing</w:t>
        </w:r>
      </w:hyperlink>
      <w:r>
        <w:rPr>
          <w:rFonts w:ascii="Arial" w:hAnsi="Arial"/>
        </w:rPr>
        <w:t xml:space="preserve">).</w:t>
      </w:r>
    </w:p>
    <w:p>
      <w:pPr>
        <w:pStyle w:val="FirstParagraph"/>
      </w:pPr>
      <w:r>
        <w:rPr>
          <w:bCs/>
          <w:rFonts w:ascii="Arial" w:hAnsi="Arial"/>
          <w:b/>
        </w:rPr>
        <w:t xml:space="preserve">The opportunity (inference):</w:t>
      </w:r>
    </w:p>
    <w:p>
      <w:pPr>
        <w:numPr>
          <w:ilvl w:val="0"/>
          <w:numId w:val="1005"/>
        </w:numPr>
        <w:pStyle w:val="Compact"/>
      </w:pPr>
      <w:r>
        <w:rPr>
          <w:bCs/>
          <w:rFonts w:ascii="Arial" w:hAnsi="Arial"/>
          <w:b/>
        </w:rPr>
        <w:t xml:space="preserve">Best-protected slice:</w:t>
      </w:r>
      <w:r>
        <w:rPr>
          <w:rFonts w:ascii="Arial" w:hAnsi="Arial"/>
        </w:rPr>
        <w:t xml:space="preserve"> </w:t>
      </w:r>
      <w:r>
        <w:rPr>
          <w:rFonts w:ascii="Arial" w:hAnsi="Arial"/>
        </w:rPr>
        <w:t xml:space="preserve">the HSS large-strength DCVs, where the first approved ANDA could plausibly seek Competitive Generic Therapy (CGT) exclusivity (</w:t>
      </w:r>
      <w:hyperlink r:id="rId34">
        <w:r>
          <w:rPr>
            <w:rStyle w:val="Hyperlink"/>
          </w:rPr>
          <w:t xml:space="preserve">FDA CGT list</w:t>
        </w:r>
      </w:hyperlink>
      <w:r>
        <w:rPr>
          <w:rFonts w:ascii="Arial" w:hAnsi="Arial"/>
        </w:rPr>
        <w:t xml:space="preserve">).</w:t>
      </w:r>
    </w:p>
    <w:p>
      <w:pPr>
        <w:numPr>
          <w:ilvl w:val="0"/>
          <w:numId w:val="1005"/>
        </w:numPr>
        <w:pStyle w:val="Compact"/>
      </w:pPr>
      <w:r>
        <w:rPr>
          <w:bCs/>
          <w:rFonts w:ascii="Arial" w:hAnsi="Arial"/>
          <w:b/>
        </w:rPr>
        <w:t xml:space="preserve">But small in outpatient data:</w:t>
      </w:r>
      <w:r>
        <w:rPr>
          <w:rFonts w:ascii="Arial" w:hAnsi="Arial"/>
        </w:rPr>
        <w:t xml:space="preserve"> </w:t>
      </w:r>
      <w:r>
        <w:rPr>
          <w:rFonts w:ascii="Arial" w:hAnsi="Arial"/>
        </w:rPr>
        <w:t xml:space="preserve">those strengths are only</w:t>
      </w:r>
      <w:r>
        <w:rPr>
          <w:rFonts w:ascii="Arial" w:hAnsi="Arial"/>
        </w:rPr>
        <w:t xml:space="preserve"> </w:t>
      </w:r>
      <w:r>
        <w:rPr>
          <w:bCs/>
          <w:rFonts w:ascii="Arial" w:hAnsi="Arial"/>
          <w:b/>
        </w:rPr>
        <w:t xml:space="preserve">~3% of Medicaid HSS prescriptions</w:t>
      </w:r>
      <w:r>
        <w:rPr>
          <w:rFonts w:ascii="Arial" w:hAnsi="Arial"/>
        </w:rPr>
        <w:t xml:space="preserve"> </w:t>
      </w:r>
      <w:r>
        <w:rPr>
          <w:rFonts w:ascii="Arial" w:hAnsi="Arial"/>
        </w:rPr>
        <w:t xml:space="preserve">(our calculation from</w:t>
      </w:r>
      <w:r>
        <w:rPr>
          <w:rFonts w:ascii="Arial" w:hAnsi="Arial"/>
        </w:rPr>
        <w:t xml:space="preserve"> </w:t>
      </w:r>
      <w:hyperlink r:id="rId35">
        <w:r>
          <w:rPr>
            <w:rStyle w:val="Hyperlink"/>
          </w:rPr>
          <w:t xml:space="preserve">SDUD 2025</w:t>
        </w:r>
      </w:hyperlink>
      <w:r>
        <w:rPr>
          <w:rFonts w:ascii="Arial" w:hAnsi="Arial"/>
        </w:rPr>
        <w:t xml:space="preserve">). Your IQVIA pack-level data has to size the hospital channel before the thesis can carry numbers.</w:t>
      </w:r>
    </w:p>
    <w:p>
      <w:pPr>
        <w:numPr>
          <w:ilvl w:val="0"/>
          <w:numId w:val="1005"/>
        </w:numPr>
        <w:pStyle w:val="Compact"/>
      </w:pPr>
      <w:r>
        <w:rPr>
          <w:bCs/>
          <w:rFonts w:ascii="Arial" w:hAnsi="Arial"/>
          <w:b/>
        </w:rPr>
        <w:t xml:space="preserve">Timing:</w:t>
      </w:r>
      <w:r>
        <w:rPr>
          <w:rFonts w:ascii="Arial" w:hAnsi="Arial"/>
        </w:rPr>
        <w:t xml:space="preserve"> </w:t>
      </w:r>
      <w:r>
        <w:rPr>
          <w:rFonts w:ascii="Arial" w:hAnsi="Arial"/>
        </w:rPr>
        <w:t xml:space="preserve">FDA's goal is to act on standard ANDAs within 10 months (</w:t>
      </w:r>
      <w:hyperlink r:id="rId36">
        <w:r>
          <w:rPr>
            <w:rStyle w:val="Hyperlink"/>
          </w:rPr>
          <w:t xml:space="preserve">FDA GDUFA III goals letter</w:t>
        </w:r>
      </w:hyperlink>
      <w:r>
        <w:rPr>
          <w:rFonts w:ascii="Arial" w:hAnsi="Arial"/>
        </w:rPr>
        <w:t xml:space="preserve">). The company has disclosed US FDA audits only at its Rau and Pithampur API plants, not at Mhow (</w:t>
      </w:r>
      <w:hyperlink r:id="rId31">
        <w:r>
          <w:rPr>
            <w:rStyle w:val="Hyperlink"/>
          </w:rPr>
          <w:t xml:space="preserve">Q1FY27 presentation</w:t>
        </w:r>
      </w:hyperlink>
      <w:r>
        <w:rPr>
          <w:rFonts w:ascii="Arial" w:hAnsi="Arial"/>
        </w:rPr>
        <w:t xml:space="preserve">, slide 5). Approval is therefore unlikely before</w:t>
      </w:r>
      <w:r>
        <w:rPr>
          <w:rFonts w:ascii="Arial" w:hAnsi="Arial"/>
        </w:rPr>
        <w:t xml:space="preserve"> </w:t>
      </w:r>
      <w:r>
        <w:rPr>
          <w:bCs/>
          <w:rFonts w:ascii="Arial" w:hAnsi="Arial"/>
          <w:b/>
        </w:rPr>
        <w:t xml:space="preserve">mid-2027 (FY28)</w:t>
      </w:r>
      <w:r>
        <w:rPr>
          <w:rFonts w:ascii="Arial" w:hAnsi="Arial"/>
        </w:rPr>
        <w:t xml:space="preserve">.</w:t>
      </w:r>
    </w:p>
    <w:bookmarkStart w:id="54" w:name="X38ce951fa632ae8362fb65ae2514e8633861de6"/>
    <w:p>
      <w:pPr>
        <w:pStyle w:val="Heading2"/>
      </w:pPr>
      <w:r>
        <w:rPr>
          <w:rFonts w:ascii="Arial" w:hAnsi="Arial"/>
        </w:rPr>
        <w:t xml:space="preserve">Medrol has four live generic sellers; Cortef has none above 100 mg</w:t>
      </w:r>
    </w:p>
    <w:p>
      <w:pPr>
        <w:pStyle w:val="FirstParagraph"/>
      </w:pPr>
      <w:r>
        <w:rPr>
          <w:rFonts w:ascii="Arial" w:hAnsi="Arial"/>
        </w:rPr>
        <w:t xml:space="preserve">Crowding in both molecules varies by strength, so the question needs answering at strength level. The table below combines four data sets:</w:t>
      </w:r>
    </w:p>
    <w:p>
      <w:pPr>
        <w:numPr>
          <w:ilvl w:val="0"/>
          <w:numId w:val="1006"/>
        </w:numPr>
        <w:pStyle w:val="Compact"/>
      </w:pPr>
      <w:r>
        <w:rPr>
          <w:bCs/>
          <w:rFonts w:ascii="Arial" w:hAnsi="Arial"/>
          <w:b/>
        </w:rPr>
        <w:t xml:space="preserve">Orange Book (9 Oct 2026):</w:t>
      </w:r>
      <w:r>
        <w:rPr>
          <w:rFonts w:ascii="Arial" w:hAnsi="Arial"/>
        </w:rPr>
        <w:t xml:space="preserve"> </w:t>
      </w:r>
      <w:r>
        <w:rPr>
          <w:rFonts w:ascii="Arial" w:hAnsi="Arial"/>
        </w:rPr>
        <w:t xml:space="preserve">legal approval status.</w:t>
      </w:r>
    </w:p>
    <w:p>
      <w:pPr>
        <w:numPr>
          <w:ilvl w:val="0"/>
          <w:numId w:val="1006"/>
        </w:numPr>
        <w:pStyle w:val="Compact"/>
      </w:pPr>
      <w:r>
        <w:rPr>
          <w:bCs/>
          <w:rFonts w:ascii="Arial" w:hAnsi="Arial"/>
          <w:b/>
        </w:rPr>
        <w:t xml:space="preserve">October 2026 CMS NDC–HCPCS crosswalk:</w:t>
      </w:r>
      <w:r>
        <w:rPr>
          <w:rFonts w:ascii="Arial" w:hAnsi="Arial"/>
        </w:rPr>
        <w:t xml:space="preserve"> </w:t>
      </w:r>
      <w:r>
        <w:rPr>
          <w:rFonts w:ascii="Arial" w:hAnsi="Arial"/>
        </w:rPr>
        <w:t xml:space="preserve">which labelers are selling and reporting ASP.</w:t>
      </w:r>
    </w:p>
    <w:p>
      <w:pPr>
        <w:numPr>
          <w:ilvl w:val="0"/>
          <w:numId w:val="1006"/>
        </w:numPr>
        <w:pStyle w:val="Compact"/>
      </w:pPr>
      <w:r>
        <w:rPr>
          <w:bCs/>
          <w:rFonts w:ascii="Arial" w:hAnsi="Arial"/>
          <w:b/>
        </w:rPr>
        <w:t xml:space="preserve">Medicaid SDUD (Q1 2026):</w:t>
      </w:r>
      <w:r>
        <w:rPr>
          <w:rFonts w:ascii="Arial" w:hAnsi="Arial"/>
        </w:rPr>
        <w:t xml:space="preserve"> </w:t>
      </w:r>
      <w:r>
        <w:rPr>
          <w:rFonts w:ascii="Arial" w:hAnsi="Arial"/>
        </w:rPr>
        <w:t xml:space="preserve">dispensed volume.</w:t>
      </w:r>
    </w:p>
    <w:p>
      <w:pPr>
        <w:numPr>
          <w:ilvl w:val="0"/>
          <w:numId w:val="1006"/>
        </w:numPr>
        <w:pStyle w:val="Compact"/>
      </w:pPr>
      <w:r>
        <w:rPr>
          <w:bCs/>
          <w:rFonts w:ascii="Arial" w:hAnsi="Arial"/>
          <w:b/>
        </w:rPr>
        <w:t xml:space="preserve">Pfizer's Connecticut WAC disclosures (July 2026):</w:t>
      </w:r>
      <w:r>
        <w:rPr>
          <w:rFonts w:ascii="Arial" w:hAnsi="Arial"/>
        </w:rPr>
        <w:t xml:space="preserve"> </w:t>
      </w:r>
      <w:r>
        <w:rPr>
          <w:rFonts w:ascii="Arial" w:hAnsi="Arial"/>
        </w:rPr>
        <w:t xml:space="preserve">list prices.</w:t>
      </w:r>
    </w:p>
    <w:p>
      <w:pPr>
        <w:pStyle w:val="FirstParagraph"/>
      </w:pPr>
      <w:r>
        <w:rPr>
          <w:rFonts w:ascii="Arial" w:hAnsi="Arial"/>
        </w:rPr>
        <w:t xml:space="preserve">Sources:</w:t>
      </w:r>
      <w:r>
        <w:rPr>
          <w:rFonts w:ascii="Arial" w:hAnsi="Arial"/>
        </w:rPr>
        <w:t xml:space="preserve"> </w:t>
      </w:r>
      <w:hyperlink r:id="rId20">
        <w:r>
          <w:rPr>
            <w:rStyle w:val="Hyperlink"/>
          </w:rPr>
          <w:t xml:space="preserve">FDA Orange Book data file</w:t>
        </w:r>
      </w:hyperlink>
      <w:r>
        <w:rPr>
          <w:rFonts w:ascii="Arial" w:hAnsi="Arial"/>
        </w:rPr>
        <w:t xml:space="preserve">;</w:t>
      </w:r>
      <w:r>
        <w:rPr>
          <w:rFonts w:ascii="Arial" w:hAnsi="Arial"/>
        </w:rPr>
        <w:t xml:space="preserve"> </w:t>
      </w:r>
      <w:hyperlink r:id="rId22">
        <w:r>
          <w:rPr>
            <w:rStyle w:val="Hyperlink"/>
          </w:rPr>
          <w:t xml:space="preserve">CMS Oct 2026 crosswalk</w:t>
        </w:r>
      </w:hyperlink>
      <w:r>
        <w:rPr>
          <w:rFonts w:ascii="Arial" w:hAnsi="Arial"/>
        </w:rPr>
        <w:t xml:space="preserve">;</w:t>
      </w:r>
      <w:r>
        <w:rPr>
          <w:rFonts w:ascii="Arial" w:hAnsi="Arial"/>
        </w:rPr>
        <w:t xml:space="preserve"> </w:t>
      </w:r>
      <w:hyperlink r:id="rId25">
        <w:r>
          <w:rPr>
            <w:rStyle w:val="Hyperlink"/>
          </w:rPr>
          <w:t xml:space="preserve">SDUD 2026</w:t>
        </w:r>
      </w:hyperlink>
      <w:r>
        <w:rPr>
          <w:rFonts w:ascii="Arial" w:hAnsi="Arial"/>
        </w:rPr>
        <w:t xml:space="preserve">;</w:t>
      </w:r>
      <w:r>
        <w:rPr>
          <w:rFonts w:ascii="Arial" w:hAnsi="Arial"/>
        </w:rPr>
        <w:t xml:space="preserve"> </w:t>
      </w:r>
      <w:hyperlink r:id="rId29">
        <w:r>
          <w:rPr>
            <w:rStyle w:val="Hyperlink"/>
          </w:rPr>
          <w:t xml:space="preserve">CMS Oct 2026 payment limit file</w:t>
        </w:r>
      </w:hyperlink>
      <w:r>
        <w:rPr>
          <w:rFonts w:ascii="Arial" w:hAnsi="Arial"/>
        </w:rPr>
        <w:t xml:space="preserve">;</w:t>
      </w:r>
      <w:r>
        <w:rPr>
          <w:rFonts w:ascii="Arial" w:hAnsi="Arial"/>
        </w:rPr>
        <w:t xml:space="preserve"> </w:t>
      </w:r>
      <w:hyperlink r:id="rId37">
        <w:r>
          <w:rPr>
            <w:rStyle w:val="Hyperlink"/>
          </w:rPr>
          <w:t xml:space="preserve">Pfizer Solu-Cortef CT disclosure, 6 Jul 2026</w:t>
        </w:r>
      </w:hyperlink>
      <w:r>
        <w:rPr>
          <w:rFonts w:ascii="Arial" w:hAnsi="Arial"/>
        </w:rPr>
        <w:t xml:space="preserve">;</w:t>
      </w:r>
      <w:r>
        <w:rPr>
          <w:rFonts w:ascii="Arial" w:hAnsi="Arial"/>
        </w:rPr>
        <w:t xml:space="preserve"> </w:t>
      </w:r>
      <w:hyperlink r:id="rId38">
        <w:r>
          <w:rPr>
            <w:rStyle w:val="Hyperlink"/>
          </w:rPr>
          <w:t xml:space="preserve">Pfizer Solu-Medrol CT disclosure, 6 Jul 2026</w:t>
        </w:r>
      </w:hyperlink>
      <w:r>
        <w:rPr>
          <w:rFonts w:ascii="Arial" w:hAnsi="Arial"/>
        </w:rPr>
        <w:t xml:space="preserve">.</w:t>
      </w:r>
    </w:p>
    <w:p>
      <w:pPr>
        <w:pStyle w:val="BodyText"/>
        <w:keepNext/>
      </w:pPr>
      <w:r>
        <w:rPr>
          <w:bCs/>
          <w:rFonts w:ascii="Arial" w:hAnsi="Arial"/>
          <w:b/>
        </w:rPr>
        <w:t xml:space="preserve">At a glance: strength-level competition and price, Q4 2026</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1142"/>
        <w:gridCol w:w="2539"/>
        <w:gridCol w:w="846"/>
        <w:gridCol w:w="1384"/>
        <w:gridCol w:w="967"/>
        <w:gridCol w:w="1572"/>
        <w:gridCol w:w="1639"/>
      </w:tblGrid>
      <w:tr>
        <w:trPr>
          <w:tblHeader w:val="true"/>
          <w:tblHeader w:val="true"/>
          <w:cantSplit/>
        </w:trPr>
        <w:tc>
          <w:tcPr>
            <w:tcW w:type="dxa" w:w="1142"/>
            <w:shd w:val="clear" w:color="auto" w:fill="1F3864"/>
          </w:tcPr>
          <w:p>
            <w:pPr>
              <w:pStyle w:val="Compact"/>
              <w:spacing w:after="0" w:before="0" w:line="240" w:lineRule="auto"/>
              <w:jc w:val="left"/>
            </w:pPr>
            <w:r>
              <w:rPr>
                <w:rFonts w:ascii="Arial" w:hAnsi="Arial"/>
                <w:b/>
                <w:color w:val="FFFFFF"/>
                <w:sz w:val="14"/>
              </w:rPr>
              <w:t xml:space="preserve">Molecule / strength</w:t>
            </w:r>
          </w:p>
        </w:tc>
        <w:tc>
          <w:tcPr>
            <w:tcW w:type="dxa" w:w="2540"/>
            <w:shd w:val="clear" w:color="auto" w:fill="1F3864"/>
          </w:tcPr>
          <w:p>
            <w:pPr>
              <w:pStyle w:val="Compact"/>
              <w:spacing w:after="0" w:before="0" w:line="240" w:lineRule="auto"/>
              <w:jc w:val="left"/>
            </w:pPr>
            <w:r>
              <w:rPr>
                <w:rFonts w:ascii="Arial" w:hAnsi="Arial"/>
                <w:b/>
                <w:color w:val="FFFFFF"/>
                <w:sz w:val="14"/>
              </w:rPr>
              <w:t xml:space="preserve">Pfizer presentation</w:t>
            </w:r>
          </w:p>
        </w:tc>
        <w:tc>
          <w:tcPr>
            <w:tcW w:type="dxa" w:w="847"/>
            <w:shd w:val="clear" w:color="auto" w:fill="1F3864"/>
          </w:tcPr>
          <w:p>
            <w:pPr>
              <w:pStyle w:val="Compact"/>
              <w:spacing w:after="0" w:before="0" w:line="240" w:lineRule="auto"/>
              <w:jc w:val="left"/>
            </w:pPr>
            <w:r>
              <w:rPr>
                <w:rFonts w:ascii="Arial" w:hAnsi="Arial"/>
                <w:b/>
                <w:color w:val="FFFFFF"/>
                <w:sz w:val="14"/>
              </w:rPr>
              <w:t xml:space="preserve">Orange Book sources incl. Pfizer</w:t>
            </w:r>
          </w:p>
        </w:tc>
        <w:tc>
          <w:tcPr>
            <w:tcW w:type="dxa" w:w="1384"/>
            <w:shd w:val="clear" w:color="auto" w:fill="1F3864"/>
          </w:tcPr>
          <w:p>
            <w:pPr>
              <w:pStyle w:val="Compact"/>
              <w:spacing w:after="0" w:before="0" w:line="240" w:lineRule="auto"/>
              <w:jc w:val="left"/>
            </w:pPr>
            <w:r>
              <w:rPr>
                <w:rFonts w:ascii="Arial" w:hAnsi="Arial"/>
                <w:b/>
                <w:color w:val="FFFFFF"/>
                <w:sz w:val="14"/>
              </w:rPr>
              <w:t xml:space="preserve">Generic labelers reporting ASP (Oct 2026)</w:t>
            </w:r>
          </w:p>
        </w:tc>
        <w:tc>
          <w:tcPr>
            <w:tcW w:type="dxa" w:w="967"/>
            <w:shd w:val="clear" w:color="auto" w:fill="1F3864"/>
          </w:tcPr>
          <w:p>
            <w:pPr>
              <w:pStyle w:val="Compact"/>
              <w:spacing w:after="0" w:before="0" w:line="240" w:lineRule="auto"/>
              <w:jc w:val="left"/>
            </w:pPr>
            <w:r>
              <w:rPr>
                <w:rFonts w:ascii="Arial" w:hAnsi="Arial"/>
                <w:b/>
                <w:color w:val="FFFFFF"/>
                <w:sz w:val="14"/>
              </w:rPr>
              <w:t xml:space="preserve">Pfizer share of Medicaid Rx, Q1 2026</w:t>
            </w:r>
          </w:p>
        </w:tc>
        <w:tc>
          <w:tcPr>
            <w:tcW w:type="dxa" w:w="1572"/>
            <w:shd w:val="clear" w:color="auto" w:fill="1F3864"/>
          </w:tcPr>
          <w:p>
            <w:pPr>
              <w:pStyle w:val="Compact"/>
              <w:spacing w:after="0" w:before="0" w:line="240" w:lineRule="auto"/>
              <w:jc w:val="left"/>
            </w:pPr>
            <w:r>
              <w:rPr>
                <w:rFonts w:ascii="Arial" w:hAnsi="Arial"/>
                <w:b/>
                <w:color w:val="FFFFFF"/>
                <w:sz w:val="14"/>
              </w:rPr>
              <w:t xml:space="preserve">Implied ASP per vial, Q4 2026</w:t>
            </w:r>
          </w:p>
        </w:tc>
        <w:tc>
          <w:tcPr>
            <w:tcW w:type="dxa" w:w="1639"/>
            <w:shd w:val="clear" w:color="auto" w:fill="1F3864"/>
          </w:tcPr>
          <w:p>
            <w:pPr>
              <w:pStyle w:val="Compact"/>
              <w:spacing w:after="0" w:before="0" w:line="240" w:lineRule="auto"/>
              <w:jc w:val="left"/>
            </w:pPr>
            <w:r>
              <w:rPr>
                <w:rFonts w:ascii="Arial" w:hAnsi="Arial"/>
                <w:b/>
                <w:color w:val="FFFFFF"/>
                <w:sz w:val="14"/>
              </w:rPr>
              <w:t xml:space="preserve">Pfizer WAC per vial, Jul 2026</w:t>
            </w:r>
          </w:p>
        </w:tc>
      </w:tr>
      <w:tr>
        <w:trPr>
          <w:cantSplit/>
        </w:trPr>
        <w:tc>
          <w:tcPr>
            <w:tcW w:type="dxa" w:w="1142"/>
          </w:tcPr>
          <w:p>
            <w:pPr>
              <w:pStyle w:val="Compact"/>
              <w:spacing w:after="0" w:before="0" w:line="240" w:lineRule="auto"/>
              <w:jc w:val="left"/>
            </w:pPr>
            <w:r>
              <w:rPr>
                <w:rFonts w:ascii="Arial" w:hAnsi="Arial"/>
                <w:sz w:val="14"/>
              </w:rPr>
              <w:t xml:space="preserve">MPSS 40 mg</w:t>
            </w:r>
          </w:p>
        </w:tc>
        <w:tc>
          <w:tcPr>
            <w:tcW w:type="dxa" w:w="2540"/>
          </w:tcPr>
          <w:p>
            <w:pPr>
              <w:pStyle w:val="Compact"/>
              <w:spacing w:after="0" w:before="0" w:line="240" w:lineRule="auto"/>
              <w:jc w:val="left"/>
            </w:pPr>
            <w:r>
              <w:rPr>
                <w:rFonts w:ascii="Arial" w:hAnsi="Arial"/>
                <w:sz w:val="14"/>
              </w:rPr>
              <w:t xml:space="preserve">Act-O-Vial (DCV)</w:t>
            </w:r>
          </w:p>
        </w:tc>
        <w:tc>
          <w:tcPr>
            <w:tcW w:type="dxa" w:w="847"/>
          </w:tcPr>
          <w:p>
            <w:pPr>
              <w:pStyle w:val="Compact"/>
              <w:spacing w:after="0" w:before="0" w:line="240" w:lineRule="auto"/>
              <w:jc w:val="left"/>
            </w:pPr>
            <w:r>
              <w:rPr>
                <w:rFonts w:ascii="Arial" w:hAnsi="Arial"/>
                <w:sz w:val="14"/>
              </w:rPr>
              <w:t xml:space="preserve">6</w:t>
            </w:r>
          </w:p>
        </w:tc>
        <w:tc>
          <w:tcPr>
            <w:tcW w:type="dxa" w:w="1384"/>
          </w:tcPr>
          <w:p>
            <w:pPr>
              <w:pStyle w:val="Compact"/>
              <w:spacing w:after="0" w:before="0" w:line="240" w:lineRule="auto"/>
              <w:jc w:val="left"/>
            </w:pPr>
            <w:r>
              <w:rPr>
                <w:rFonts w:ascii="Arial" w:hAnsi="Arial"/>
                <w:sz w:val="14"/>
              </w:rPr>
              <w:t xml:space="preserve">4: Fresenius, Hikma, DRL, Civica</w:t>
            </w:r>
          </w:p>
        </w:tc>
        <w:tc>
          <w:tcPr>
            <w:tcW w:type="dxa" w:w="967"/>
          </w:tcPr>
          <w:p>
            <w:pPr>
              <w:pStyle w:val="Compact"/>
              <w:spacing w:after="0" w:before="0" w:line="240" w:lineRule="auto"/>
              <w:jc w:val="left"/>
            </w:pPr>
            <w:r>
              <w:rPr>
                <w:rFonts w:ascii="Arial" w:hAnsi="Arial"/>
                <w:sz w:val="14"/>
              </w:rPr>
              <w:t xml:space="preserve">74.7%</w:t>
            </w:r>
          </w:p>
        </w:tc>
        <w:tc>
          <w:tcPr>
            <w:tcW w:type="dxa" w:w="1572"/>
          </w:tcPr>
          <w:p>
            <w:pPr>
              <w:pStyle w:val="Compact"/>
              <w:spacing w:after="0" w:before="0" w:line="240" w:lineRule="auto"/>
              <w:jc w:val="left"/>
            </w:pPr>
            <w:r>
              <w:rPr>
                <w:rFonts w:ascii="Arial" w:hAnsi="Arial"/>
                <w:sz w:val="14"/>
              </w:rPr>
              <w:t xml:space="preserve">$1.92 (understated; see caveats)</w:t>
            </w:r>
          </w:p>
        </w:tc>
        <w:tc>
          <w:tcPr>
            <w:tcW w:type="dxa" w:w="1639"/>
          </w:tcPr>
          <w:p>
            <w:pPr>
              <w:pStyle w:val="Compact"/>
              <w:spacing w:after="0" w:before="0" w:line="240" w:lineRule="auto"/>
              <w:jc w:val="left"/>
            </w:pPr>
            <w:r>
              <w:rPr>
                <w:rFonts w:ascii="Arial" w:hAnsi="Arial"/>
                <w:sz w:val="14"/>
              </w:rPr>
              <w:t xml:space="preserve">$5.11–6.47</w:t>
            </w:r>
          </w:p>
        </w:tc>
      </w:tr>
      <w:tr>
        <w:trPr>
          <w:cantSplit/>
        </w:trPr>
        <w:tc>
          <w:tcPr>
            <w:tcW w:type="dxa" w:w="1142"/>
          </w:tcPr>
          <w:p>
            <w:pPr>
              <w:pStyle w:val="Compact"/>
              <w:spacing w:after="0" w:before="0" w:line="240" w:lineRule="auto"/>
              <w:jc w:val="left"/>
            </w:pPr>
            <w:r>
              <w:rPr>
                <w:rFonts w:ascii="Arial" w:hAnsi="Arial"/>
                <w:sz w:val="14"/>
              </w:rPr>
              <w:t xml:space="preserve">MPSS 125 mg</w:t>
            </w:r>
          </w:p>
        </w:tc>
        <w:tc>
          <w:tcPr>
            <w:tcW w:type="dxa" w:w="2540"/>
          </w:tcPr>
          <w:p>
            <w:pPr>
              <w:pStyle w:val="Compact"/>
              <w:spacing w:after="0" w:before="0" w:line="240" w:lineRule="auto"/>
              <w:jc w:val="left"/>
            </w:pPr>
            <w:r>
              <w:rPr>
                <w:rFonts w:ascii="Arial" w:hAnsi="Arial"/>
                <w:sz w:val="14"/>
              </w:rPr>
              <w:t xml:space="preserve">Act-O-Vial (DCV)</w:t>
            </w:r>
          </w:p>
        </w:tc>
        <w:tc>
          <w:tcPr>
            <w:tcW w:type="dxa" w:w="847"/>
          </w:tcPr>
          <w:p>
            <w:pPr>
              <w:pStyle w:val="Compact"/>
              <w:spacing w:after="0" w:before="0" w:line="240" w:lineRule="auto"/>
              <w:jc w:val="left"/>
            </w:pPr>
            <w:r>
              <w:rPr>
                <w:rFonts w:ascii="Arial" w:hAnsi="Arial"/>
                <w:sz w:val="14"/>
              </w:rPr>
              <w:t xml:space="preserve">6</w:t>
            </w:r>
          </w:p>
        </w:tc>
        <w:tc>
          <w:tcPr>
            <w:tcW w:type="dxa" w:w="1384"/>
          </w:tcPr>
          <w:p>
            <w:pPr>
              <w:pStyle w:val="Compact"/>
              <w:spacing w:after="0" w:before="0" w:line="240" w:lineRule="auto"/>
              <w:jc w:val="left"/>
            </w:pPr>
            <w:r>
              <w:rPr>
                <w:rFonts w:ascii="Arial" w:hAnsi="Arial"/>
                <w:sz w:val="14"/>
              </w:rPr>
              <w:t xml:space="preserve">4: same</w:t>
            </w:r>
          </w:p>
        </w:tc>
        <w:tc>
          <w:tcPr>
            <w:tcW w:type="dxa" w:w="967"/>
          </w:tcPr>
          <w:p>
            <w:pPr>
              <w:pStyle w:val="Compact"/>
              <w:spacing w:after="0" w:before="0" w:line="240" w:lineRule="auto"/>
              <w:jc w:val="left"/>
            </w:pPr>
            <w:r>
              <w:rPr>
                <w:rFonts w:ascii="Arial" w:hAnsi="Arial"/>
                <w:sz w:val="14"/>
              </w:rPr>
              <w:t xml:space="preserve">74.5%</w:t>
            </w:r>
          </w:p>
        </w:tc>
        <w:tc>
          <w:tcPr>
            <w:tcW w:type="dxa" w:w="1572"/>
          </w:tcPr>
          <w:p>
            <w:pPr>
              <w:pStyle w:val="Compact"/>
              <w:spacing w:after="0" w:before="0" w:line="240" w:lineRule="auto"/>
              <w:jc w:val="left"/>
            </w:pPr>
            <w:r>
              <w:rPr>
                <w:rFonts w:ascii="Arial" w:hAnsi="Arial"/>
                <w:sz w:val="14"/>
              </w:rPr>
              <w:t xml:space="preserve">$6.01</w:t>
            </w:r>
          </w:p>
        </w:tc>
        <w:tc>
          <w:tcPr>
            <w:tcW w:type="dxa" w:w="1639"/>
          </w:tcPr>
          <w:p>
            <w:pPr>
              <w:pStyle w:val="Compact"/>
              <w:spacing w:after="0" w:before="0" w:line="240" w:lineRule="auto"/>
              <w:jc w:val="left"/>
            </w:pPr>
            <w:r>
              <w:rPr>
                <w:rFonts w:ascii="Arial" w:hAnsi="Arial"/>
                <w:sz w:val="14"/>
              </w:rPr>
              <w:t xml:space="preserve">$8.14–10.42</w:t>
            </w:r>
          </w:p>
        </w:tc>
      </w:tr>
      <w:tr>
        <w:trPr>
          <w:cantSplit/>
        </w:trPr>
        <w:tc>
          <w:tcPr>
            <w:tcW w:type="dxa" w:w="1142"/>
          </w:tcPr>
          <w:p>
            <w:pPr>
              <w:pStyle w:val="Compact"/>
              <w:spacing w:after="0" w:before="0" w:line="240" w:lineRule="auto"/>
              <w:jc w:val="left"/>
            </w:pPr>
            <w:r>
              <w:rPr>
                <w:rFonts w:ascii="Arial" w:hAnsi="Arial"/>
                <w:sz w:val="14"/>
              </w:rPr>
              <w:t xml:space="preserve">MPSS 500 mg</w:t>
            </w:r>
          </w:p>
        </w:tc>
        <w:tc>
          <w:tcPr>
            <w:tcW w:type="dxa" w:w="2540"/>
          </w:tcPr>
          <w:p>
            <w:pPr>
              <w:pStyle w:val="Compact"/>
              <w:spacing w:after="0" w:before="0" w:line="240" w:lineRule="auto"/>
              <w:jc w:val="left"/>
            </w:pPr>
            <w:r>
              <w:rPr>
                <w:rFonts w:ascii="Arial" w:hAnsi="Arial"/>
                <w:sz w:val="14"/>
              </w:rPr>
              <w:t xml:space="preserve">Act-O-Vial + multi-dose vial</w:t>
            </w:r>
          </w:p>
        </w:tc>
        <w:tc>
          <w:tcPr>
            <w:tcW w:type="dxa" w:w="847"/>
          </w:tcPr>
          <w:p>
            <w:pPr>
              <w:pStyle w:val="Compact"/>
              <w:spacing w:after="0" w:before="0" w:line="240" w:lineRule="auto"/>
              <w:jc w:val="left"/>
            </w:pPr>
            <w:r>
              <w:rPr>
                <w:rFonts w:ascii="Arial" w:hAnsi="Arial"/>
                <w:sz w:val="14"/>
              </w:rPr>
              <w:t xml:space="preserve">4</w:t>
            </w:r>
          </w:p>
        </w:tc>
        <w:tc>
          <w:tcPr>
            <w:tcW w:type="dxa" w:w="1384"/>
          </w:tcPr>
          <w:p>
            <w:pPr>
              <w:pStyle w:val="Compact"/>
              <w:spacing w:after="0" w:before="0" w:line="240" w:lineRule="auto"/>
              <w:jc w:val="left"/>
            </w:pPr>
            <w:r>
              <w:rPr>
                <w:rFonts w:ascii="Arial" w:hAnsi="Arial"/>
                <w:sz w:val="14"/>
              </w:rPr>
              <w:t xml:space="preserve">2: Hikma, DRL</w:t>
            </w:r>
          </w:p>
        </w:tc>
        <w:tc>
          <w:tcPr>
            <w:tcW w:type="dxa" w:w="967"/>
          </w:tcPr>
          <w:p>
            <w:pPr>
              <w:pStyle w:val="Compact"/>
              <w:spacing w:after="0" w:before="0" w:line="240" w:lineRule="auto"/>
              <w:jc w:val="left"/>
            </w:pPr>
            <w:r>
              <w:rPr>
                <w:rFonts w:ascii="Arial" w:hAnsi="Arial"/>
                <w:sz w:val="14"/>
              </w:rPr>
              <w:t xml:space="preserve">66.2%</w:t>
            </w:r>
          </w:p>
        </w:tc>
        <w:tc>
          <w:tcPr>
            <w:tcW w:type="dxa" w:w="1572"/>
          </w:tcPr>
          <w:p>
            <w:pPr>
              <w:pStyle w:val="Compact"/>
              <w:spacing w:after="0" w:before="0" w:line="240" w:lineRule="auto"/>
              <w:jc w:val="left"/>
            </w:pPr>
            <w:r>
              <w:rPr>
                <w:rFonts w:ascii="Arial" w:hAnsi="Arial"/>
                <w:sz w:val="14"/>
              </w:rPr>
              <w:t xml:space="preserve">$24.06</w:t>
            </w:r>
          </w:p>
        </w:tc>
        <w:tc>
          <w:tcPr>
            <w:tcW w:type="dxa" w:w="1639"/>
          </w:tcPr>
          <w:p>
            <w:pPr>
              <w:pStyle w:val="Compact"/>
              <w:spacing w:after="0" w:before="0" w:line="240" w:lineRule="auto"/>
              <w:jc w:val="left"/>
            </w:pPr>
            <w:r>
              <w:rPr>
                <w:rFonts w:ascii="Arial" w:hAnsi="Arial"/>
                <w:sz w:val="14"/>
              </w:rPr>
              <w:t xml:space="preserve">AOV $47.38; MDV $24.28</w:t>
            </w:r>
          </w:p>
        </w:tc>
      </w:tr>
      <w:tr>
        <w:trPr>
          <w:cantSplit/>
        </w:trPr>
        <w:tc>
          <w:tcPr>
            <w:tcW w:type="dxa" w:w="1142"/>
          </w:tcPr>
          <w:p>
            <w:pPr>
              <w:pStyle w:val="Compact"/>
              <w:spacing w:after="0" w:before="0" w:line="240" w:lineRule="auto"/>
              <w:jc w:val="left"/>
            </w:pPr>
            <w:r>
              <w:rPr>
                <w:rFonts w:ascii="Arial" w:hAnsi="Arial"/>
                <w:sz w:val="14"/>
              </w:rPr>
              <w:t xml:space="preserve">MPSS 1 g</w:t>
            </w:r>
          </w:p>
        </w:tc>
        <w:tc>
          <w:tcPr>
            <w:tcW w:type="dxa" w:w="2540"/>
          </w:tcPr>
          <w:p>
            <w:pPr>
              <w:pStyle w:val="Compact"/>
              <w:spacing w:after="0" w:before="0" w:line="240" w:lineRule="auto"/>
              <w:jc w:val="left"/>
            </w:pPr>
            <w:r>
              <w:rPr>
                <w:rFonts w:ascii="Arial" w:hAnsi="Arial"/>
                <w:sz w:val="14"/>
              </w:rPr>
              <w:t xml:space="preserve">Act-O-Vial + multi-dose vial</w:t>
            </w:r>
          </w:p>
        </w:tc>
        <w:tc>
          <w:tcPr>
            <w:tcW w:type="dxa" w:w="847"/>
          </w:tcPr>
          <w:p>
            <w:pPr>
              <w:pStyle w:val="Compact"/>
              <w:spacing w:after="0" w:before="0" w:line="240" w:lineRule="auto"/>
              <w:jc w:val="left"/>
            </w:pPr>
            <w:r>
              <w:rPr>
                <w:rFonts w:ascii="Arial" w:hAnsi="Arial"/>
                <w:sz w:val="14"/>
              </w:rPr>
              <w:t xml:space="preserve">5</w:t>
            </w:r>
          </w:p>
        </w:tc>
        <w:tc>
          <w:tcPr>
            <w:tcW w:type="dxa" w:w="1384"/>
          </w:tcPr>
          <w:p>
            <w:pPr>
              <w:pStyle w:val="Compact"/>
              <w:spacing w:after="0" w:before="0" w:line="240" w:lineRule="auto"/>
              <w:jc w:val="left"/>
            </w:pPr>
            <w:r>
              <w:rPr>
                <w:rFonts w:ascii="Arial" w:hAnsi="Arial"/>
                <w:sz w:val="14"/>
              </w:rPr>
              <w:t xml:space="preserve">3: Fresenius, Hikma, DRL</w:t>
            </w:r>
          </w:p>
        </w:tc>
        <w:tc>
          <w:tcPr>
            <w:tcW w:type="dxa" w:w="967"/>
          </w:tcPr>
          <w:p>
            <w:pPr>
              <w:pStyle w:val="Compact"/>
              <w:spacing w:after="0" w:before="0" w:line="240" w:lineRule="auto"/>
              <w:jc w:val="left"/>
            </w:pPr>
            <w:r>
              <w:rPr>
                <w:rFonts w:ascii="Arial" w:hAnsi="Arial"/>
                <w:sz w:val="14"/>
              </w:rPr>
              <w:t xml:space="preserve">54.1%</w:t>
            </w:r>
          </w:p>
        </w:tc>
        <w:tc>
          <w:tcPr>
            <w:tcW w:type="dxa" w:w="1572"/>
          </w:tcPr>
          <w:p>
            <w:pPr>
              <w:pStyle w:val="Compact"/>
              <w:spacing w:after="0" w:before="0" w:line="240" w:lineRule="auto"/>
              <w:jc w:val="left"/>
            </w:pPr>
            <w:r>
              <w:rPr>
                <w:rFonts w:ascii="Arial" w:hAnsi="Arial"/>
                <w:sz w:val="14"/>
              </w:rPr>
              <w:t xml:space="preserve">$48.11</w:t>
            </w:r>
          </w:p>
        </w:tc>
        <w:tc>
          <w:tcPr>
            <w:tcW w:type="dxa" w:w="1639"/>
          </w:tcPr>
          <w:p>
            <w:pPr>
              <w:pStyle w:val="Compact"/>
              <w:spacing w:after="0" w:before="0" w:line="240" w:lineRule="auto"/>
              <w:jc w:val="left"/>
            </w:pPr>
            <w:r>
              <w:rPr>
                <w:rFonts w:ascii="Arial" w:hAnsi="Arial"/>
                <w:sz w:val="14"/>
              </w:rPr>
              <w:t xml:space="preserve">AOV $68.92; MDV $25.35–43.98</w:t>
            </w:r>
          </w:p>
        </w:tc>
      </w:tr>
      <w:tr>
        <w:trPr>
          <w:cantSplit/>
        </w:trPr>
        <w:tc>
          <w:tcPr>
            <w:tcW w:type="dxa" w:w="1142"/>
          </w:tcPr>
          <w:p>
            <w:pPr>
              <w:pStyle w:val="Compact"/>
              <w:spacing w:after="0" w:before="0" w:line="240" w:lineRule="auto"/>
              <w:jc w:val="left"/>
            </w:pPr>
            <w:r>
              <w:rPr>
                <w:rFonts w:ascii="Arial" w:hAnsi="Arial"/>
                <w:sz w:val="14"/>
              </w:rPr>
              <w:t xml:space="preserve">MPSS 2 g</w:t>
            </w:r>
          </w:p>
        </w:tc>
        <w:tc>
          <w:tcPr>
            <w:tcW w:type="dxa" w:w="2540"/>
          </w:tcPr>
          <w:p>
            <w:pPr>
              <w:pStyle w:val="Compact"/>
              <w:spacing w:after="0" w:before="0" w:line="240" w:lineRule="auto"/>
              <w:jc w:val="left"/>
            </w:pPr>
            <w:r>
              <w:rPr>
                <w:rFonts w:ascii="Arial" w:hAnsi="Arial"/>
                <w:sz w:val="14"/>
              </w:rPr>
              <w:t xml:space="preserve">Plain single-dose vial (no DCV)</w:t>
            </w:r>
          </w:p>
        </w:tc>
        <w:tc>
          <w:tcPr>
            <w:tcW w:type="dxa" w:w="847"/>
          </w:tcPr>
          <w:p>
            <w:pPr>
              <w:pStyle w:val="Compact"/>
              <w:spacing w:after="0" w:before="0" w:line="240" w:lineRule="auto"/>
              <w:jc w:val="left"/>
            </w:pPr>
            <w:r>
              <w:rPr>
                <w:rFonts w:ascii="Arial" w:hAnsi="Arial"/>
                <w:sz w:val="14"/>
              </w:rPr>
              <w:t xml:space="preserve">3</w:t>
            </w:r>
          </w:p>
        </w:tc>
        <w:tc>
          <w:tcPr>
            <w:tcW w:type="dxa" w:w="1384"/>
          </w:tcPr>
          <w:p>
            <w:pPr>
              <w:pStyle w:val="Compact"/>
              <w:spacing w:after="0" w:before="0" w:line="240" w:lineRule="auto"/>
              <w:jc w:val="left"/>
            </w:pPr>
            <w:r>
              <w:rPr>
                <w:rFonts w:ascii="Arial" w:hAnsi="Arial"/>
                <w:sz w:val="14"/>
              </w:rPr>
              <w:t xml:space="preserve">0</w:t>
            </w:r>
          </w:p>
        </w:tc>
        <w:tc>
          <w:tcPr>
            <w:tcW w:type="dxa" w:w="967"/>
          </w:tcPr>
          <w:p>
            <w:pPr>
              <w:pStyle w:val="Compact"/>
              <w:spacing w:after="0" w:before="0" w:line="240" w:lineRule="auto"/>
              <w:jc w:val="left"/>
            </w:pPr>
            <w:r>
              <w:rPr>
                <w:rFonts w:ascii="Arial" w:hAnsi="Arial"/>
                <w:sz w:val="14"/>
              </w:rPr>
              <w:t xml:space="preserve">100%</w:t>
            </w:r>
          </w:p>
        </w:tc>
        <w:tc>
          <w:tcPr>
            <w:tcW w:type="dxa" w:w="1572"/>
          </w:tcPr>
          <w:p>
            <w:pPr>
              <w:pStyle w:val="Compact"/>
              <w:spacing w:after="0" w:before="0" w:line="240" w:lineRule="auto"/>
              <w:jc w:val="left"/>
            </w:pPr>
            <w:r>
              <w:rPr>
                <w:rFonts w:ascii="Arial" w:hAnsi="Arial"/>
                <w:sz w:val="14"/>
              </w:rPr>
              <w:t xml:space="preserve">$96.23</w:t>
            </w:r>
          </w:p>
        </w:tc>
        <w:tc>
          <w:tcPr>
            <w:tcW w:type="dxa" w:w="1639"/>
          </w:tcPr>
          <w:p>
            <w:pPr>
              <w:pStyle w:val="Compact"/>
              <w:spacing w:after="0" w:before="0" w:line="240" w:lineRule="auto"/>
              <w:jc w:val="left"/>
            </w:pPr>
            <w:r>
              <w:rPr>
                <w:rFonts w:ascii="Arial" w:hAnsi="Arial"/>
                <w:sz w:val="14"/>
              </w:rPr>
              <w:t xml:space="preserve">$108.86</w:t>
            </w:r>
          </w:p>
        </w:tc>
      </w:tr>
      <w:tr>
        <w:trPr>
          <w:cantSplit/>
        </w:trPr>
        <w:tc>
          <w:tcPr>
            <w:tcW w:type="dxa" w:w="1142"/>
          </w:tcPr>
          <w:p>
            <w:pPr>
              <w:pStyle w:val="Compact"/>
              <w:spacing w:after="0" w:before="0" w:line="240" w:lineRule="auto"/>
              <w:jc w:val="left"/>
            </w:pPr>
            <w:r>
              <w:rPr>
                <w:rFonts w:ascii="Arial" w:hAnsi="Arial"/>
                <w:sz w:val="14"/>
              </w:rPr>
              <w:t xml:space="preserve">HSS 100 mg</w:t>
            </w:r>
          </w:p>
        </w:tc>
        <w:tc>
          <w:tcPr>
            <w:tcW w:type="dxa" w:w="2540"/>
          </w:tcPr>
          <w:p>
            <w:pPr>
              <w:pStyle w:val="Compact"/>
              <w:spacing w:after="0" w:before="0" w:line="240" w:lineRule="auto"/>
              <w:jc w:val="left"/>
            </w:pPr>
            <w:r>
              <w:rPr>
                <w:rFonts w:ascii="Arial" w:hAnsi="Arial"/>
                <w:sz w:val="14"/>
              </w:rPr>
              <w:t xml:space="preserve">Plain vial and Act-O-Vial</w:t>
            </w:r>
          </w:p>
        </w:tc>
        <w:tc>
          <w:tcPr>
            <w:tcW w:type="dxa" w:w="847"/>
          </w:tcPr>
          <w:p>
            <w:pPr>
              <w:pStyle w:val="Compact"/>
              <w:spacing w:after="0" w:before="0" w:line="240" w:lineRule="auto"/>
              <w:jc w:val="left"/>
            </w:pPr>
            <w:r>
              <w:rPr>
                <w:rFonts w:ascii="Arial" w:hAnsi="Arial"/>
                <w:sz w:val="14"/>
              </w:rPr>
              <w:t xml:space="preserve">4</w:t>
            </w:r>
          </w:p>
        </w:tc>
        <w:tc>
          <w:tcPr>
            <w:tcW w:type="dxa" w:w="1384"/>
          </w:tcPr>
          <w:p>
            <w:pPr>
              <w:pStyle w:val="Compact"/>
              <w:spacing w:after="0" w:before="0" w:line="240" w:lineRule="auto"/>
              <w:jc w:val="left"/>
            </w:pPr>
            <w:r>
              <w:rPr>
                <w:rFonts w:ascii="Arial" w:hAnsi="Arial"/>
                <w:sz w:val="14"/>
              </w:rPr>
              <w:t xml:space="preserve">3: Cipla, Apotex, Zydus</w:t>
            </w:r>
          </w:p>
        </w:tc>
        <w:tc>
          <w:tcPr>
            <w:tcW w:type="dxa" w:w="967"/>
          </w:tcPr>
          <w:p>
            <w:pPr>
              <w:pStyle w:val="Compact"/>
              <w:spacing w:after="0" w:before="0" w:line="240" w:lineRule="auto"/>
              <w:jc w:val="left"/>
            </w:pPr>
            <w:r>
              <w:rPr>
                <w:rFonts w:ascii="Arial" w:hAnsi="Arial"/>
                <w:sz w:val="14"/>
              </w:rPr>
              <w:t xml:space="preserve">93.0%</w:t>
            </w:r>
          </w:p>
        </w:tc>
        <w:tc>
          <w:tcPr>
            <w:tcW w:type="dxa" w:w="1572"/>
          </w:tcPr>
          <w:p>
            <w:pPr>
              <w:pStyle w:val="Compact"/>
              <w:spacing w:after="0" w:before="0" w:line="240" w:lineRule="auto"/>
              <w:jc w:val="left"/>
            </w:pPr>
            <w:r>
              <w:rPr>
                <w:rFonts w:ascii="Arial" w:hAnsi="Arial"/>
                <w:sz w:val="14"/>
              </w:rPr>
              <w:t xml:space="preserve">$21.84</w:t>
            </w:r>
          </w:p>
        </w:tc>
        <w:tc>
          <w:tcPr>
            <w:tcW w:type="dxa" w:w="1639"/>
          </w:tcPr>
          <w:p>
            <w:pPr>
              <w:pStyle w:val="Compact"/>
              <w:spacing w:after="0" w:before="0" w:line="240" w:lineRule="auto"/>
              <w:jc w:val="left"/>
            </w:pPr>
            <w:r>
              <w:rPr>
                <w:rFonts w:ascii="Arial" w:hAnsi="Arial"/>
                <w:sz w:val="14"/>
              </w:rPr>
              <w:t xml:space="preserve">plain $20.11; AOV $25.27</w:t>
            </w:r>
          </w:p>
        </w:tc>
      </w:tr>
      <w:tr>
        <w:trPr>
          <w:cantSplit/>
        </w:trPr>
        <w:tc>
          <w:tcPr>
            <w:tcW w:type="dxa" w:w="1142"/>
          </w:tcPr>
          <w:p>
            <w:pPr>
              <w:pStyle w:val="Compact"/>
              <w:spacing w:after="0" w:before="0" w:line="240" w:lineRule="auto"/>
              <w:jc w:val="left"/>
            </w:pPr>
            <w:r>
              <w:rPr>
                <w:rFonts w:ascii="Arial" w:hAnsi="Arial"/>
                <w:sz w:val="14"/>
              </w:rPr>
              <w:t xml:space="preserve">HSS 250 mg</w:t>
            </w:r>
          </w:p>
        </w:tc>
        <w:tc>
          <w:tcPr>
            <w:tcW w:type="dxa" w:w="2540"/>
          </w:tcPr>
          <w:p>
            <w:pPr>
              <w:pStyle w:val="Compact"/>
              <w:spacing w:after="0" w:before="0" w:line="240" w:lineRule="auto"/>
              <w:jc w:val="left"/>
            </w:pPr>
            <w:r>
              <w:rPr>
                <w:rFonts w:ascii="Arial" w:hAnsi="Arial"/>
                <w:sz w:val="14"/>
              </w:rPr>
              <w:t xml:space="preserve">Act-O-Vial only</w:t>
            </w:r>
          </w:p>
        </w:tc>
        <w:tc>
          <w:tcPr>
            <w:tcW w:type="dxa" w:w="847"/>
          </w:tcPr>
          <w:p>
            <w:pPr>
              <w:pStyle w:val="Compact"/>
              <w:spacing w:after="0" w:before="0" w:line="240" w:lineRule="auto"/>
              <w:jc w:val="left"/>
            </w:pPr>
            <w:r>
              <w:rPr>
                <w:rFonts w:ascii="Arial" w:hAnsi="Arial"/>
                <w:sz w:val="14"/>
              </w:rPr>
              <w:t xml:space="preserve">1</w:t>
            </w:r>
          </w:p>
        </w:tc>
        <w:tc>
          <w:tcPr>
            <w:tcW w:type="dxa" w:w="1384"/>
          </w:tcPr>
          <w:p>
            <w:pPr>
              <w:pStyle w:val="Compact"/>
              <w:spacing w:after="0" w:before="0" w:line="240" w:lineRule="auto"/>
              <w:jc w:val="left"/>
            </w:pPr>
            <w:r>
              <w:rPr>
                <w:rFonts w:ascii="Arial" w:hAnsi="Arial"/>
                <w:sz w:val="14"/>
              </w:rPr>
              <w:t xml:space="preserve">0</w:t>
            </w:r>
          </w:p>
        </w:tc>
        <w:tc>
          <w:tcPr>
            <w:tcW w:type="dxa" w:w="967"/>
          </w:tcPr>
          <w:p>
            <w:pPr>
              <w:pStyle w:val="Compact"/>
              <w:spacing w:after="0" w:before="0" w:line="240" w:lineRule="auto"/>
              <w:jc w:val="left"/>
            </w:pPr>
            <w:r>
              <w:rPr>
                <w:rFonts w:ascii="Arial" w:hAnsi="Arial"/>
                <w:sz w:val="14"/>
              </w:rPr>
              <w:t xml:space="preserve">100%</w:t>
            </w:r>
          </w:p>
        </w:tc>
        <w:tc>
          <w:tcPr>
            <w:tcW w:type="dxa" w:w="1572"/>
          </w:tcPr>
          <w:p>
            <w:pPr>
              <w:pStyle w:val="Compact"/>
              <w:spacing w:after="0" w:before="0" w:line="240" w:lineRule="auto"/>
              <w:jc w:val="left"/>
            </w:pPr>
            <w:r>
              <w:rPr>
                <w:rFonts w:ascii="Arial" w:hAnsi="Arial"/>
                <w:sz w:val="14"/>
              </w:rPr>
              <w:t xml:space="preserve">$54.60 (2.5 units) / $65.52 (3 units)</w:t>
            </w:r>
          </w:p>
        </w:tc>
        <w:tc>
          <w:tcPr>
            <w:tcW w:type="dxa" w:w="1639"/>
          </w:tcPr>
          <w:p>
            <w:pPr>
              <w:pStyle w:val="Compact"/>
              <w:spacing w:after="0" w:before="0" w:line="240" w:lineRule="auto"/>
              <w:jc w:val="left"/>
            </w:pPr>
            <w:r>
              <w:rPr>
                <w:rFonts w:ascii="Arial" w:hAnsi="Arial"/>
                <w:sz w:val="14"/>
              </w:rPr>
              <w:t xml:space="preserve">$51.21</w:t>
            </w:r>
          </w:p>
        </w:tc>
      </w:tr>
      <w:tr>
        <w:trPr>
          <w:cantSplit/>
        </w:trPr>
        <w:tc>
          <w:tcPr>
            <w:tcW w:type="dxa" w:w="1142"/>
          </w:tcPr>
          <w:p>
            <w:pPr>
              <w:pStyle w:val="Compact"/>
              <w:spacing w:after="0" w:before="0" w:line="240" w:lineRule="auto"/>
              <w:jc w:val="left"/>
            </w:pPr>
            <w:r>
              <w:rPr>
                <w:rFonts w:ascii="Arial" w:hAnsi="Arial"/>
                <w:sz w:val="14"/>
              </w:rPr>
              <w:t xml:space="preserve">HSS 500 mg</w:t>
            </w:r>
          </w:p>
        </w:tc>
        <w:tc>
          <w:tcPr>
            <w:tcW w:type="dxa" w:w="2540"/>
          </w:tcPr>
          <w:p>
            <w:pPr>
              <w:pStyle w:val="Compact"/>
              <w:spacing w:after="0" w:before="0" w:line="240" w:lineRule="auto"/>
              <w:jc w:val="left"/>
            </w:pPr>
            <w:r>
              <w:rPr>
                <w:rFonts w:ascii="Arial" w:hAnsi="Arial"/>
                <w:sz w:val="14"/>
              </w:rPr>
              <w:t xml:space="preserve">Act-O-Vial only</w:t>
            </w:r>
          </w:p>
        </w:tc>
        <w:tc>
          <w:tcPr>
            <w:tcW w:type="dxa" w:w="847"/>
          </w:tcPr>
          <w:p>
            <w:pPr>
              <w:pStyle w:val="Compact"/>
              <w:spacing w:after="0" w:before="0" w:line="240" w:lineRule="auto"/>
              <w:jc w:val="left"/>
            </w:pPr>
            <w:r>
              <w:rPr>
                <w:rFonts w:ascii="Arial" w:hAnsi="Arial"/>
                <w:sz w:val="14"/>
              </w:rPr>
              <w:t xml:space="preserve">1</w:t>
            </w:r>
          </w:p>
        </w:tc>
        <w:tc>
          <w:tcPr>
            <w:tcW w:type="dxa" w:w="1384"/>
          </w:tcPr>
          <w:p>
            <w:pPr>
              <w:pStyle w:val="Compact"/>
              <w:spacing w:after="0" w:before="0" w:line="240" w:lineRule="auto"/>
              <w:jc w:val="left"/>
            </w:pPr>
            <w:r>
              <w:rPr>
                <w:rFonts w:ascii="Arial" w:hAnsi="Arial"/>
                <w:sz w:val="14"/>
              </w:rPr>
              <w:t xml:space="preserve">0</w:t>
            </w:r>
          </w:p>
        </w:tc>
        <w:tc>
          <w:tcPr>
            <w:tcW w:type="dxa" w:w="967"/>
          </w:tcPr>
          <w:p>
            <w:pPr>
              <w:pStyle w:val="Compact"/>
              <w:spacing w:after="0" w:before="0" w:line="240" w:lineRule="auto"/>
              <w:jc w:val="left"/>
            </w:pPr>
            <w:r>
              <w:rPr>
                <w:rFonts w:ascii="Arial" w:hAnsi="Arial"/>
                <w:sz w:val="14"/>
              </w:rPr>
              <w:t xml:space="preserve">100% (2025)</w:t>
            </w:r>
          </w:p>
        </w:tc>
        <w:tc>
          <w:tcPr>
            <w:tcW w:type="dxa" w:w="1572"/>
          </w:tcPr>
          <w:p>
            <w:pPr>
              <w:pStyle w:val="Compact"/>
              <w:spacing w:after="0" w:before="0" w:line="240" w:lineRule="auto"/>
              <w:jc w:val="left"/>
            </w:pPr>
            <w:r>
              <w:rPr>
                <w:rFonts w:ascii="Arial" w:hAnsi="Arial"/>
                <w:sz w:val="14"/>
              </w:rPr>
              <w:t xml:space="preserve">$109.19</w:t>
            </w:r>
          </w:p>
        </w:tc>
        <w:tc>
          <w:tcPr>
            <w:tcW w:type="dxa" w:w="1639"/>
          </w:tcPr>
          <w:p>
            <w:pPr>
              <w:pStyle w:val="Compact"/>
              <w:spacing w:after="0" w:before="0" w:line="240" w:lineRule="auto"/>
              <w:jc w:val="left"/>
            </w:pPr>
            <w:r>
              <w:rPr>
                <w:rFonts w:ascii="Arial" w:hAnsi="Arial"/>
                <w:sz w:val="14"/>
              </w:rPr>
              <w:t xml:space="preserve">$100.56</w:t>
            </w:r>
          </w:p>
        </w:tc>
      </w:tr>
      <w:tr>
        <w:trPr>
          <w:cantSplit/>
        </w:trPr>
        <w:tc>
          <w:tcPr>
            <w:tcW w:type="dxa" w:w="1142"/>
          </w:tcPr>
          <w:p>
            <w:pPr>
              <w:pStyle w:val="Compact"/>
              <w:spacing w:after="0" w:before="0" w:line="240" w:lineRule="auto"/>
              <w:jc w:val="left"/>
            </w:pPr>
            <w:r>
              <w:rPr>
                <w:rFonts w:ascii="Arial" w:hAnsi="Arial"/>
                <w:sz w:val="14"/>
              </w:rPr>
              <w:t xml:space="preserve">HSS 1 g</w:t>
            </w:r>
          </w:p>
        </w:tc>
        <w:tc>
          <w:tcPr>
            <w:tcW w:type="dxa" w:w="2540"/>
          </w:tcPr>
          <w:p>
            <w:pPr>
              <w:pStyle w:val="Compact"/>
              <w:spacing w:after="0" w:before="0" w:line="240" w:lineRule="auto"/>
              <w:jc w:val="left"/>
            </w:pPr>
            <w:r>
              <w:rPr>
                <w:rFonts w:ascii="Arial" w:hAnsi="Arial"/>
                <w:sz w:val="14"/>
              </w:rPr>
              <w:t xml:space="preserve">Act-O-Vial only</w:t>
            </w:r>
          </w:p>
        </w:tc>
        <w:tc>
          <w:tcPr>
            <w:tcW w:type="dxa" w:w="847"/>
          </w:tcPr>
          <w:p>
            <w:pPr>
              <w:pStyle w:val="Compact"/>
              <w:spacing w:after="0" w:before="0" w:line="240" w:lineRule="auto"/>
              <w:jc w:val="left"/>
            </w:pPr>
            <w:r>
              <w:rPr>
                <w:rFonts w:ascii="Arial" w:hAnsi="Arial"/>
                <w:sz w:val="14"/>
              </w:rPr>
              <w:t xml:space="preserve">1</w:t>
            </w:r>
          </w:p>
        </w:tc>
        <w:tc>
          <w:tcPr>
            <w:tcW w:type="dxa" w:w="1384"/>
          </w:tcPr>
          <w:p>
            <w:pPr>
              <w:pStyle w:val="Compact"/>
              <w:spacing w:after="0" w:before="0" w:line="240" w:lineRule="auto"/>
              <w:jc w:val="left"/>
            </w:pPr>
            <w:r>
              <w:rPr>
                <w:rFonts w:ascii="Arial" w:hAnsi="Arial"/>
                <w:sz w:val="14"/>
              </w:rPr>
              <w:t xml:space="preserve">0</w:t>
            </w:r>
          </w:p>
        </w:tc>
        <w:tc>
          <w:tcPr>
            <w:tcW w:type="dxa" w:w="967"/>
          </w:tcPr>
          <w:p>
            <w:pPr>
              <w:pStyle w:val="Compact"/>
              <w:spacing w:after="0" w:before="0" w:line="240" w:lineRule="auto"/>
              <w:jc w:val="left"/>
            </w:pPr>
            <w:r>
              <w:rPr>
                <w:rFonts w:ascii="Arial" w:hAnsi="Arial"/>
                <w:sz w:val="14"/>
              </w:rPr>
              <w:t xml:space="preserve">100%</w:t>
            </w:r>
          </w:p>
        </w:tc>
        <w:tc>
          <w:tcPr>
            <w:tcW w:type="dxa" w:w="1572"/>
          </w:tcPr>
          <w:p>
            <w:pPr>
              <w:pStyle w:val="Compact"/>
              <w:spacing w:after="0" w:before="0" w:line="240" w:lineRule="auto"/>
              <w:jc w:val="left"/>
            </w:pPr>
            <w:r>
              <w:rPr>
                <w:rFonts w:ascii="Arial" w:hAnsi="Arial"/>
                <w:sz w:val="14"/>
              </w:rPr>
              <w:t xml:space="preserve">$218.39</w:t>
            </w:r>
          </w:p>
        </w:tc>
        <w:tc>
          <w:tcPr>
            <w:tcW w:type="dxa" w:w="1639"/>
          </w:tcPr>
          <w:p>
            <w:pPr>
              <w:pStyle w:val="Compact"/>
              <w:spacing w:after="0" w:before="0" w:line="240" w:lineRule="auto"/>
              <w:jc w:val="left"/>
            </w:pPr>
            <w:r>
              <w:rPr>
                <w:rFonts w:ascii="Arial" w:hAnsi="Arial"/>
                <w:sz w:val="14"/>
              </w:rPr>
              <w:t xml:space="preserve">$201.05</w:t>
            </w:r>
          </w:p>
        </w:tc>
      </w:tr>
    </w:tbl>
    <w:p>
      <w:pPr>
        <w:pStyle w:val="BodyText"/>
        <w:spacing w:before="100"/>
      </w:pPr>
      <w:r>
        <w:rPr>
          <w:rFonts w:ascii="Arial" w:hAnsi="Arial"/>
        </w:rPr>
        <w:t xml:space="preserve">Implied ASP is the CMS payment limit × billing units per vial ÷ 1.06 (our calculation). The October 2026 file reflects 2Q26 sales (</w:t>
      </w:r>
      <w:hyperlink r:id="rId29">
        <w:r>
          <w:rPr>
            <w:rStyle w:val="Hyperlink"/>
          </w:rPr>
          <w:t xml:space="preserve">CMS Oct 2026 payment limit file</w:t>
        </w:r>
      </w:hyperlink>
      <w:r>
        <w:rPr>
          <w:rFonts w:ascii="Arial" w:hAnsi="Arial"/>
        </w:rPr>
        <w:t xml:space="preserve">). Medicaid Rx shares are our calculation from</w:t>
      </w:r>
      <w:r>
        <w:rPr>
          <w:rFonts w:ascii="Arial" w:hAnsi="Arial"/>
        </w:rPr>
        <w:t xml:space="preserve"> </w:t>
      </w:r>
      <w:hyperlink r:id="rId25">
        <w:r>
          <w:rPr>
            <w:rStyle w:val="Hyperlink"/>
          </w:rPr>
          <w:t xml:space="preserve">SDUD 2026</w:t>
        </w:r>
      </w:hyperlink>
      <w:r>
        <w:rPr>
          <w:rFonts w:ascii="Arial" w:hAnsi="Arial"/>
        </w:rPr>
        <w:t xml:space="preserve">; HSS 500 mg uses 2025 (</w:t>
      </w:r>
      <w:hyperlink r:id="rId35">
        <w:r>
          <w:rPr>
            <w:rStyle w:val="Hyperlink"/>
          </w:rPr>
          <w:t xml:space="preserve">SDUD 2025</w:t>
        </w:r>
      </w:hyperlink>
      <w:r>
        <w:rPr>
          <w:rFonts w:ascii="Arial" w:hAnsi="Arial"/>
        </w:rPr>
        <w:t xml:space="preserve">). Presentation and Orange Book source counts come from the</w:t>
      </w:r>
      <w:r>
        <w:rPr>
          <w:rFonts w:ascii="Arial" w:hAnsi="Arial"/>
        </w:rPr>
        <w:t xml:space="preserve"> </w:t>
      </w:r>
      <w:hyperlink r:id="rId20">
        <w:r>
          <w:rPr>
            <w:rStyle w:val="Hyperlink"/>
          </w:rPr>
          <w:t xml:space="preserve">Orange Book</w:t>
        </w:r>
      </w:hyperlink>
      <w:r>
        <w:rPr>
          <w:rFonts w:ascii="Arial" w:hAnsi="Arial"/>
        </w:rPr>
        <w:t xml:space="preserve"> </w:t>
      </w:r>
      <w:r>
        <w:rPr>
          <w:rFonts w:ascii="Arial" w:hAnsi="Arial"/>
        </w:rPr>
        <w:t xml:space="preserve">and the</w:t>
      </w:r>
      <w:r>
        <w:rPr>
          <w:rFonts w:ascii="Arial" w:hAnsi="Arial"/>
        </w:rPr>
        <w:t xml:space="preserve"> </w:t>
      </w:r>
      <w:hyperlink r:id="rId39">
        <w:r>
          <w:rPr>
            <w:rStyle w:val="Hyperlink"/>
          </w:rPr>
          <w:t xml:space="preserve">Solu-Medrol</w:t>
        </w:r>
      </w:hyperlink>
      <w:r>
        <w:rPr>
          <w:rFonts w:ascii="Arial" w:hAnsi="Arial"/>
        </w:rPr>
        <w:t xml:space="preserve"> </w:t>
      </w:r>
      <w:r>
        <w:rPr>
          <w:rFonts w:ascii="Arial" w:hAnsi="Arial"/>
        </w:rPr>
        <w:t xml:space="preserve">and</w:t>
      </w:r>
      <w:r>
        <w:rPr>
          <w:rFonts w:ascii="Arial" w:hAnsi="Arial"/>
        </w:rPr>
        <w:t xml:space="preserve"> </w:t>
      </w:r>
      <w:hyperlink r:id="rId28">
        <w:r>
          <w:rPr>
            <w:rStyle w:val="Hyperlink"/>
          </w:rPr>
          <w:t xml:space="preserve">Solu-Cortef</w:t>
        </w:r>
      </w:hyperlink>
      <w:r>
        <w:rPr>
          <w:rFonts w:ascii="Arial" w:hAnsi="Arial"/>
        </w:rPr>
        <w:t xml:space="preserve"> </w:t>
      </w:r>
      <w:r>
        <w:rPr>
          <w:rFonts w:ascii="Arial" w:hAnsi="Arial"/>
        </w:rPr>
        <w:t xml:space="preserve">labels.</w:t>
      </w:r>
    </w:p>
    <w:bookmarkStart w:id="40" w:name="Xf1203937fb823a696bed74c3894df19e664e45d"/>
    <w:p>
      <w:pPr>
        <w:pStyle w:val="Heading3"/>
        <w:keepNext/>
      </w:pPr>
      <w:r>
        <w:rPr>
          <w:rFonts w:ascii="Arial" w:hAnsi="Arial"/>
        </w:rPr>
        <w:t xml:space="preserve">Players-by-strength matrix: MPSS (Solu-Medrol)</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1349"/>
        <w:gridCol w:w="1510"/>
        <w:gridCol w:w="1877"/>
        <w:gridCol w:w="375"/>
        <w:gridCol w:w="375"/>
        <w:gridCol w:w="375"/>
        <w:gridCol w:w="375"/>
        <w:gridCol w:w="563"/>
        <w:gridCol w:w="1412"/>
        <w:gridCol w:w="1877"/>
      </w:tblGrid>
      <w:tr>
        <w:trPr>
          <w:tblHeader w:val="true"/>
          <w:tblHeader w:val="true"/>
          <w:cantSplit/>
        </w:trPr>
        <w:tc>
          <w:tcPr>
            <w:tcW w:type="dxa" w:w="1350"/>
            <w:shd w:val="clear" w:color="auto" w:fill="1F3864"/>
          </w:tcPr>
          <w:p>
            <w:pPr>
              <w:pStyle w:val="Compact"/>
              <w:spacing w:after="0" w:before="0" w:line="240" w:lineRule="auto"/>
              <w:jc w:val="left"/>
            </w:pPr>
            <w:r>
              <w:rPr>
                <w:rFonts w:ascii="Arial" w:hAnsi="Arial"/>
                <w:b/>
                <w:color w:val="FFFFFF"/>
                <w:sz w:val="13"/>
              </w:rPr>
              <w:t xml:space="preserve">Manufacturing source</w:t>
            </w:r>
          </w:p>
        </w:tc>
        <w:tc>
          <w:tcPr>
            <w:tcW w:type="dxa" w:w="1511"/>
            <w:shd w:val="clear" w:color="auto" w:fill="1F3864"/>
          </w:tcPr>
          <w:p>
            <w:pPr>
              <w:pStyle w:val="Compact"/>
              <w:spacing w:after="0" w:before="0" w:line="240" w:lineRule="auto"/>
              <w:jc w:val="left"/>
            </w:pPr>
            <w:r>
              <w:rPr>
                <w:rFonts w:ascii="Arial" w:hAnsi="Arial"/>
                <w:b/>
                <w:color w:val="FFFFFF"/>
                <w:sz w:val="13"/>
              </w:rPr>
              <w:t xml:space="preserve">Labeler(s)</w:t>
            </w:r>
          </w:p>
        </w:tc>
        <w:tc>
          <w:tcPr>
            <w:tcW w:type="dxa" w:w="1877"/>
            <w:shd w:val="clear" w:color="auto" w:fill="1F3864"/>
          </w:tcPr>
          <w:p>
            <w:pPr>
              <w:pStyle w:val="Compact"/>
              <w:spacing w:after="0" w:before="0" w:line="240" w:lineRule="auto"/>
              <w:jc w:val="left"/>
            </w:pPr>
            <w:r>
              <w:rPr>
                <w:rFonts w:ascii="Arial" w:hAnsi="Arial"/>
                <w:b/>
                <w:color w:val="FFFFFF"/>
                <w:sz w:val="13"/>
              </w:rPr>
              <w:t xml:space="preserve">Application, approval</w:t>
            </w:r>
          </w:p>
        </w:tc>
        <w:tc>
          <w:tcPr>
            <w:tcW w:type="dxa" w:w="375"/>
            <w:shd w:val="clear" w:color="auto" w:fill="1F3864"/>
          </w:tcPr>
          <w:p>
            <w:pPr>
              <w:pStyle w:val="Compact"/>
              <w:spacing w:after="0" w:before="0" w:line="240" w:lineRule="auto"/>
              <w:jc w:val="left"/>
            </w:pPr>
            <w:r>
              <w:rPr>
                <w:rFonts w:ascii="Arial" w:hAnsi="Arial"/>
                <w:b/>
                <w:color w:val="FFFFFF"/>
                <w:sz w:val="13"/>
              </w:rPr>
              <w:t xml:space="preserve">40</w:t>
            </w:r>
          </w:p>
        </w:tc>
        <w:tc>
          <w:tcPr>
            <w:tcW w:type="dxa" w:w="375"/>
            <w:shd w:val="clear" w:color="auto" w:fill="1F3864"/>
          </w:tcPr>
          <w:p>
            <w:pPr>
              <w:pStyle w:val="Compact"/>
              <w:spacing w:after="0" w:before="0" w:line="240" w:lineRule="auto"/>
              <w:jc w:val="left"/>
            </w:pPr>
            <w:r>
              <w:rPr>
                <w:rFonts w:ascii="Arial" w:hAnsi="Arial"/>
                <w:b/>
                <w:color w:val="FFFFFF"/>
                <w:sz w:val="13"/>
              </w:rPr>
              <w:t xml:space="preserve">125</w:t>
            </w:r>
          </w:p>
        </w:tc>
        <w:tc>
          <w:tcPr>
            <w:tcW w:type="dxa" w:w="375"/>
            <w:shd w:val="clear" w:color="auto" w:fill="1F3864"/>
          </w:tcPr>
          <w:p>
            <w:pPr>
              <w:pStyle w:val="Compact"/>
              <w:spacing w:after="0" w:before="0" w:line="240" w:lineRule="auto"/>
              <w:jc w:val="left"/>
            </w:pPr>
            <w:r>
              <w:rPr>
                <w:rFonts w:ascii="Arial" w:hAnsi="Arial"/>
                <w:b/>
                <w:color w:val="FFFFFF"/>
                <w:sz w:val="13"/>
              </w:rPr>
              <w:t xml:space="preserve">500</w:t>
            </w:r>
          </w:p>
        </w:tc>
        <w:tc>
          <w:tcPr>
            <w:tcW w:type="dxa" w:w="375"/>
            <w:shd w:val="clear" w:color="auto" w:fill="1F3864"/>
          </w:tcPr>
          <w:p>
            <w:pPr>
              <w:pStyle w:val="Compact"/>
              <w:spacing w:after="0" w:before="0" w:line="240" w:lineRule="auto"/>
              <w:jc w:val="left"/>
            </w:pPr>
            <w:r>
              <w:rPr>
                <w:rFonts w:ascii="Arial" w:hAnsi="Arial"/>
                <w:b/>
                <w:color w:val="FFFFFF"/>
                <w:sz w:val="13"/>
              </w:rPr>
              <w:t xml:space="preserve">1 g</w:t>
            </w:r>
          </w:p>
        </w:tc>
        <w:tc>
          <w:tcPr>
            <w:tcW w:type="dxa" w:w="563"/>
            <w:shd w:val="clear" w:color="auto" w:fill="1F3864"/>
          </w:tcPr>
          <w:p>
            <w:pPr>
              <w:pStyle w:val="Compact"/>
              <w:spacing w:after="0" w:before="0" w:line="240" w:lineRule="auto"/>
              <w:jc w:val="left"/>
            </w:pPr>
            <w:r>
              <w:rPr>
                <w:rFonts w:ascii="Arial" w:hAnsi="Arial"/>
                <w:b/>
                <w:color w:val="FFFFFF"/>
                <w:sz w:val="13"/>
              </w:rPr>
              <w:t xml:space="preserve">2 g</w:t>
            </w:r>
          </w:p>
        </w:tc>
        <w:tc>
          <w:tcPr>
            <w:tcW w:type="dxa" w:w="1412"/>
            <w:shd w:val="clear" w:color="auto" w:fill="1F3864"/>
          </w:tcPr>
          <w:p>
            <w:pPr>
              <w:pStyle w:val="Compact"/>
              <w:spacing w:after="0" w:before="0" w:line="240" w:lineRule="auto"/>
              <w:jc w:val="left"/>
            </w:pPr>
            <w:r>
              <w:rPr>
                <w:rFonts w:ascii="Arial" w:hAnsi="Arial"/>
                <w:b/>
                <w:color w:val="FFFFFF"/>
                <w:sz w:val="13"/>
              </w:rPr>
              <w:t xml:space="preserve">Presentation</w:t>
            </w:r>
          </w:p>
        </w:tc>
        <w:tc>
          <w:tcPr>
            <w:tcW w:type="dxa" w:w="1877"/>
            <w:shd w:val="clear" w:color="auto" w:fill="1F3864"/>
          </w:tcPr>
          <w:p>
            <w:pPr>
              <w:pStyle w:val="Compact"/>
              <w:spacing w:after="0" w:before="0" w:line="240" w:lineRule="auto"/>
              <w:jc w:val="left"/>
            </w:pPr>
            <w:r>
              <w:rPr>
                <w:rFonts w:ascii="Arial" w:hAnsi="Arial"/>
                <w:b/>
                <w:color w:val="FFFFFF"/>
                <w:sz w:val="13"/>
              </w:rPr>
              <w:t xml:space="preserve">Commercial footprint</w:t>
            </w:r>
          </w:p>
        </w:tc>
      </w:tr>
      <w:tr>
        <w:trPr>
          <w:cantSplit/>
        </w:trPr>
        <w:tc>
          <w:tcPr>
            <w:tcW w:type="dxa" w:w="1350"/>
          </w:tcPr>
          <w:p>
            <w:pPr>
              <w:pStyle w:val="Compact"/>
              <w:spacing w:after="0" w:before="0" w:line="240" w:lineRule="auto"/>
              <w:jc w:val="left"/>
            </w:pPr>
            <w:r>
              <w:rPr>
                <w:rFonts w:ascii="Arial" w:hAnsi="Arial"/>
                <w:sz w:val="13"/>
              </w:rPr>
              <w:t xml:space="preserve">Pfizer (Pharmacia &amp; Upjohn)</w:t>
            </w:r>
          </w:p>
        </w:tc>
        <w:tc>
          <w:tcPr>
            <w:tcW w:type="dxa" w:w="1511"/>
          </w:tcPr>
          <w:p>
            <w:pPr>
              <w:pStyle w:val="Compact"/>
              <w:spacing w:after="0" w:before="0" w:line="240" w:lineRule="auto"/>
              <w:jc w:val="left"/>
            </w:pPr>
            <w:r>
              <w:rPr>
                <w:rFonts w:ascii="Arial" w:hAnsi="Arial"/>
                <w:sz w:val="13"/>
              </w:rPr>
              <w:t xml:space="preserve">Pfizer; 8 repackagers of the Act-O-Vial</w:t>
            </w:r>
          </w:p>
        </w:tc>
        <w:tc>
          <w:tcPr>
            <w:tcW w:type="dxa" w:w="1877"/>
          </w:tcPr>
          <w:p>
            <w:pPr>
              <w:pStyle w:val="Compact"/>
              <w:spacing w:after="0" w:before="0" w:line="240" w:lineRule="auto"/>
              <w:jc w:val="left"/>
            </w:pPr>
            <w:r>
              <w:rPr>
                <w:rFonts w:ascii="Arial" w:hAnsi="Arial"/>
                <w:sz w:val="13"/>
              </w:rPr>
              <w:t xml:space="preserve">NDA 011856, 1959</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563"/>
          </w:tcPr>
          <w:p>
            <w:pPr>
              <w:pStyle w:val="Compact"/>
              <w:spacing w:after="0" w:before="0" w:line="240" w:lineRule="auto"/>
              <w:jc w:val="left"/>
            </w:pPr>
            <w:r>
              <w:rPr>
                <w:rFonts w:ascii="Arial" w:hAnsi="Arial"/>
                <w:sz w:val="13"/>
              </w:rPr>
              <w:t xml:space="preserve">✓</w:t>
            </w:r>
          </w:p>
        </w:tc>
        <w:tc>
          <w:tcPr>
            <w:tcW w:type="dxa" w:w="1412"/>
          </w:tcPr>
          <w:p>
            <w:pPr>
              <w:pStyle w:val="Compact"/>
              <w:spacing w:after="0" w:before="0" w:line="240" w:lineRule="auto"/>
              <w:jc w:val="left"/>
            </w:pPr>
            <w:r>
              <w:rPr>
                <w:rFonts w:ascii="Arial" w:hAnsi="Arial"/>
                <w:sz w:val="13"/>
              </w:rPr>
              <w:t xml:space="preserve">DCV at 40 mg–1 g; plain vial at 2 g</w:t>
            </w:r>
          </w:p>
        </w:tc>
        <w:tc>
          <w:tcPr>
            <w:tcW w:type="dxa" w:w="1877"/>
          </w:tcPr>
          <w:p>
            <w:pPr>
              <w:pStyle w:val="Compact"/>
              <w:spacing w:after="0" w:before="0" w:line="240" w:lineRule="auto"/>
              <w:jc w:val="left"/>
            </w:pPr>
            <w:r>
              <w:rPr>
                <w:rFonts w:ascii="Arial" w:hAnsi="Arial"/>
                <w:sz w:val="13"/>
              </w:rPr>
              <w:t xml:space="preserve">In crosswalk; 73.8% of Medicaid Rx Q1 2026</w:t>
            </w:r>
          </w:p>
        </w:tc>
      </w:tr>
      <w:tr>
        <w:trPr>
          <w:cantSplit/>
        </w:trPr>
        <w:tc>
          <w:tcPr>
            <w:tcW w:type="dxa" w:w="1350"/>
          </w:tcPr>
          <w:p>
            <w:pPr>
              <w:pStyle w:val="Compact"/>
              <w:spacing w:after="0" w:before="0" w:line="240" w:lineRule="auto"/>
              <w:jc w:val="left"/>
            </w:pPr>
            <w:r>
              <w:rPr>
                <w:rFonts w:ascii="Arial" w:hAnsi="Arial"/>
                <w:sz w:val="13"/>
              </w:rPr>
              <w:t xml:space="preserve">Tianjin Kingyork (China)</w:t>
            </w:r>
          </w:p>
        </w:tc>
        <w:tc>
          <w:tcPr>
            <w:tcW w:type="dxa" w:w="1511"/>
          </w:tcPr>
          <w:p>
            <w:pPr>
              <w:pStyle w:val="Compact"/>
              <w:spacing w:after="0" w:before="0" w:line="240" w:lineRule="auto"/>
              <w:jc w:val="left"/>
            </w:pPr>
            <w:r>
              <w:rPr>
                <w:rFonts w:ascii="Arial" w:hAnsi="Arial"/>
                <w:sz w:val="13"/>
              </w:rPr>
              <w:t xml:space="preserve">Dr. Reddy's (from Mar 2022); Kingyork own label</w:t>
            </w:r>
          </w:p>
        </w:tc>
        <w:tc>
          <w:tcPr>
            <w:tcW w:type="dxa" w:w="1877"/>
          </w:tcPr>
          <w:p>
            <w:pPr>
              <w:pStyle w:val="Compact"/>
              <w:spacing w:after="0" w:before="0" w:line="240" w:lineRule="auto"/>
              <w:jc w:val="left"/>
            </w:pPr>
            <w:r>
              <w:rPr>
                <w:rFonts w:ascii="Arial" w:hAnsi="Arial"/>
                <w:sz w:val="13"/>
              </w:rPr>
              <w:t xml:space="preserve">ANDA 212396, 20 Apr 2021</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563"/>
          </w:tcPr>
          <w:p>
            <w:pPr>
              <w:pStyle w:val="Compact"/>
              <w:spacing w:after="0" w:before="0" w:line="240" w:lineRule="auto"/>
              <w:jc w:val="left"/>
            </w:pPr>
            <w:r>
              <w:rPr>
                <w:rFonts w:ascii="Arial" w:hAnsi="Arial"/>
                <w:sz w:val="13"/>
              </w:rPr>
              <w:t xml:space="preserve">✓ (Kingyork label only)</w:t>
            </w:r>
          </w:p>
        </w:tc>
        <w:tc>
          <w:tcPr>
            <w:tcW w:type="dxa" w:w="1412"/>
          </w:tcPr>
          <w:p>
            <w:pPr>
              <w:pStyle w:val="Compact"/>
              <w:spacing w:after="0" w:before="0" w:line="240" w:lineRule="auto"/>
              <w:jc w:val="left"/>
            </w:pPr>
            <w:r>
              <w:rPr>
                <w:rFonts w:ascii="Arial" w:hAnsi="Arial"/>
                <w:sz w:val="13"/>
              </w:rPr>
              <w:t xml:space="preserve">Single-chamber lyophilized</w:t>
            </w:r>
          </w:p>
        </w:tc>
        <w:tc>
          <w:tcPr>
            <w:tcW w:type="dxa" w:w="1877"/>
          </w:tcPr>
          <w:p>
            <w:pPr>
              <w:pStyle w:val="Compact"/>
              <w:spacing w:after="0" w:before="0" w:line="240" w:lineRule="auto"/>
              <w:jc w:val="left"/>
            </w:pPr>
            <w:r>
              <w:rPr>
                <w:rFonts w:ascii="Arial" w:hAnsi="Arial"/>
                <w:sz w:val="13"/>
              </w:rPr>
              <w:t xml:space="preserve">DRL in crosswalk, 16.9% Rx; Kingyork's own label has no ASP or SDUD footprint</w:t>
            </w:r>
          </w:p>
        </w:tc>
      </w:tr>
      <w:tr>
        <w:trPr>
          <w:cantSplit/>
        </w:trPr>
        <w:tc>
          <w:tcPr>
            <w:tcW w:type="dxa" w:w="1350"/>
          </w:tcPr>
          <w:p>
            <w:pPr>
              <w:pStyle w:val="Compact"/>
              <w:spacing w:after="0" w:before="0" w:line="240" w:lineRule="auto"/>
              <w:jc w:val="left"/>
            </w:pPr>
            <w:r>
              <w:rPr>
                <w:rFonts w:ascii="Arial" w:hAnsi="Arial"/>
                <w:sz w:val="13"/>
              </w:rPr>
              <w:t xml:space="preserve">Fresenius Kabi</w:t>
            </w:r>
          </w:p>
        </w:tc>
        <w:tc>
          <w:tcPr>
            <w:tcW w:type="dxa" w:w="1511"/>
          </w:tcPr>
          <w:p>
            <w:pPr>
              <w:pStyle w:val="Compact"/>
              <w:spacing w:after="0" w:before="0" w:line="240" w:lineRule="auto"/>
              <w:jc w:val="left"/>
            </w:pPr>
            <w:r>
              <w:rPr>
                <w:rFonts w:ascii="Arial" w:hAnsi="Arial"/>
                <w:sz w:val="13"/>
              </w:rPr>
              <w:t xml:space="preserve">Fresenius</w:t>
            </w:r>
          </w:p>
        </w:tc>
        <w:tc>
          <w:tcPr>
            <w:tcW w:type="dxa" w:w="1877"/>
          </w:tcPr>
          <w:p>
            <w:pPr>
              <w:pStyle w:val="Compact"/>
              <w:spacing w:after="0" w:before="0" w:line="240" w:lineRule="auto"/>
              <w:jc w:val="left"/>
            </w:pPr>
            <w:r>
              <w:rPr>
                <w:rFonts w:ascii="Arial" w:hAnsi="Arial"/>
                <w:sz w:val="13"/>
              </w:rPr>
              <w:t xml:space="preserve">ANDA 040583 (40/125) and 040612 (1 g), Jul/Aug 2004</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563"/>
          </w:tcPr>
          <w:p>
            <w:pPr>
              <w:pStyle w:val="Compact"/>
              <w:spacing w:after="0" w:before="0" w:line="240" w:lineRule="auto"/>
              <w:jc w:val="left"/>
            </w:pPr>
            <w:r>
              <w:rPr>
                <w:rFonts w:ascii="Arial" w:hAnsi="Arial"/>
                <w:sz w:val="13"/>
              </w:rPr>
              <w:t xml:space="preserve">–</w:t>
            </w:r>
          </w:p>
        </w:tc>
        <w:tc>
          <w:tcPr>
            <w:tcW w:type="dxa" w:w="1412"/>
          </w:tcPr>
          <w:p>
            <w:pPr>
              <w:pStyle w:val="Compact"/>
              <w:spacing w:after="0" w:before="0" w:line="240" w:lineRule="auto"/>
              <w:jc w:val="left"/>
            </w:pPr>
            <w:r>
              <w:rPr>
                <w:rFonts w:ascii="Arial" w:hAnsi="Arial"/>
                <w:sz w:val="13"/>
              </w:rPr>
              <w:t xml:space="preserve">Single-dose vial; 1 g multi-dose vial</w:t>
            </w:r>
          </w:p>
        </w:tc>
        <w:tc>
          <w:tcPr>
            <w:tcW w:type="dxa" w:w="1877"/>
          </w:tcPr>
          <w:p>
            <w:pPr>
              <w:pStyle w:val="Compact"/>
              <w:spacing w:after="0" w:before="0" w:line="240" w:lineRule="auto"/>
              <w:jc w:val="left"/>
            </w:pPr>
            <w:r>
              <w:rPr>
                <w:rFonts w:ascii="Arial" w:hAnsi="Arial"/>
                <w:sz w:val="13"/>
              </w:rPr>
              <w:t xml:space="preserve">In crosswalk; 6.1% Rx</w:t>
            </w:r>
          </w:p>
        </w:tc>
      </w:tr>
      <w:tr>
        <w:trPr>
          <w:cantSplit/>
        </w:trPr>
        <w:tc>
          <w:tcPr>
            <w:tcW w:type="dxa" w:w="1350"/>
          </w:tcPr>
          <w:p>
            <w:pPr>
              <w:pStyle w:val="Compact"/>
              <w:spacing w:after="0" w:before="0" w:line="240" w:lineRule="auto"/>
              <w:jc w:val="left"/>
            </w:pPr>
            <w:r>
              <w:rPr>
                <w:rFonts w:ascii="Arial" w:hAnsi="Arial"/>
                <w:sz w:val="13"/>
              </w:rPr>
              <w:t xml:space="preserve">Hikma (Terrugem, Portugal)</w:t>
            </w:r>
          </w:p>
        </w:tc>
        <w:tc>
          <w:tcPr>
            <w:tcW w:type="dxa" w:w="1511"/>
          </w:tcPr>
          <w:p>
            <w:pPr>
              <w:pStyle w:val="Compact"/>
              <w:spacing w:after="0" w:before="0" w:line="240" w:lineRule="auto"/>
              <w:jc w:val="left"/>
            </w:pPr>
            <w:r>
              <w:rPr>
                <w:rFonts w:ascii="Arial" w:hAnsi="Arial"/>
                <w:sz w:val="13"/>
              </w:rPr>
              <w:t xml:space="preserve">Hikma (plus Novaplus 1 g); Civica on 40/125 from Dec 2025</w:t>
            </w:r>
          </w:p>
        </w:tc>
        <w:tc>
          <w:tcPr>
            <w:tcW w:type="dxa" w:w="1877"/>
          </w:tcPr>
          <w:p>
            <w:pPr>
              <w:pStyle w:val="Compact"/>
              <w:spacing w:after="0" w:before="0" w:line="240" w:lineRule="auto"/>
              <w:jc w:val="left"/>
            </w:pPr>
            <w:r>
              <w:rPr>
                <w:rFonts w:ascii="Arial" w:hAnsi="Arial"/>
                <w:sz w:val="13"/>
              </w:rPr>
              <w:t xml:space="preserve">ANDA 202691 (500 mg/1 g, 16 Feb 2016); ANDA 203125 (40/125, 26 Sep 2022)</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563"/>
          </w:tcPr>
          <w:p>
            <w:pPr>
              <w:pStyle w:val="Compact"/>
              <w:spacing w:after="0" w:before="0" w:line="240" w:lineRule="auto"/>
              <w:jc w:val="left"/>
            </w:pPr>
            <w:r>
              <w:rPr>
                <w:rFonts w:ascii="Arial" w:hAnsi="Arial"/>
                <w:sz w:val="13"/>
              </w:rPr>
              <w:t xml:space="preserve">–</w:t>
            </w:r>
          </w:p>
        </w:tc>
        <w:tc>
          <w:tcPr>
            <w:tcW w:type="dxa" w:w="1412"/>
          </w:tcPr>
          <w:p>
            <w:pPr>
              <w:pStyle w:val="Compact"/>
              <w:spacing w:after="0" w:before="0" w:line="240" w:lineRule="auto"/>
              <w:jc w:val="left"/>
            </w:pPr>
            <w:r>
              <w:rPr>
                <w:rFonts w:ascii="Arial" w:hAnsi="Arial"/>
                <w:sz w:val="13"/>
              </w:rPr>
              <w:t xml:space="preserve">Single-dose and multi-dose vials</w:t>
            </w:r>
          </w:p>
        </w:tc>
        <w:tc>
          <w:tcPr>
            <w:tcW w:type="dxa" w:w="1877"/>
          </w:tcPr>
          <w:p>
            <w:pPr>
              <w:pStyle w:val="Compact"/>
              <w:spacing w:after="0" w:before="0" w:line="240" w:lineRule="auto"/>
              <w:jc w:val="left"/>
            </w:pPr>
            <w:r>
              <w:rPr>
                <w:rFonts w:ascii="Arial" w:hAnsi="Arial"/>
                <w:sz w:val="13"/>
              </w:rPr>
              <w:t xml:space="preserve">Hikma in crosswalk since Q2 2020, 3.2% Rx; Civica since Q3 2026, 0.1%</w:t>
            </w:r>
          </w:p>
        </w:tc>
      </w:tr>
      <w:tr>
        <w:trPr>
          <w:cantSplit/>
        </w:trPr>
        <w:tc>
          <w:tcPr>
            <w:tcW w:type="dxa" w:w="1350"/>
          </w:tcPr>
          <w:p>
            <w:pPr>
              <w:pStyle w:val="Compact"/>
              <w:spacing w:after="0" w:before="0" w:line="240" w:lineRule="auto"/>
              <w:jc w:val="left"/>
            </w:pPr>
            <w:r>
              <w:rPr>
                <w:rFonts w:ascii="Arial" w:hAnsi="Arial"/>
                <w:sz w:val="13"/>
              </w:rPr>
              <w:t xml:space="preserve">Amneal (Ahmedabad)</w:t>
            </w:r>
          </w:p>
        </w:tc>
        <w:tc>
          <w:tcPr>
            <w:tcW w:type="dxa" w:w="1511"/>
          </w:tcPr>
          <w:p>
            <w:pPr>
              <w:pStyle w:val="Compact"/>
              <w:spacing w:after="0" w:before="0" w:line="240" w:lineRule="auto"/>
              <w:jc w:val="left"/>
            </w:pPr>
            <w:r>
              <w:rPr>
                <w:rFonts w:ascii="Arial" w:hAnsi="Arial"/>
                <w:sz w:val="13"/>
              </w:rPr>
              <w:t xml:space="preserve">Amneal</w:t>
            </w:r>
          </w:p>
        </w:tc>
        <w:tc>
          <w:tcPr>
            <w:tcW w:type="dxa" w:w="1877"/>
          </w:tcPr>
          <w:p>
            <w:pPr>
              <w:pStyle w:val="Compact"/>
              <w:spacing w:after="0" w:before="0" w:line="240" w:lineRule="auto"/>
              <w:jc w:val="left"/>
            </w:pPr>
            <w:r>
              <w:rPr>
                <w:rFonts w:ascii="Arial" w:hAnsi="Arial"/>
                <w:sz w:val="13"/>
              </w:rPr>
              <w:t xml:space="preserve">ANDA 207549, 9 Nov 2016</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563"/>
          </w:tcPr>
          <w:p>
            <w:pPr>
              <w:pStyle w:val="Compact"/>
              <w:spacing w:after="0" w:before="0" w:line="240" w:lineRule="auto"/>
              <w:jc w:val="left"/>
            </w:pPr>
            <w:r>
              <w:rPr>
                <w:rFonts w:ascii="Arial" w:hAnsi="Arial"/>
                <w:sz w:val="13"/>
              </w:rPr>
              <w:t xml:space="preserve">–</w:t>
            </w:r>
          </w:p>
        </w:tc>
        <w:tc>
          <w:tcPr>
            <w:tcW w:type="dxa" w:w="1412"/>
          </w:tcPr>
          <w:p>
            <w:pPr>
              <w:pStyle w:val="Compact"/>
              <w:spacing w:after="0" w:before="0" w:line="240" w:lineRule="auto"/>
              <w:jc w:val="left"/>
            </w:pPr>
            <w:r>
              <w:rPr>
                <w:rFonts w:ascii="Arial" w:hAnsi="Arial"/>
                <w:sz w:val="13"/>
              </w:rPr>
              <w:t xml:space="preserve">Single-dose vial</w:t>
            </w:r>
          </w:p>
        </w:tc>
        <w:tc>
          <w:tcPr>
            <w:tcW w:type="dxa" w:w="1877"/>
          </w:tcPr>
          <w:p>
            <w:pPr>
              <w:pStyle w:val="Compact"/>
              <w:spacing w:after="0" w:before="0" w:line="240" w:lineRule="auto"/>
              <w:jc w:val="left"/>
            </w:pPr>
            <w:r>
              <w:rPr>
                <w:rFonts w:ascii="Arial" w:hAnsi="Arial"/>
                <w:sz w:val="13"/>
              </w:rPr>
              <w:t xml:space="preserve">Out of crosswalk after Q3 2022; ~0% Rx</w:t>
            </w:r>
          </w:p>
        </w:tc>
      </w:tr>
      <w:tr>
        <w:trPr>
          <w:cantSplit/>
        </w:trPr>
        <w:tc>
          <w:tcPr>
            <w:tcW w:type="dxa" w:w="1350"/>
          </w:tcPr>
          <w:p>
            <w:pPr>
              <w:pStyle w:val="Compact"/>
              <w:spacing w:after="0" w:before="0" w:line="240" w:lineRule="auto"/>
              <w:jc w:val="left"/>
            </w:pPr>
            <w:r>
              <w:rPr>
                <w:rFonts w:ascii="Arial" w:hAnsi="Arial"/>
                <w:sz w:val="13"/>
              </w:rPr>
              <w:t xml:space="preserve">Gland Pharma (for Sagent)</w:t>
            </w:r>
          </w:p>
        </w:tc>
        <w:tc>
          <w:tcPr>
            <w:tcW w:type="dxa" w:w="1511"/>
          </w:tcPr>
          <w:p>
            <w:pPr>
              <w:pStyle w:val="Compact"/>
              <w:spacing w:after="0" w:before="0" w:line="240" w:lineRule="auto"/>
              <w:jc w:val="left"/>
            </w:pPr>
            <w:r>
              <w:rPr>
                <w:rFonts w:ascii="Arial" w:hAnsi="Arial"/>
                <w:sz w:val="13"/>
              </w:rPr>
              <w:t xml:space="preserve">Sagent</w:t>
            </w:r>
          </w:p>
        </w:tc>
        <w:tc>
          <w:tcPr>
            <w:tcW w:type="dxa" w:w="1877"/>
          </w:tcPr>
          <w:p>
            <w:pPr>
              <w:pStyle w:val="Compact"/>
              <w:spacing w:after="0" w:before="0" w:line="240" w:lineRule="auto"/>
              <w:jc w:val="left"/>
            </w:pPr>
            <w:r>
              <w:rPr>
                <w:rFonts w:ascii="Arial" w:hAnsi="Arial"/>
                <w:sz w:val="13"/>
              </w:rPr>
              <w:t xml:space="preserve">ANDA 040888, 18 Jul 2011</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563"/>
          </w:tcPr>
          <w:p>
            <w:pPr>
              <w:pStyle w:val="Compact"/>
              <w:spacing w:after="0" w:before="0" w:line="240" w:lineRule="auto"/>
              <w:jc w:val="left"/>
            </w:pPr>
            <w:r>
              <w:rPr>
                <w:rFonts w:ascii="Arial" w:hAnsi="Arial"/>
                <w:sz w:val="13"/>
              </w:rPr>
              <w:t xml:space="preserve">✓</w:t>
            </w:r>
          </w:p>
        </w:tc>
        <w:tc>
          <w:tcPr>
            <w:tcW w:type="dxa" w:w="1412"/>
          </w:tcPr>
          <w:p>
            <w:pPr>
              <w:pStyle w:val="Compact"/>
              <w:spacing w:after="0" w:before="0" w:line="240" w:lineRule="auto"/>
              <w:jc w:val="left"/>
            </w:pPr>
            <w:r>
              <w:rPr>
                <w:rFonts w:ascii="Arial" w:hAnsi="Arial"/>
                <w:sz w:val="13"/>
              </w:rPr>
              <w:t xml:space="preserve">–</w:t>
            </w:r>
          </w:p>
        </w:tc>
        <w:tc>
          <w:tcPr>
            <w:tcW w:type="dxa" w:w="1877"/>
          </w:tcPr>
          <w:p>
            <w:pPr>
              <w:pStyle w:val="Compact"/>
              <w:spacing w:after="0" w:before="0" w:line="240" w:lineRule="auto"/>
              <w:jc w:val="left"/>
            </w:pPr>
            <w:r>
              <w:rPr>
                <w:rFonts w:ascii="Arial" w:hAnsi="Arial"/>
                <w:sz w:val="13"/>
              </w:rPr>
              <w:t xml:space="preserve">No NDC listing; out of crosswalk after Q3 2022</w:t>
            </w:r>
          </w:p>
        </w:tc>
      </w:tr>
      <w:tr>
        <w:trPr>
          <w:cantSplit/>
        </w:trPr>
        <w:tc>
          <w:tcPr>
            <w:tcW w:type="dxa" w:w="1350"/>
          </w:tcPr>
          <w:p>
            <w:pPr>
              <w:pStyle w:val="Compact"/>
              <w:spacing w:after="0" w:before="0" w:line="240" w:lineRule="auto"/>
              <w:jc w:val="left"/>
            </w:pPr>
            <w:r>
              <w:rPr>
                <w:rFonts w:ascii="Arial" w:hAnsi="Arial"/>
                <w:sz w:val="13"/>
              </w:rPr>
              <w:t xml:space="preserve">Eugia (Aurobindo)</w:t>
            </w:r>
          </w:p>
        </w:tc>
        <w:tc>
          <w:tcPr>
            <w:tcW w:type="dxa" w:w="1511"/>
          </w:tcPr>
          <w:p>
            <w:pPr>
              <w:pStyle w:val="Compact"/>
              <w:spacing w:after="0" w:before="0" w:line="240" w:lineRule="auto"/>
              <w:jc w:val="left"/>
            </w:pPr>
            <w:r>
              <w:rPr>
                <w:rFonts w:ascii="Arial" w:hAnsi="Arial"/>
                <w:sz w:val="13"/>
              </w:rPr>
              <w:t xml:space="preserve">Eugia</w:t>
            </w:r>
          </w:p>
        </w:tc>
        <w:tc>
          <w:tcPr>
            <w:tcW w:type="dxa" w:w="1877"/>
          </w:tcPr>
          <w:p>
            <w:pPr>
              <w:pStyle w:val="Compact"/>
              <w:spacing w:after="0" w:before="0" w:line="240" w:lineRule="auto"/>
              <w:jc w:val="left"/>
            </w:pPr>
            <w:r>
              <w:rPr>
                <w:rFonts w:ascii="Arial" w:hAnsi="Arial"/>
                <w:sz w:val="13"/>
              </w:rPr>
              <w:t xml:space="preserve">ANDA 207667, 15 Dec 2015;</w:t>
            </w:r>
            <w:r>
              <w:rPr>
                <w:rFonts w:ascii="Arial" w:hAnsi="Arial"/>
                <w:sz w:val="13"/>
              </w:rPr>
              <w:t xml:space="preserve"> </w:t>
            </w:r>
            <w:r>
              <w:rPr>
                <w:bCs/>
                <w:rFonts w:ascii="Arial" w:hAnsi="Arial"/>
                <w:b/>
                <w:sz w:val="13"/>
              </w:rPr>
              <w:t xml:space="preserve">Orange Book: discontinued</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375"/>
          </w:tcPr>
          <w:p>
            <w:pPr>
              <w:pStyle w:val="Compact"/>
              <w:spacing w:after="0" w:before="0" w:line="240" w:lineRule="auto"/>
              <w:jc w:val="left"/>
            </w:pPr>
            <w:r>
              <w:rPr>
                <w:rFonts w:ascii="Arial" w:hAnsi="Arial"/>
                <w:sz w:val="13"/>
              </w:rPr>
              <w:t xml:space="preserve">–</w:t>
            </w:r>
          </w:p>
        </w:tc>
        <w:tc>
          <w:tcPr>
            <w:tcW w:type="dxa" w:w="563"/>
          </w:tcPr>
          <w:p>
            <w:pPr>
              <w:pStyle w:val="Compact"/>
              <w:spacing w:after="0" w:before="0" w:line="240" w:lineRule="auto"/>
              <w:jc w:val="left"/>
            </w:pPr>
            <w:r>
              <w:rPr>
                <w:rFonts w:ascii="Arial" w:hAnsi="Arial"/>
                <w:sz w:val="13"/>
              </w:rPr>
              <w:t xml:space="preserve">✓</w:t>
            </w:r>
          </w:p>
        </w:tc>
        <w:tc>
          <w:tcPr>
            <w:tcW w:type="dxa" w:w="1412"/>
          </w:tcPr>
          <w:p>
            <w:pPr>
              <w:pStyle w:val="Compact"/>
              <w:spacing w:after="0" w:before="0" w:line="240" w:lineRule="auto"/>
              <w:jc w:val="left"/>
            </w:pPr>
            <w:r>
              <w:rPr>
                <w:rFonts w:ascii="Arial" w:hAnsi="Arial"/>
                <w:sz w:val="13"/>
              </w:rPr>
              <w:t xml:space="preserve">Lyophilized</w:t>
            </w:r>
          </w:p>
        </w:tc>
        <w:tc>
          <w:tcPr>
            <w:tcW w:type="dxa" w:w="1877"/>
          </w:tcPr>
          <w:p>
            <w:pPr>
              <w:pStyle w:val="Compact"/>
              <w:spacing w:after="0" w:before="0" w:line="240" w:lineRule="auto"/>
              <w:jc w:val="left"/>
            </w:pPr>
            <w:r>
              <w:rPr>
                <w:rFonts w:ascii="Arial" w:hAnsi="Arial"/>
                <w:sz w:val="13"/>
              </w:rPr>
              <w:t xml:space="preserve">NDCs still listed, but no ASP and no SDUD volume</w:t>
            </w:r>
          </w:p>
        </w:tc>
      </w:tr>
    </w:tbl>
    <w:p>
      <w:pPr>
        <w:pStyle w:val="BodyText"/>
        <w:spacing w:before="100"/>
      </w:pPr>
      <w:r>
        <w:rPr>
          <w:rFonts w:ascii="Arial" w:hAnsi="Arial"/>
        </w:rPr>
        <w:t xml:space="preserve">Sources:</w:t>
      </w:r>
      <w:r>
        <w:rPr>
          <w:rFonts w:ascii="Arial" w:hAnsi="Arial"/>
        </w:rPr>
        <w:t xml:space="preserve"> </w:t>
      </w:r>
      <w:hyperlink r:id="rId20">
        <w:r>
          <w:rPr>
            <w:rStyle w:val="Hyperlink"/>
          </w:rPr>
          <w:t xml:space="preserve">Orange Book</w:t>
        </w:r>
      </w:hyperlink>
      <w:r>
        <w:rPr>
          <w:rFonts w:ascii="Arial" w:hAnsi="Arial"/>
        </w:rPr>
        <w:t xml:space="preserve">;</w:t>
      </w:r>
      <w:r>
        <w:rPr>
          <w:rFonts w:ascii="Arial" w:hAnsi="Arial"/>
        </w:rPr>
        <w:t xml:space="preserve"> </w:t>
      </w:r>
      <w:hyperlink r:id="rId21">
        <w:r>
          <w:rPr>
            <w:rStyle w:val="Hyperlink"/>
          </w:rPr>
          <w:t xml:space="preserve">openFDA NDC, MPSS</w:t>
        </w:r>
      </w:hyperlink>
      <w:r>
        <w:rPr>
          <w:rFonts w:ascii="Arial" w:hAnsi="Arial"/>
        </w:rPr>
        <w:t xml:space="preserve">;</w:t>
      </w:r>
      <w:r>
        <w:rPr>
          <w:rFonts w:ascii="Arial" w:hAnsi="Arial"/>
        </w:rPr>
        <w:t xml:space="preserve"> </w:t>
      </w:r>
      <w:hyperlink r:id="rId23">
        <w:r>
          <w:rPr>
            <w:rStyle w:val="Hyperlink"/>
          </w:rPr>
          <w:t xml:space="preserve">DRL label naming Kingyork as manufacturer</w:t>
        </w:r>
      </w:hyperlink>
      <w:r>
        <w:rPr>
          <w:rFonts w:ascii="Arial" w:hAnsi="Arial"/>
        </w:rPr>
        <w:t xml:space="preserve">;</w:t>
      </w:r>
      <w:r>
        <w:rPr>
          <w:rFonts w:ascii="Arial" w:hAnsi="Arial"/>
        </w:rPr>
        <w:t xml:space="preserve"> </w:t>
      </w:r>
      <w:hyperlink r:id="rId24">
        <w:r>
          <w:rPr>
            <w:rStyle w:val="Hyperlink"/>
          </w:rPr>
          <w:t xml:space="preserve">Civica label</w:t>
        </w:r>
      </w:hyperlink>
      <w:r>
        <w:rPr>
          <w:rFonts w:ascii="Arial" w:hAnsi="Arial"/>
        </w:rPr>
        <w:t xml:space="preserve">;</w:t>
      </w:r>
      <w:r>
        <w:rPr>
          <w:rFonts w:ascii="Arial" w:hAnsi="Arial"/>
        </w:rPr>
        <w:t xml:space="preserve"> </w:t>
      </w:r>
      <w:hyperlink r:id="rId26">
        <w:r>
          <w:rPr>
            <w:rStyle w:val="Hyperlink"/>
          </w:rPr>
          <w:t xml:space="preserve">CMS crosswalk history</w:t>
        </w:r>
      </w:hyperlink>
      <w:r>
        <w:rPr>
          <w:rFonts w:ascii="Arial" w:hAnsi="Arial"/>
        </w:rPr>
        <w:t xml:space="preserve">.</w:t>
      </w:r>
    </w:p>
    <w:bookmarkEnd w:id="40"/>
    <w:bookmarkStart w:id="44" w:name="Xc24385fde550b3fa6f141749c6c0d178acea05e"/>
    <w:p>
      <w:pPr>
        <w:pStyle w:val="Heading3"/>
        <w:keepNext/>
      </w:pPr>
      <w:r>
        <w:rPr>
          <w:rFonts w:ascii="Arial" w:hAnsi="Arial"/>
        </w:rPr>
        <w:t xml:space="preserve">Players-by-strength matrix: HSS (Solu-Cortef)</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1622"/>
        <w:gridCol w:w="1468"/>
        <w:gridCol w:w="1854"/>
        <w:gridCol w:w="370"/>
        <w:gridCol w:w="370"/>
        <w:gridCol w:w="370"/>
        <w:gridCol w:w="370"/>
        <w:gridCol w:w="1808"/>
        <w:gridCol w:w="1854"/>
      </w:tblGrid>
      <w:tr>
        <w:trPr>
          <w:tblHeader w:val="true"/>
          <w:tblHeader w:val="true"/>
          <w:cantSplit/>
        </w:trPr>
        <w:tc>
          <w:tcPr>
            <w:tcW w:type="dxa" w:w="1623"/>
            <w:shd w:val="clear" w:color="auto" w:fill="1F3864"/>
          </w:tcPr>
          <w:p>
            <w:pPr>
              <w:pStyle w:val="Compact"/>
              <w:spacing w:after="0" w:before="0" w:line="240" w:lineRule="auto"/>
              <w:jc w:val="left"/>
            </w:pPr>
            <w:r>
              <w:rPr>
                <w:rFonts w:ascii="Arial" w:hAnsi="Arial"/>
                <w:b/>
                <w:color w:val="FFFFFF"/>
                <w:sz w:val="13"/>
              </w:rPr>
              <w:t xml:space="preserve">Manufacturing source</w:t>
            </w:r>
          </w:p>
        </w:tc>
        <w:tc>
          <w:tcPr>
            <w:tcW w:type="dxa" w:w="1468"/>
            <w:shd w:val="clear" w:color="auto" w:fill="1F3864"/>
          </w:tcPr>
          <w:p>
            <w:pPr>
              <w:pStyle w:val="Compact"/>
              <w:spacing w:after="0" w:before="0" w:line="240" w:lineRule="auto"/>
              <w:jc w:val="left"/>
            </w:pPr>
            <w:r>
              <w:rPr>
                <w:rFonts w:ascii="Arial" w:hAnsi="Arial"/>
                <w:b/>
                <w:color w:val="FFFFFF"/>
                <w:sz w:val="13"/>
              </w:rPr>
              <w:t xml:space="preserve">Labeler(s)</w:t>
            </w:r>
          </w:p>
        </w:tc>
        <w:tc>
          <w:tcPr>
            <w:tcW w:type="dxa" w:w="1854"/>
            <w:shd w:val="clear" w:color="auto" w:fill="1F3864"/>
          </w:tcPr>
          <w:p>
            <w:pPr>
              <w:pStyle w:val="Compact"/>
              <w:spacing w:after="0" w:before="0" w:line="240" w:lineRule="auto"/>
              <w:jc w:val="left"/>
            </w:pPr>
            <w:r>
              <w:rPr>
                <w:rFonts w:ascii="Arial" w:hAnsi="Arial"/>
                <w:b/>
                <w:color w:val="FFFFFF"/>
                <w:sz w:val="13"/>
              </w:rPr>
              <w:t xml:space="preserve">Application, approval, launch</w:t>
            </w:r>
          </w:p>
        </w:tc>
        <w:tc>
          <w:tcPr>
            <w:tcW w:type="dxa" w:w="371"/>
            <w:shd w:val="clear" w:color="auto" w:fill="1F3864"/>
          </w:tcPr>
          <w:p>
            <w:pPr>
              <w:pStyle w:val="Compact"/>
              <w:spacing w:after="0" w:before="0" w:line="240" w:lineRule="auto"/>
              <w:jc w:val="left"/>
            </w:pPr>
            <w:r>
              <w:rPr>
                <w:rFonts w:ascii="Arial" w:hAnsi="Arial"/>
                <w:b/>
                <w:color w:val="FFFFFF"/>
                <w:sz w:val="13"/>
              </w:rPr>
              <w:t xml:space="preserve">100</w:t>
            </w:r>
          </w:p>
        </w:tc>
        <w:tc>
          <w:tcPr>
            <w:tcW w:type="dxa" w:w="371"/>
            <w:shd w:val="clear" w:color="auto" w:fill="1F3864"/>
          </w:tcPr>
          <w:p>
            <w:pPr>
              <w:pStyle w:val="Compact"/>
              <w:spacing w:after="0" w:before="0" w:line="240" w:lineRule="auto"/>
              <w:jc w:val="left"/>
            </w:pPr>
            <w:r>
              <w:rPr>
                <w:rFonts w:ascii="Arial" w:hAnsi="Arial"/>
                <w:b/>
                <w:color w:val="FFFFFF"/>
                <w:sz w:val="13"/>
              </w:rPr>
              <w:t xml:space="preserve">250</w:t>
            </w:r>
          </w:p>
        </w:tc>
        <w:tc>
          <w:tcPr>
            <w:tcW w:type="dxa" w:w="371"/>
            <w:shd w:val="clear" w:color="auto" w:fill="1F3864"/>
          </w:tcPr>
          <w:p>
            <w:pPr>
              <w:pStyle w:val="Compact"/>
              <w:spacing w:after="0" w:before="0" w:line="240" w:lineRule="auto"/>
              <w:jc w:val="left"/>
            </w:pPr>
            <w:r>
              <w:rPr>
                <w:rFonts w:ascii="Arial" w:hAnsi="Arial"/>
                <w:b/>
                <w:color w:val="FFFFFF"/>
                <w:sz w:val="13"/>
              </w:rPr>
              <w:t xml:space="preserve">500</w:t>
            </w:r>
          </w:p>
        </w:tc>
        <w:tc>
          <w:tcPr>
            <w:tcW w:type="dxa" w:w="371"/>
            <w:shd w:val="clear" w:color="auto" w:fill="1F3864"/>
          </w:tcPr>
          <w:p>
            <w:pPr>
              <w:pStyle w:val="Compact"/>
              <w:spacing w:after="0" w:before="0" w:line="240" w:lineRule="auto"/>
              <w:jc w:val="left"/>
            </w:pPr>
            <w:r>
              <w:rPr>
                <w:rFonts w:ascii="Arial" w:hAnsi="Arial"/>
                <w:b/>
                <w:color w:val="FFFFFF"/>
                <w:sz w:val="13"/>
              </w:rPr>
              <w:t xml:space="preserve">1 g</w:t>
            </w:r>
          </w:p>
        </w:tc>
        <w:tc>
          <w:tcPr>
            <w:tcW w:type="dxa" w:w="1808"/>
            <w:shd w:val="clear" w:color="auto" w:fill="1F3864"/>
          </w:tcPr>
          <w:p>
            <w:pPr>
              <w:pStyle w:val="Compact"/>
              <w:spacing w:after="0" w:before="0" w:line="240" w:lineRule="auto"/>
              <w:jc w:val="left"/>
            </w:pPr>
            <w:r>
              <w:rPr>
                <w:rFonts w:ascii="Arial" w:hAnsi="Arial"/>
                <w:b/>
                <w:color w:val="FFFFFF"/>
                <w:sz w:val="13"/>
              </w:rPr>
              <w:t xml:space="preserve">Presentation</w:t>
            </w:r>
          </w:p>
        </w:tc>
        <w:tc>
          <w:tcPr>
            <w:tcW w:type="dxa" w:w="1854"/>
            <w:shd w:val="clear" w:color="auto" w:fill="1F3864"/>
          </w:tcPr>
          <w:p>
            <w:pPr>
              <w:pStyle w:val="Compact"/>
              <w:spacing w:after="0" w:before="0" w:line="240" w:lineRule="auto"/>
              <w:jc w:val="left"/>
            </w:pPr>
            <w:r>
              <w:rPr>
                <w:rFonts w:ascii="Arial" w:hAnsi="Arial"/>
                <w:b/>
                <w:color w:val="FFFFFF"/>
                <w:sz w:val="13"/>
              </w:rPr>
              <w:t xml:space="preserve">Commercial footprint</w:t>
            </w:r>
          </w:p>
        </w:tc>
      </w:tr>
      <w:tr>
        <w:trPr>
          <w:cantSplit/>
        </w:trPr>
        <w:tc>
          <w:tcPr>
            <w:tcW w:type="dxa" w:w="1623"/>
          </w:tcPr>
          <w:p>
            <w:pPr>
              <w:pStyle w:val="Compact"/>
              <w:spacing w:after="0" w:before="0" w:line="240" w:lineRule="auto"/>
              <w:jc w:val="left"/>
            </w:pPr>
            <w:r>
              <w:rPr>
                <w:rFonts w:ascii="Arial" w:hAnsi="Arial"/>
                <w:sz w:val="13"/>
              </w:rPr>
              <w:t xml:space="preserve">Pfizer (Pharmacia &amp; Upjohn)</w:t>
            </w:r>
          </w:p>
        </w:tc>
        <w:tc>
          <w:tcPr>
            <w:tcW w:type="dxa" w:w="1468"/>
          </w:tcPr>
          <w:p>
            <w:pPr>
              <w:pStyle w:val="Compact"/>
              <w:spacing w:after="0" w:before="0" w:line="240" w:lineRule="auto"/>
              <w:jc w:val="left"/>
            </w:pPr>
            <w:r>
              <w:rPr>
                <w:rFonts w:ascii="Arial" w:hAnsi="Arial"/>
                <w:sz w:val="13"/>
              </w:rPr>
              <w:t xml:space="preserve">Pfizer; relabelers Cardinal, HealthFirst, ProPharma</w:t>
            </w:r>
          </w:p>
        </w:tc>
        <w:tc>
          <w:tcPr>
            <w:tcW w:type="dxa" w:w="1854"/>
          </w:tcPr>
          <w:p>
            <w:pPr>
              <w:pStyle w:val="Compact"/>
              <w:spacing w:after="0" w:before="0" w:line="240" w:lineRule="auto"/>
              <w:jc w:val="left"/>
            </w:pPr>
            <w:r>
              <w:rPr>
                <w:rFonts w:ascii="Arial" w:hAnsi="Arial"/>
                <w:sz w:val="13"/>
              </w:rPr>
              <w:t xml:space="preserve">NDA 009866, 1955</w:t>
            </w:r>
          </w:p>
        </w:tc>
        <w:tc>
          <w:tcPr>
            <w:tcW w:type="dxa" w:w="371"/>
          </w:tcPr>
          <w:p>
            <w:pPr>
              <w:pStyle w:val="Compact"/>
              <w:spacing w:after="0" w:before="0" w:line="240" w:lineRule="auto"/>
              <w:jc w:val="left"/>
            </w:pPr>
            <w:r>
              <w:rPr>
                <w:rFonts w:ascii="Arial" w:hAnsi="Arial"/>
                <w:sz w:val="13"/>
              </w:rPr>
              <w:t xml:space="preserve">✓</w:t>
            </w:r>
          </w:p>
        </w:tc>
        <w:tc>
          <w:tcPr>
            <w:tcW w:type="dxa" w:w="371"/>
          </w:tcPr>
          <w:p>
            <w:pPr>
              <w:pStyle w:val="Compact"/>
              <w:spacing w:after="0" w:before="0" w:line="240" w:lineRule="auto"/>
              <w:jc w:val="left"/>
            </w:pPr>
            <w:r>
              <w:rPr>
                <w:rFonts w:ascii="Arial" w:hAnsi="Arial"/>
                <w:sz w:val="13"/>
              </w:rPr>
              <w:t xml:space="preserve">✓</w:t>
            </w:r>
          </w:p>
        </w:tc>
        <w:tc>
          <w:tcPr>
            <w:tcW w:type="dxa" w:w="371"/>
          </w:tcPr>
          <w:p>
            <w:pPr>
              <w:pStyle w:val="Compact"/>
              <w:spacing w:after="0" w:before="0" w:line="240" w:lineRule="auto"/>
              <w:jc w:val="left"/>
            </w:pPr>
            <w:r>
              <w:rPr>
                <w:rFonts w:ascii="Arial" w:hAnsi="Arial"/>
                <w:sz w:val="13"/>
              </w:rPr>
              <w:t xml:space="preserve">✓</w:t>
            </w:r>
          </w:p>
        </w:tc>
        <w:tc>
          <w:tcPr>
            <w:tcW w:type="dxa" w:w="371"/>
          </w:tcPr>
          <w:p>
            <w:pPr>
              <w:pStyle w:val="Compact"/>
              <w:spacing w:after="0" w:before="0" w:line="240" w:lineRule="auto"/>
              <w:jc w:val="left"/>
            </w:pPr>
            <w:r>
              <w:rPr>
                <w:rFonts w:ascii="Arial" w:hAnsi="Arial"/>
                <w:sz w:val="13"/>
              </w:rPr>
              <w:t xml:space="preserve">✓</w:t>
            </w:r>
          </w:p>
        </w:tc>
        <w:tc>
          <w:tcPr>
            <w:tcW w:type="dxa" w:w="1808"/>
          </w:tcPr>
          <w:p>
            <w:pPr>
              <w:pStyle w:val="Compact"/>
              <w:spacing w:after="0" w:before="0" w:line="240" w:lineRule="auto"/>
              <w:jc w:val="left"/>
            </w:pPr>
            <w:r>
              <w:rPr>
                <w:rFonts w:ascii="Arial" w:hAnsi="Arial"/>
                <w:sz w:val="13"/>
              </w:rPr>
              <w:t xml:space="preserve">100 mg as plain vial and Act-O-Vial; 250 mg–1 g Act-O-Vial only, no TE code</w:t>
            </w:r>
          </w:p>
        </w:tc>
        <w:tc>
          <w:tcPr>
            <w:tcW w:type="dxa" w:w="1854"/>
          </w:tcPr>
          <w:p>
            <w:pPr>
              <w:pStyle w:val="Compact"/>
              <w:spacing w:after="0" w:before="0" w:line="240" w:lineRule="auto"/>
              <w:jc w:val="left"/>
            </w:pPr>
            <w:r>
              <w:rPr>
                <w:rFonts w:ascii="Arial" w:hAnsi="Arial"/>
                <w:sz w:val="13"/>
              </w:rPr>
              <w:t xml:space="preserve">Sole labeler in crosswalk Q1 2016–Q4 2024; 93.2% of Medicaid Rx Q1 2026</w:t>
            </w:r>
          </w:p>
        </w:tc>
      </w:tr>
      <w:tr>
        <w:trPr>
          <w:cantSplit/>
        </w:trPr>
        <w:tc>
          <w:tcPr>
            <w:tcW w:type="dxa" w:w="1623"/>
          </w:tcPr>
          <w:p>
            <w:pPr>
              <w:pStyle w:val="Compact"/>
              <w:spacing w:after="0" w:before="0" w:line="240" w:lineRule="auto"/>
              <w:jc w:val="left"/>
            </w:pPr>
            <w:r>
              <w:rPr>
                <w:rFonts w:ascii="Arial" w:hAnsi="Arial"/>
                <w:sz w:val="13"/>
              </w:rPr>
              <w:t xml:space="preserve">Immacule Lifesciences (CMO)</w:t>
            </w:r>
          </w:p>
        </w:tc>
        <w:tc>
          <w:tcPr>
            <w:tcW w:type="dxa" w:w="1468"/>
          </w:tcPr>
          <w:p>
            <w:pPr>
              <w:pStyle w:val="Compact"/>
              <w:spacing w:after="0" w:before="0" w:line="240" w:lineRule="auto"/>
              <w:jc w:val="left"/>
            </w:pPr>
            <w:r>
              <w:rPr>
                <w:rFonts w:ascii="Arial" w:hAnsi="Arial"/>
                <w:sz w:val="13"/>
              </w:rPr>
              <w:t xml:space="preserve">Cipla USA</w:t>
            </w:r>
          </w:p>
        </w:tc>
        <w:tc>
          <w:tcPr>
            <w:tcW w:type="dxa" w:w="1854"/>
          </w:tcPr>
          <w:p>
            <w:pPr>
              <w:pStyle w:val="Compact"/>
              <w:spacing w:after="0" w:before="0" w:line="240" w:lineRule="auto"/>
              <w:jc w:val="left"/>
            </w:pPr>
            <w:r>
              <w:rPr>
                <w:rFonts w:ascii="Arial" w:hAnsi="Arial"/>
                <w:sz w:val="13"/>
              </w:rPr>
              <w:t xml:space="preserve">ANDA 214050, 5 Sep 2024; CGT with 180-day exclusivity; first marketed 26 Sep 2024</w:t>
            </w:r>
          </w:p>
        </w:tc>
        <w:tc>
          <w:tcPr>
            <w:tcW w:type="dxa" w:w="371"/>
          </w:tcPr>
          <w:p>
            <w:pPr>
              <w:pStyle w:val="Compact"/>
              <w:spacing w:after="0" w:before="0" w:line="240" w:lineRule="auto"/>
              <w:jc w:val="left"/>
            </w:pPr>
            <w:r>
              <w:rPr>
                <w:rFonts w:ascii="Arial" w:hAnsi="Arial"/>
                <w:sz w:val="13"/>
              </w:rPr>
              <w:t xml:space="preserve">✓</w:t>
            </w:r>
          </w:p>
        </w:tc>
        <w:tc>
          <w:tcPr>
            <w:tcW w:type="dxa" w:w="371"/>
          </w:tcPr>
          <w:p>
            <w:pPr>
              <w:pStyle w:val="Compact"/>
              <w:spacing w:after="0" w:before="0" w:line="240" w:lineRule="auto"/>
              <w:jc w:val="left"/>
            </w:pPr>
            <w:r>
              <w:rPr>
                <w:rFonts w:ascii="Arial" w:hAnsi="Arial"/>
                <w:sz w:val="13"/>
              </w:rPr>
              <w:t xml:space="preserve">–</w:t>
            </w:r>
          </w:p>
        </w:tc>
        <w:tc>
          <w:tcPr>
            <w:tcW w:type="dxa" w:w="371"/>
          </w:tcPr>
          <w:p>
            <w:pPr>
              <w:pStyle w:val="Compact"/>
              <w:spacing w:after="0" w:before="0" w:line="240" w:lineRule="auto"/>
              <w:jc w:val="left"/>
            </w:pPr>
            <w:r>
              <w:rPr>
                <w:rFonts w:ascii="Arial" w:hAnsi="Arial"/>
                <w:sz w:val="13"/>
              </w:rPr>
              <w:t xml:space="preserve">–</w:t>
            </w:r>
          </w:p>
        </w:tc>
        <w:tc>
          <w:tcPr>
            <w:tcW w:type="dxa" w:w="371"/>
          </w:tcPr>
          <w:p>
            <w:pPr>
              <w:pStyle w:val="Compact"/>
              <w:spacing w:after="0" w:before="0" w:line="240" w:lineRule="auto"/>
              <w:jc w:val="left"/>
            </w:pPr>
            <w:r>
              <w:rPr>
                <w:rFonts w:ascii="Arial" w:hAnsi="Arial"/>
                <w:sz w:val="13"/>
              </w:rPr>
              <w:t xml:space="preserve">–</w:t>
            </w:r>
          </w:p>
        </w:tc>
        <w:tc>
          <w:tcPr>
            <w:tcW w:type="dxa" w:w="1808"/>
          </w:tcPr>
          <w:p>
            <w:pPr>
              <w:pStyle w:val="Compact"/>
              <w:spacing w:after="0" w:before="0" w:line="240" w:lineRule="auto"/>
              <w:jc w:val="left"/>
            </w:pPr>
            <w:r>
              <w:rPr>
                <w:rFonts w:ascii="Arial" w:hAnsi="Arial"/>
                <w:sz w:val="13"/>
              </w:rPr>
              <w:t xml:space="preserve">Plain lyophilized vial</w:t>
            </w:r>
          </w:p>
        </w:tc>
        <w:tc>
          <w:tcPr>
            <w:tcW w:type="dxa" w:w="1854"/>
          </w:tcPr>
          <w:p>
            <w:pPr>
              <w:pStyle w:val="Compact"/>
              <w:spacing w:after="0" w:before="0" w:line="240" w:lineRule="auto"/>
              <w:jc w:val="left"/>
            </w:pPr>
            <w:r>
              <w:rPr>
                <w:rFonts w:ascii="Arial" w:hAnsi="Arial"/>
                <w:sz w:val="13"/>
              </w:rPr>
              <w:t xml:space="preserve">In crosswalk from Q1 2025; 6.8% Rx</w:t>
            </w:r>
          </w:p>
        </w:tc>
      </w:tr>
      <w:tr>
        <w:trPr>
          <w:cantSplit/>
        </w:trPr>
        <w:tc>
          <w:tcPr>
            <w:tcW w:type="dxa" w:w="1623"/>
          </w:tcPr>
          <w:p>
            <w:pPr>
              <w:pStyle w:val="Compact"/>
              <w:spacing w:after="0" w:before="0" w:line="240" w:lineRule="auto"/>
              <w:jc w:val="left"/>
            </w:pPr>
            <w:r>
              <w:rPr>
                <w:rFonts w:ascii="Arial" w:hAnsi="Arial"/>
                <w:sz w:val="13"/>
              </w:rPr>
              <w:t xml:space="preserve">Maiva Pharma, Hosur (CMO)</w:t>
            </w:r>
          </w:p>
        </w:tc>
        <w:tc>
          <w:tcPr>
            <w:tcW w:type="dxa" w:w="1468"/>
          </w:tcPr>
          <w:p>
            <w:pPr>
              <w:pStyle w:val="Compact"/>
              <w:spacing w:after="0" w:before="0" w:line="240" w:lineRule="auto"/>
              <w:jc w:val="left"/>
            </w:pPr>
            <w:r>
              <w:rPr>
                <w:rFonts w:ascii="Arial" w:hAnsi="Arial"/>
                <w:sz w:val="13"/>
              </w:rPr>
              <w:t xml:space="preserve">Apotex</w:t>
            </w:r>
          </w:p>
        </w:tc>
        <w:tc>
          <w:tcPr>
            <w:tcW w:type="dxa" w:w="1854"/>
          </w:tcPr>
          <w:p>
            <w:pPr>
              <w:pStyle w:val="Compact"/>
              <w:spacing w:after="0" w:before="0" w:line="240" w:lineRule="auto"/>
              <w:jc w:val="left"/>
            </w:pPr>
            <w:r>
              <w:rPr>
                <w:rFonts w:ascii="Arial" w:hAnsi="Arial"/>
                <w:sz w:val="13"/>
              </w:rPr>
              <w:t xml:space="preserve">ANDA 219856, 5 Feb 2026; launched 19 Jun 2026</w:t>
            </w:r>
          </w:p>
        </w:tc>
        <w:tc>
          <w:tcPr>
            <w:tcW w:type="dxa" w:w="371"/>
          </w:tcPr>
          <w:p>
            <w:pPr>
              <w:pStyle w:val="Compact"/>
              <w:spacing w:after="0" w:before="0" w:line="240" w:lineRule="auto"/>
              <w:jc w:val="left"/>
            </w:pPr>
            <w:r>
              <w:rPr>
                <w:rFonts w:ascii="Arial" w:hAnsi="Arial"/>
                <w:sz w:val="13"/>
              </w:rPr>
              <w:t xml:space="preserve">✓</w:t>
            </w:r>
          </w:p>
        </w:tc>
        <w:tc>
          <w:tcPr>
            <w:tcW w:type="dxa" w:w="371"/>
          </w:tcPr>
          <w:p>
            <w:pPr>
              <w:pStyle w:val="Compact"/>
              <w:spacing w:after="0" w:before="0" w:line="240" w:lineRule="auto"/>
              <w:jc w:val="left"/>
            </w:pPr>
            <w:r>
              <w:rPr>
                <w:rFonts w:ascii="Arial" w:hAnsi="Arial"/>
                <w:sz w:val="13"/>
              </w:rPr>
              <w:t xml:space="preserve">–</w:t>
            </w:r>
          </w:p>
        </w:tc>
        <w:tc>
          <w:tcPr>
            <w:tcW w:type="dxa" w:w="371"/>
          </w:tcPr>
          <w:p>
            <w:pPr>
              <w:pStyle w:val="Compact"/>
              <w:spacing w:after="0" w:before="0" w:line="240" w:lineRule="auto"/>
              <w:jc w:val="left"/>
            </w:pPr>
            <w:r>
              <w:rPr>
                <w:rFonts w:ascii="Arial" w:hAnsi="Arial"/>
                <w:sz w:val="13"/>
              </w:rPr>
              <w:t xml:space="preserve">–</w:t>
            </w:r>
          </w:p>
        </w:tc>
        <w:tc>
          <w:tcPr>
            <w:tcW w:type="dxa" w:w="371"/>
          </w:tcPr>
          <w:p>
            <w:pPr>
              <w:pStyle w:val="Compact"/>
              <w:spacing w:after="0" w:before="0" w:line="240" w:lineRule="auto"/>
              <w:jc w:val="left"/>
            </w:pPr>
            <w:r>
              <w:rPr>
                <w:rFonts w:ascii="Arial" w:hAnsi="Arial"/>
                <w:sz w:val="13"/>
              </w:rPr>
              <w:t xml:space="preserve">–</w:t>
            </w:r>
          </w:p>
        </w:tc>
        <w:tc>
          <w:tcPr>
            <w:tcW w:type="dxa" w:w="1808"/>
          </w:tcPr>
          <w:p>
            <w:pPr>
              <w:pStyle w:val="Compact"/>
              <w:spacing w:after="0" w:before="0" w:line="240" w:lineRule="auto"/>
              <w:jc w:val="left"/>
            </w:pPr>
            <w:r>
              <w:rPr>
                <w:rFonts w:ascii="Arial" w:hAnsi="Arial"/>
                <w:sz w:val="13"/>
              </w:rPr>
              <w:t xml:space="preserve">Plain vial</w:t>
            </w:r>
          </w:p>
        </w:tc>
        <w:tc>
          <w:tcPr>
            <w:tcW w:type="dxa" w:w="1854"/>
          </w:tcPr>
          <w:p>
            <w:pPr>
              <w:pStyle w:val="Compact"/>
              <w:spacing w:after="0" w:before="0" w:line="240" w:lineRule="auto"/>
              <w:jc w:val="left"/>
            </w:pPr>
            <w:r>
              <w:rPr>
                <w:rFonts w:ascii="Arial" w:hAnsi="Arial"/>
                <w:sz w:val="13"/>
              </w:rPr>
              <w:t xml:space="preserve">In crosswalk Q4 2026; not yet in SDUD</w:t>
            </w:r>
          </w:p>
        </w:tc>
      </w:tr>
      <w:tr>
        <w:trPr>
          <w:cantSplit/>
        </w:trPr>
        <w:tc>
          <w:tcPr>
            <w:tcW w:type="dxa" w:w="1623"/>
          </w:tcPr>
          <w:p>
            <w:pPr>
              <w:pStyle w:val="Compact"/>
              <w:spacing w:after="0" w:before="0" w:line="240" w:lineRule="auto"/>
              <w:jc w:val="left"/>
            </w:pPr>
            <w:r>
              <w:rPr>
                <w:rFonts w:ascii="Arial" w:hAnsi="Arial"/>
                <w:sz w:val="13"/>
              </w:rPr>
              <w:t xml:space="preserve">Zydus, Vadodara (in-house)</w:t>
            </w:r>
          </w:p>
        </w:tc>
        <w:tc>
          <w:tcPr>
            <w:tcW w:type="dxa" w:w="1468"/>
          </w:tcPr>
          <w:p>
            <w:pPr>
              <w:pStyle w:val="Compact"/>
              <w:spacing w:after="0" w:before="0" w:line="240" w:lineRule="auto"/>
              <w:jc w:val="left"/>
            </w:pPr>
            <w:r>
              <w:rPr>
                <w:rFonts w:ascii="Arial" w:hAnsi="Arial"/>
                <w:sz w:val="13"/>
              </w:rPr>
              <w:t xml:space="preserve">Zydus USA; Zydus Lifesciences</w:t>
            </w:r>
          </w:p>
        </w:tc>
        <w:tc>
          <w:tcPr>
            <w:tcW w:type="dxa" w:w="1854"/>
          </w:tcPr>
          <w:p>
            <w:pPr>
              <w:pStyle w:val="Compact"/>
              <w:spacing w:after="0" w:before="0" w:line="240" w:lineRule="auto"/>
              <w:jc w:val="left"/>
            </w:pPr>
            <w:r>
              <w:rPr>
                <w:rFonts w:ascii="Arial" w:hAnsi="Arial"/>
                <w:sz w:val="13"/>
              </w:rPr>
              <w:t xml:space="preserve">ANDA 217191, 7 May 2026; CGT-designated but not eligible for exclusivity; launched 9 May 2026</w:t>
            </w:r>
          </w:p>
        </w:tc>
        <w:tc>
          <w:tcPr>
            <w:tcW w:type="dxa" w:w="371"/>
          </w:tcPr>
          <w:p>
            <w:pPr>
              <w:pStyle w:val="Compact"/>
              <w:spacing w:after="0" w:before="0" w:line="240" w:lineRule="auto"/>
              <w:jc w:val="left"/>
            </w:pPr>
            <w:r>
              <w:rPr>
                <w:rFonts w:ascii="Arial" w:hAnsi="Arial"/>
                <w:sz w:val="13"/>
              </w:rPr>
              <w:t xml:space="preserve">✓</w:t>
            </w:r>
          </w:p>
        </w:tc>
        <w:tc>
          <w:tcPr>
            <w:tcW w:type="dxa" w:w="371"/>
          </w:tcPr>
          <w:p>
            <w:pPr>
              <w:pStyle w:val="Compact"/>
              <w:spacing w:after="0" w:before="0" w:line="240" w:lineRule="auto"/>
              <w:jc w:val="left"/>
            </w:pPr>
            <w:r>
              <w:rPr>
                <w:rFonts w:ascii="Arial" w:hAnsi="Arial"/>
                <w:sz w:val="13"/>
              </w:rPr>
              <w:t xml:space="preserve">–</w:t>
            </w:r>
          </w:p>
        </w:tc>
        <w:tc>
          <w:tcPr>
            <w:tcW w:type="dxa" w:w="371"/>
          </w:tcPr>
          <w:p>
            <w:pPr>
              <w:pStyle w:val="Compact"/>
              <w:spacing w:after="0" w:before="0" w:line="240" w:lineRule="auto"/>
              <w:jc w:val="left"/>
            </w:pPr>
            <w:r>
              <w:rPr>
                <w:rFonts w:ascii="Arial" w:hAnsi="Arial"/>
                <w:sz w:val="13"/>
              </w:rPr>
              <w:t xml:space="preserve">–</w:t>
            </w:r>
          </w:p>
        </w:tc>
        <w:tc>
          <w:tcPr>
            <w:tcW w:type="dxa" w:w="371"/>
          </w:tcPr>
          <w:p>
            <w:pPr>
              <w:pStyle w:val="Compact"/>
              <w:spacing w:after="0" w:before="0" w:line="240" w:lineRule="auto"/>
              <w:jc w:val="left"/>
            </w:pPr>
            <w:r>
              <w:rPr>
                <w:rFonts w:ascii="Arial" w:hAnsi="Arial"/>
                <w:sz w:val="13"/>
              </w:rPr>
              <w:t xml:space="preserve">–</w:t>
            </w:r>
          </w:p>
        </w:tc>
        <w:tc>
          <w:tcPr>
            <w:tcW w:type="dxa" w:w="1808"/>
          </w:tcPr>
          <w:p>
            <w:pPr>
              <w:pStyle w:val="Compact"/>
              <w:spacing w:after="0" w:before="0" w:line="240" w:lineRule="auto"/>
              <w:jc w:val="left"/>
            </w:pPr>
            <w:r>
              <w:rPr>
                <w:rFonts w:ascii="Arial" w:hAnsi="Arial"/>
                <w:sz w:val="13"/>
              </w:rPr>
              <w:t xml:space="preserve">Plain vial</w:t>
            </w:r>
          </w:p>
        </w:tc>
        <w:tc>
          <w:tcPr>
            <w:tcW w:type="dxa" w:w="1854"/>
          </w:tcPr>
          <w:p>
            <w:pPr>
              <w:pStyle w:val="Compact"/>
              <w:spacing w:after="0" w:before="0" w:line="240" w:lineRule="auto"/>
              <w:jc w:val="left"/>
            </w:pPr>
            <w:r>
              <w:rPr>
                <w:rFonts w:ascii="Arial" w:hAnsi="Arial"/>
                <w:sz w:val="13"/>
              </w:rPr>
              <w:t xml:space="preserve">In crosswalk Q4 2026; not yet in SDUD</w:t>
            </w:r>
          </w:p>
        </w:tc>
      </w:tr>
    </w:tbl>
    <w:p>
      <w:pPr>
        <w:pStyle w:val="BodyText"/>
        <w:spacing w:before="100"/>
      </w:pPr>
      <w:r>
        <w:rPr>
          <w:rFonts w:ascii="Arial" w:hAnsi="Arial"/>
        </w:rPr>
        <w:t xml:space="preserve">Sources:</w:t>
      </w:r>
      <w:r>
        <w:rPr>
          <w:rFonts w:ascii="Arial" w:hAnsi="Arial"/>
        </w:rPr>
        <w:t xml:space="preserve"> </w:t>
      </w:r>
      <w:hyperlink r:id="rId20">
        <w:r>
          <w:rPr>
            <w:rStyle w:val="Hyperlink"/>
          </w:rPr>
          <w:t xml:space="preserve">Orange Book</w:t>
        </w:r>
      </w:hyperlink>
      <w:r>
        <w:rPr>
          <w:rFonts w:ascii="Arial" w:hAnsi="Arial"/>
        </w:rPr>
        <w:t xml:space="preserve">;</w:t>
      </w:r>
      <w:r>
        <w:rPr>
          <w:rFonts w:ascii="Arial" w:hAnsi="Arial"/>
        </w:rPr>
        <w:t xml:space="preserve"> </w:t>
      </w:r>
      <w:hyperlink r:id="rId34">
        <w:r>
          <w:rPr>
            <w:rStyle w:val="Hyperlink"/>
          </w:rPr>
          <w:t xml:space="preserve">FDA CGT approvals list</w:t>
        </w:r>
      </w:hyperlink>
      <w:r>
        <w:rPr>
          <w:rFonts w:ascii="Arial" w:hAnsi="Arial"/>
        </w:rPr>
        <w:t xml:space="preserve">;</w:t>
      </w:r>
      <w:r>
        <w:rPr>
          <w:rFonts w:ascii="Arial" w:hAnsi="Arial"/>
        </w:rPr>
        <w:t xml:space="preserve"> </w:t>
      </w:r>
      <w:hyperlink r:id="rId30">
        <w:r>
          <w:rPr>
            <w:rStyle w:val="Hyperlink"/>
          </w:rPr>
          <w:t xml:space="preserve">openFDA NDC, HSS</w:t>
        </w:r>
      </w:hyperlink>
      <w:r>
        <w:rPr>
          <w:rFonts w:ascii="Arial" w:hAnsi="Arial"/>
        </w:rPr>
        <w:t xml:space="preserve">; DailyMed labels for</w:t>
      </w:r>
      <w:r>
        <w:rPr>
          <w:rFonts w:ascii="Arial" w:hAnsi="Arial"/>
        </w:rPr>
        <w:t xml:space="preserve"> </w:t>
      </w:r>
      <w:hyperlink r:id="rId41">
        <w:r>
          <w:rPr>
            <w:rStyle w:val="Hyperlink"/>
          </w:rPr>
          <w:t xml:space="preserve">Cipla</w:t>
        </w:r>
      </w:hyperlink>
      <w:r>
        <w:rPr>
          <w:rFonts w:ascii="Arial" w:hAnsi="Arial"/>
        </w:rPr>
        <w:t xml:space="preserve">,</w:t>
      </w:r>
      <w:r>
        <w:rPr>
          <w:rFonts w:ascii="Arial" w:hAnsi="Arial"/>
        </w:rPr>
        <w:t xml:space="preserve"> </w:t>
      </w:r>
      <w:hyperlink r:id="rId42">
        <w:r>
          <w:rPr>
            <w:rStyle w:val="Hyperlink"/>
          </w:rPr>
          <w:t xml:space="preserve">Apotex</w:t>
        </w:r>
      </w:hyperlink>
      <w:r>
        <w:rPr>
          <w:rFonts w:ascii="Arial" w:hAnsi="Arial"/>
        </w:rPr>
        <w:t xml:space="preserve">,</w:t>
      </w:r>
      <w:r>
        <w:rPr>
          <w:rFonts w:ascii="Arial" w:hAnsi="Arial"/>
        </w:rPr>
        <w:t xml:space="preserve"> </w:t>
      </w:r>
      <w:hyperlink r:id="rId43">
        <w:r>
          <w:rPr>
            <w:rStyle w:val="Hyperlink"/>
          </w:rPr>
          <w:t xml:space="preserve">Zydus</w:t>
        </w:r>
      </w:hyperlink>
      <w:r>
        <w:rPr>
          <w:rFonts w:ascii="Arial" w:hAnsi="Arial"/>
        </w:rPr>
        <w:t xml:space="preserve"> </w:t>
      </w:r>
      <w:r>
        <w:rPr>
          <w:rFonts w:ascii="Arial" w:hAnsi="Arial"/>
        </w:rPr>
        <w:t xml:space="preserve">and</w:t>
      </w:r>
      <w:r>
        <w:rPr>
          <w:rFonts w:ascii="Arial" w:hAnsi="Arial"/>
        </w:rPr>
        <w:t xml:space="preserve"> </w:t>
      </w:r>
      <w:hyperlink r:id="rId28">
        <w:r>
          <w:rPr>
            <w:rStyle w:val="Hyperlink"/>
          </w:rPr>
          <w:t xml:space="preserve">Solu-Cortef</w:t>
        </w:r>
      </w:hyperlink>
      <w:r>
        <w:rPr>
          <w:rFonts w:ascii="Arial" w:hAnsi="Arial"/>
        </w:rPr>
        <w:t xml:space="preserve">.</w:t>
      </w:r>
    </w:p>
    <w:bookmarkEnd w:id="44"/>
    <w:bookmarkStart w:id="46" w:name="approval-timing"/>
    <w:p>
      <w:pPr>
        <w:pStyle w:val="Heading3"/>
      </w:pPr>
      <w:r>
        <w:rPr>
          <w:rFonts w:ascii="Arial" w:hAnsi="Arial"/>
        </w:rPr>
        <w:t xml:space="preserve">Approval timing</w:t>
      </w:r>
    </w:p>
    <w:p>
      <w:pPr>
        <w:pStyle w:val="FirstParagraph"/>
      </w:pPr>
      <w:r>
        <w:rPr>
          <w:rFonts w:ascii="Arial" w:hAnsi="Arial"/>
        </w:rPr>
        <w:t xml:space="preserve">The two molecules sit at opposite ends of the generic life cycle.</w:t>
      </w:r>
      <w:r>
        <w:rPr>
          <w:rFonts w:ascii="Arial" w:hAnsi="Arial"/>
        </w:rPr>
        <w:t xml:space="preserve"> </w:t>
      </w:r>
      <w:r>
        <w:rPr>
          <w:bCs/>
          <w:rFonts w:ascii="Arial" w:hAnsi="Arial"/>
          <w:b/>
        </w:rPr>
        <w:t xml:space="preserve">MPSS</w:t>
      </w:r>
      <w:r>
        <w:rPr>
          <w:rFonts w:ascii="Arial" w:hAnsi="Arial"/>
        </w:rPr>
        <w:t xml:space="preserve"> </w:t>
      </w:r>
      <w:r>
        <w:rPr>
          <w:rFonts w:ascii="Arial" w:hAnsi="Arial"/>
        </w:rPr>
        <w:t xml:space="preserve">generics date from Fresenius Kabi's 2004 approvals. Only</w:t>
      </w:r>
      <w:r>
        <w:rPr>
          <w:rFonts w:ascii="Arial" w:hAnsi="Arial"/>
        </w:rPr>
        <w:t xml:space="preserve"> </w:t>
      </w:r>
      <w:r>
        <w:rPr>
          <w:bCs/>
          <w:rFonts w:ascii="Arial" w:hAnsi="Arial"/>
          <w:b/>
        </w:rPr>
        <w:t xml:space="preserve">two MPSS ANDAs were approved in 2018–2026</w:t>
      </w:r>
      <w:r>
        <w:rPr>
          <w:rFonts w:ascii="Arial" w:hAnsi="Arial"/>
        </w:rPr>
        <w:t xml:space="preserve"> </w:t>
      </w:r>
      <w:r>
        <w:rPr>
          <w:rFonts w:ascii="Arial" w:hAnsi="Arial"/>
        </w:rPr>
        <w:t xml:space="preserve">(Kingyork April 2021; Hikma 40/125 mg September 2022), and</w:t>
      </w:r>
      <w:r>
        <w:rPr>
          <w:rFonts w:ascii="Arial" w:hAnsi="Arial"/>
        </w:rPr>
        <w:t xml:space="preserve"> </w:t>
      </w:r>
      <w:r>
        <w:rPr>
          <w:bCs/>
          <w:rFonts w:ascii="Arial" w:hAnsi="Arial"/>
          <w:b/>
        </w:rPr>
        <w:t xml:space="preserve">none since</w:t>
      </w:r>
      <w:r>
        <w:rPr>
          <w:rFonts w:ascii="Arial" w:hAnsi="Arial"/>
        </w:rPr>
        <w:t xml:space="preserve"> </w:t>
      </w:r>
      <w:r>
        <w:rPr>
          <w:rFonts w:ascii="Arial" w:hAnsi="Arial"/>
        </w:rPr>
        <w:t xml:space="preserve">(</w:t>
      </w:r>
      <w:hyperlink r:id="rId20">
        <w:r>
          <w:rPr>
            <w:rStyle w:val="Hyperlink"/>
          </w:rPr>
          <w:t xml:space="preserve">Orange Book</w:t>
        </w:r>
      </w:hyperlink>
      <w:r>
        <w:rPr>
          <w:rFonts w:ascii="Arial" w:hAnsi="Arial"/>
        </w:rPr>
        <w:t xml:space="preserve">). Every entry after 2022 came through a distribution deal on an existing ANDA, not a new filing: Dr. Reddy's on Kingyork's (</w:t>
      </w:r>
      <w:hyperlink r:id="rId23">
        <w:r>
          <w:rPr>
            <w:rStyle w:val="Hyperlink"/>
          </w:rPr>
          <w:t xml:space="preserve">DRL label</w:t>
        </w:r>
      </w:hyperlink>
      <w:r>
        <w:rPr>
          <w:rFonts w:ascii="Arial" w:hAnsi="Arial"/>
        </w:rPr>
        <w:t xml:space="preserve">) and Civica on Hikma's (</w:t>
      </w:r>
      <w:hyperlink r:id="rId24">
        <w:r>
          <w:rPr>
            <w:rStyle w:val="Hyperlink"/>
          </w:rPr>
          <w:t xml:space="preserve">Civica label</w:t>
        </w:r>
      </w:hyperlink>
      <w:r>
        <w:rPr>
          <w:rFonts w:ascii="Arial" w:hAnsi="Arial"/>
        </w:rPr>
        <w:t xml:space="preserve">). Of the 53 MPSS records in Drugs@FDA, 44 are legacy discontinued ANDAs, including all of Hospira's "A-Methapred" products (</w:t>
      </w:r>
      <w:hyperlink r:id="rId45">
        <w:r>
          <w:rPr>
            <w:rStyle w:val="Hyperlink"/>
          </w:rPr>
          <w:t xml:space="preserve">openFDA Drugs@FDA</w:t>
        </w:r>
      </w:hyperlink>
      <w:r>
        <w:rPr>
          <w:rFonts w:ascii="Arial" w:hAnsi="Arial"/>
        </w:rPr>
        <w:t xml:space="preserve">).</w:t>
      </w:r>
    </w:p>
    <w:p>
      <w:pPr>
        <w:pStyle w:val="BodyText"/>
      </w:pPr>
      <w:r>
        <w:rPr>
          <w:bCs/>
          <w:rFonts w:ascii="Arial" w:hAnsi="Arial"/>
          <w:b/>
        </w:rPr>
        <w:t xml:space="preserve">HSS</w:t>
      </w:r>
      <w:r>
        <w:rPr>
          <w:rFonts w:ascii="Arial" w:hAnsi="Arial"/>
        </w:rPr>
        <w:t xml:space="preserve"> </w:t>
      </w:r>
      <w:r>
        <w:rPr>
          <w:rFonts w:ascii="Arial" w:hAnsi="Arial"/>
        </w:rPr>
        <w:t xml:space="preserve">went the other way. About 25 legacy ANDAs from 1978–2006 were all discontinued, leaving</w:t>
      </w:r>
      <w:r>
        <w:rPr>
          <w:rFonts w:ascii="Arial" w:hAnsi="Arial"/>
        </w:rPr>
        <w:t xml:space="preserve"> </w:t>
      </w:r>
      <w:r>
        <w:rPr>
          <w:bCs/>
          <w:rFonts w:ascii="Arial" w:hAnsi="Arial"/>
          <w:b/>
        </w:rPr>
        <w:t xml:space="preserve">Pfizer as sole source until Cipla's CGT approval in September 2024</w:t>
      </w:r>
      <w:r>
        <w:rPr>
          <w:rFonts w:ascii="Arial" w:hAnsi="Arial"/>
        </w:rPr>
        <w:t xml:space="preserve">. The three current ANDAs were all approved in the last 25 months (</w:t>
      </w:r>
      <w:hyperlink r:id="rId20">
        <w:r>
          <w:rPr>
            <w:rStyle w:val="Hyperlink"/>
          </w:rPr>
          <w:t xml:space="preserve">Orange Book</w:t>
        </w:r>
      </w:hyperlink>
      <w:r>
        <w:rPr>
          <w:rFonts w:ascii="Arial" w:hAnsi="Arial"/>
        </w:rPr>
        <w:t xml:space="preserve">). Pfizer was the only J1720 labeler in every CMS crosswalk from Q1 2016 to Q4 2024 (</w:t>
      </w:r>
      <w:hyperlink r:id="rId26">
        <w:r>
          <w:rPr>
            <w:rStyle w:val="Hyperlink"/>
          </w:rPr>
          <w:t xml:space="preserve">CMS ASP files</w:t>
        </w:r>
      </w:hyperlink>
      <w:r>
        <w:rPr>
          <w:rFonts w:ascii="Arial" w:hAnsi="Arial"/>
        </w:rPr>
        <w:t xml:space="preserve">). FDA's CGT list records Cipla as CGT-eligible with first marketing on 26 September 2024, so its 180-day exclusivity would have lapsed around March 2025 (our calculation). Zydus was approved as a CGT but was not eligible for exclusivity, and Apotex is not on the list (</w:t>
      </w:r>
      <w:hyperlink r:id="rId34">
        <w:r>
          <w:rPr>
            <w:rStyle w:val="Hyperlink"/>
          </w:rPr>
          <w:t xml:space="preserve">FDA CGT list</w:t>
        </w:r>
      </w:hyperlink>
      <w:r>
        <w:rPr>
          <w:rFonts w:ascii="Arial" w:hAnsi="Arial"/>
        </w:rPr>
        <w:t xml:space="preserve">). Neither reference product carries Orange Book patents or exclusivities, so no Paragraph IV route exists for either molecule (</w:t>
      </w:r>
      <w:hyperlink r:id="rId20">
        <w:r>
          <w:rPr>
            <w:rStyle w:val="Hyperlink"/>
          </w:rPr>
          <w:t xml:space="preserve">Orange Book</w:t>
        </w:r>
      </w:hyperlink>
      <w:r>
        <w:rPr>
          <w:rFonts w:ascii="Arial" w:hAnsi="Arial"/>
        </w:rPr>
        <w:t xml:space="preserve">).</w:t>
      </w:r>
    </w:p>
    <w:bookmarkEnd w:id="46"/>
    <w:bookmarkStart w:id="48" w:name="X053829a5559488f67f1a77c4f5797e73a98d38a"/>
    <w:p>
      <w:pPr>
        <w:pStyle w:val="Heading3"/>
      </w:pPr>
      <w:r>
        <w:rPr>
          <w:rFonts w:ascii="Arial" w:hAnsi="Arial"/>
        </w:rPr>
        <w:t xml:space="preserve">Presentation: no generic DCV in either molecule</w:t>
      </w:r>
    </w:p>
    <w:p>
      <w:pPr>
        <w:pStyle w:val="FirstParagraph"/>
      </w:pPr>
      <w:r>
        <w:rPr>
          <w:bCs/>
          <w:rFonts w:ascii="Arial" w:hAnsi="Arial"/>
          <w:b/>
        </w:rPr>
        <w:t xml:space="preserve">No US generic of either molecule is a DCV.</w:t>
      </w:r>
      <w:r>
        <w:rPr>
          <w:rFonts w:ascii="Arial" w:hAnsi="Arial"/>
        </w:rPr>
        <w:t xml:space="preserve"> </w:t>
      </w:r>
      <w:r>
        <w:rPr>
          <w:rFonts w:ascii="Arial" w:hAnsi="Arial"/>
        </w:rPr>
        <w:t xml:space="preserve">Seven generic MPSS labels and all three HSS labels describe single-chamber lyophilized vials with no co-packaged diluent (</w:t>
      </w:r>
      <w:hyperlink r:id="rId39">
        <w:r>
          <w:rPr>
            <w:rStyle w:val="Hyperlink"/>
          </w:rPr>
          <w:t xml:space="preserve">Solu-Medrol label</w:t>
        </w:r>
      </w:hyperlink>
      <w:r>
        <w:rPr>
          <w:rFonts w:ascii="Arial" w:hAnsi="Arial"/>
        </w:rPr>
        <w:t xml:space="preserve">;</w:t>
      </w:r>
      <w:r>
        <w:rPr>
          <w:rFonts w:ascii="Arial" w:hAnsi="Arial"/>
        </w:rPr>
        <w:t xml:space="preserve"> </w:t>
      </w:r>
      <w:hyperlink r:id="rId28">
        <w:r>
          <w:rPr>
            <w:rStyle w:val="Hyperlink"/>
          </w:rPr>
          <w:t xml:space="preserve">Solu-Cortef label</w:t>
        </w:r>
      </w:hyperlink>
      <w:r>
        <w:rPr>
          <w:rFonts w:ascii="Arial" w:hAnsi="Arial"/>
        </w:rPr>
        <w:t xml:space="preserve">). The HSS pattern is the telling one. Every entrant chose 100 mg, the only strength Pfizer also sells as a plain vial, and the Orange Book does not separate the 100 mg plain vial from the 100 mg Act-O-Vial. Plain generics can therefore substitute for 100 mg Act-O-Vial orders. By the same logic, the 250 mg, 500 mg and 1 g strengths (Act-O-Vial only) stay protected until a DCV generic arrives (inference). FDA has published no product-specific guidance for HSS injection. A DCV ANDA would come under FDA's draft comparative-analysis framework for drug-device combinations, which requires a user-interface comparison against the reference product but not an identical design (</w:t>
      </w:r>
      <w:hyperlink r:id="rId47">
        <w:r>
          <w:rPr>
            <w:rStyle w:val="Hyperlink"/>
          </w:rPr>
          <w:t xml:space="preserve">FDA drug-device ANDA guidance</w:t>
        </w:r>
      </w:hyperlink>
      <w:r>
        <w:rPr>
          <w:rFonts w:ascii="Arial" w:hAnsi="Arial"/>
        </w:rPr>
        <w:t xml:space="preserve">).</w:t>
      </w:r>
    </w:p>
    <w:bookmarkEnd w:id="48"/>
    <w:bookmarkStart w:id="53" w:name="api-supply-and-shortages"/>
    <w:p>
      <w:pPr>
        <w:pStyle w:val="Heading3"/>
      </w:pPr>
      <w:r>
        <w:rPr>
          <w:rFonts w:ascii="Arial" w:hAnsi="Arial"/>
        </w:rPr>
        <w:t xml:space="preserve">API supply and shortages</w:t>
      </w:r>
    </w:p>
    <w:p>
      <w:pPr>
        <w:pStyle w:val="FirstParagraph"/>
      </w:pPr>
      <w:r>
        <w:rPr>
          <w:rFonts w:ascii="Arial" w:hAnsi="Arial"/>
        </w:rPr>
        <w:t xml:space="preserve">Supply history supports the opening. On API, there are</w:t>
      </w:r>
      <w:r>
        <w:rPr>
          <w:rFonts w:ascii="Arial" w:hAnsi="Arial"/>
        </w:rPr>
        <w:t xml:space="preserve"> </w:t>
      </w:r>
      <w:r>
        <w:rPr>
          <w:bCs/>
          <w:rFonts w:ascii="Arial" w:hAnsi="Arial"/>
          <w:b/>
        </w:rPr>
        <w:t xml:space="preserve">9 active US Type II DMFs for methylprednisolone succinate but only 4 for hydrocortisone hemisuccinate/sodium succinate</w:t>
      </w:r>
      <w:r>
        <w:rPr>
          <w:rFonts w:ascii="Arial" w:hAnsi="Arial"/>
        </w:rPr>
        <w:t xml:space="preserve">. Symbiotec holds the</w:t>
      </w:r>
      <w:r>
        <w:rPr>
          <w:rFonts w:ascii="Arial" w:hAnsi="Arial"/>
        </w:rPr>
        <w:t xml:space="preserve"> </w:t>
      </w:r>
      <w:r>
        <w:rPr>
          <w:bCs/>
          <w:rFonts w:ascii="Arial" w:hAnsi="Arial"/>
          <w:b/>
        </w:rPr>
        <w:t xml:space="preserve">oldest active hydrocortisone hemisuccinate DMF (29221, March 2015)</w:t>
      </w:r>
      <w:r>
        <w:rPr>
          <w:rFonts w:ascii="Arial" w:hAnsi="Arial"/>
        </w:rPr>
        <w:t xml:space="preserve">; the other three (Farmabios, Curia and Henan Lihua) were filed in 2023–2025 (</w:t>
      </w:r>
      <w:hyperlink r:id="rId49">
        <w:r>
          <w:rPr>
            <w:rStyle w:val="Hyperlink"/>
          </w:rPr>
          <w:t xml:space="preserve">FDA DMF list 3Q2026</w:t>
        </w:r>
      </w:hyperlink>
      <w:r>
        <w:rPr>
          <w:rFonts w:ascii="Arial" w:hAnsi="Arial"/>
        </w:rPr>
        <w:t xml:space="preserve">).</w:t>
      </w:r>
    </w:p>
    <w:p>
      <w:pPr>
        <w:pStyle w:val="BodyText"/>
      </w:pPr>
      <w:r>
        <w:rPr>
          <w:rFonts w:ascii="Arial" w:hAnsi="Arial"/>
        </w:rPr>
        <w:t xml:space="preserve">On supply, Pfizer's Act-O-Vial line has repeatedly been the bottleneck:</w:t>
      </w:r>
    </w:p>
    <w:p>
      <w:pPr>
        <w:numPr>
          <w:ilvl w:val="0"/>
          <w:numId w:val="1007"/>
        </w:numPr>
        <w:pStyle w:val="Compact"/>
      </w:pPr>
      <w:r>
        <w:rPr>
          <w:bCs/>
          <w:rFonts w:ascii="Arial" w:hAnsi="Arial"/>
          <w:b/>
        </w:rPr>
        <w:t xml:space="preserve">Solu-Cortef 100 mg Act-O-Vial, March–June 2023:</w:t>
      </w:r>
      <w:r>
        <w:rPr>
          <w:rFonts w:ascii="Arial" w:hAnsi="Arial"/>
        </w:rPr>
        <w:t xml:space="preserve"> </w:t>
      </w:r>
      <w:r>
        <w:rPr>
          <w:rFonts w:ascii="Arial" w:hAnsi="Arial"/>
        </w:rPr>
        <w:t xml:space="preserve">disrupted, with direct-order allocation (</w:t>
      </w:r>
      <w:hyperlink r:id="rId50">
        <w:r>
          <w:rPr>
            <w:rStyle w:val="Hyperlink"/>
          </w:rPr>
          <w:t xml:space="preserve">Pfizer letter, 22 Mar 2023</w:t>
        </w:r>
      </w:hyperlink>
      <w:r>
        <w:rPr>
          <w:rFonts w:ascii="Arial" w:hAnsi="Arial"/>
        </w:rPr>
        <w:t xml:space="preserve">).</w:t>
      </w:r>
    </w:p>
    <w:p>
      <w:pPr>
        <w:numPr>
          <w:ilvl w:val="0"/>
          <w:numId w:val="1007"/>
        </w:numPr>
        <w:pStyle w:val="Compact"/>
      </w:pPr>
      <w:r>
        <w:rPr>
          <w:bCs/>
          <w:rFonts w:ascii="Arial" w:hAnsi="Arial"/>
          <w:b/>
        </w:rPr>
        <w:t xml:space="preserve">Solu-Cortef, April 2025:</w:t>
      </w:r>
      <w:r>
        <w:rPr>
          <w:rFonts w:ascii="Arial" w:hAnsi="Arial"/>
        </w:rPr>
        <w:t xml:space="preserve"> </w:t>
      </w:r>
      <w:r>
        <w:rPr>
          <w:rFonts w:ascii="Arial" w:hAnsi="Arial"/>
        </w:rPr>
        <w:t xml:space="preserve">the 100 mg Act-O-Vial again went to 80% wholesaler allocation (</w:t>
      </w:r>
      <w:hyperlink r:id="rId51">
        <w:r>
          <w:rPr>
            <w:rStyle w:val="Hyperlink"/>
          </w:rPr>
          <w:t xml:space="preserve">FDA-posted Pfizer letter, 14 Apr 2025</w:t>
        </w:r>
      </w:hyperlink>
      <w:r>
        <w:rPr>
          <w:rFonts w:ascii="Arial" w:hAnsi="Arial"/>
        </w:rPr>
        <w:t xml:space="preserve">).</w:t>
      </w:r>
    </w:p>
    <w:p>
      <w:pPr>
        <w:numPr>
          <w:ilvl w:val="0"/>
          <w:numId w:val="1007"/>
        </w:numPr>
        <w:pStyle w:val="Compact"/>
      </w:pPr>
      <w:r>
        <w:rPr>
          <w:bCs/>
          <w:rFonts w:ascii="Arial" w:hAnsi="Arial"/>
          <w:b/>
        </w:rPr>
        <w:t xml:space="preserve">MPSS, mid-2025:</w:t>
      </w:r>
      <w:r>
        <w:rPr>
          <w:rFonts w:ascii="Arial" w:hAnsi="Arial"/>
        </w:rPr>
        <w:t xml:space="preserve"> </w:t>
      </w:r>
      <w:r>
        <w:rPr>
          <w:rFonts w:ascii="Arial" w:hAnsi="Arial"/>
        </w:rPr>
        <w:t xml:space="preserve">backorders hit Pfizer, Fresenius and Hikma at the same time, and Pfizer's 40/125 mg Act-O-Vials were on weekly allocation (</w:t>
      </w:r>
      <w:hyperlink r:id="rId52">
        <w:r>
          <w:rPr>
            <w:rStyle w:val="Hyperlink"/>
          </w:rPr>
          <w:t xml:space="preserve">Isaacs et al., PMC12646679</w:t>
        </w:r>
      </w:hyperlink>
      <w:r>
        <w:rPr>
          <w:rFonts w:ascii="Arial" w:hAnsi="Arial"/>
        </w:rPr>
        <w:t xml:space="preserve">).</w:t>
      </w:r>
    </w:p>
    <w:p>
      <w:pPr>
        <w:pStyle w:val="FirstParagraph"/>
      </w:pPr>
      <w:r>
        <w:rPr>
          <w:rFonts w:ascii="Arial" w:hAnsi="Arial"/>
        </w:rPr>
        <w:t xml:space="preserve">Two listings suggest hospitals still treat these products as supply-risk items (inference):</w:t>
      </w:r>
    </w:p>
    <w:p>
      <w:pPr>
        <w:numPr>
          <w:ilvl w:val="0"/>
          <w:numId w:val="1008"/>
        </w:numPr>
        <w:pStyle w:val="Compact"/>
      </w:pPr>
      <w:r>
        <w:rPr>
          <w:bCs/>
          <w:rFonts w:ascii="Arial" w:hAnsi="Arial"/>
          <w:b/>
        </w:rPr>
        <w:t xml:space="preserve">Civica</w:t>
      </w:r>
      <w:r>
        <w:rPr>
          <w:rFonts w:ascii="Arial" w:hAnsi="Arial"/>
        </w:rPr>
        <w:t xml:space="preserve">, a non-profit created to stabilise hospital supply, entered MPSS in December 2025 (</w:t>
      </w:r>
      <w:hyperlink r:id="rId24">
        <w:r>
          <w:rPr>
            <w:rStyle w:val="Hyperlink"/>
          </w:rPr>
          <w:t xml:space="preserve">Civica label</w:t>
        </w:r>
      </w:hyperlink>
      <w:r>
        <w:rPr>
          <w:rFonts w:ascii="Arial" w:hAnsi="Arial"/>
        </w:rPr>
        <w:t xml:space="preserve">;</w:t>
      </w:r>
      <w:r>
        <w:rPr>
          <w:rFonts w:ascii="Arial" w:hAnsi="Arial"/>
        </w:rPr>
        <w:t xml:space="preserve"> </w:t>
      </w:r>
      <w:hyperlink r:id="rId21">
        <w:r>
          <w:rPr>
            <w:rStyle w:val="Hyperlink"/>
          </w:rPr>
          <w:t xml:space="preserve">openFDA NDC, MPSS</w:t>
        </w:r>
      </w:hyperlink>
      <w:r>
        <w:rPr>
          <w:rFonts w:ascii="Arial" w:hAnsi="Arial"/>
        </w:rPr>
        <w:t xml:space="preserve">).</w:t>
      </w:r>
    </w:p>
    <w:p>
      <w:pPr>
        <w:numPr>
          <w:ilvl w:val="0"/>
          <w:numId w:val="1008"/>
        </w:numPr>
        <w:pStyle w:val="Compact"/>
      </w:pPr>
      <w:r>
        <w:rPr>
          <w:bCs/>
          <w:rFonts w:ascii="Arial" w:hAnsi="Arial"/>
          <w:b/>
        </w:rPr>
        <w:t xml:space="preserve">Hikma's 1 g vial</w:t>
      </w:r>
      <w:r>
        <w:rPr>
          <w:rFonts w:ascii="Arial" w:hAnsi="Arial"/>
        </w:rPr>
        <w:t xml:space="preserve"> </w:t>
      </w:r>
      <w:r>
        <w:rPr>
          <w:rFonts w:ascii="Arial" w:hAnsi="Arial"/>
        </w:rPr>
        <w:t xml:space="preserve">carries a Vizient Novaplus private label (</w:t>
      </w:r>
      <w:hyperlink r:id="rId21">
        <w:r>
          <w:rPr>
            <w:rStyle w:val="Hyperlink"/>
          </w:rPr>
          <w:t xml:space="preserve">openFDA NDC, MPSS</w:t>
        </w:r>
      </w:hyperlink>
      <w:r>
        <w:rPr>
          <w:rFonts w:ascii="Arial" w:hAnsi="Arial"/>
        </w:rPr>
        <w:t xml:space="preserve">).</w:t>
      </w:r>
    </w:p>
    <w:bookmarkEnd w:id="53"/>
    <w:bookmarkEnd w:id="54"/>
    <w:bookmarkStart w:id="64" w:name="Xc28dd49875cd5642e0062f415ff8e1ce5b824b2"/>
    <w:p>
      <w:pPr>
        <w:pStyle w:val="Heading2"/>
      </w:pPr>
      <w:r>
        <w:rPr>
          <w:rFonts w:ascii="Arial" w:hAnsi="Arial"/>
        </w:rPr>
        <w:t xml:space="preserve">Medicaid and Part D show Pfizer holding 74% of Medrol and 93% of Cortef</w:t>
      </w:r>
    </w:p>
    <w:p>
      <w:pPr>
        <w:pStyle w:val="FirstParagraph"/>
      </w:pPr>
      <w:r>
        <w:rPr>
          <w:rFonts w:ascii="Arial" w:hAnsi="Arial"/>
        </w:rPr>
        <w:t xml:space="preserve">Public utilisation data adds two things IQVIA does not give you: labeler-level share by strength in outpatient channels, and a second, independent read on pharmacy substitution. Prescription (claim) share is the robust metric. Unit and dollar shares in SDUD are distorted, because states report units inconsistently (per vial, per mL and, since April 2024, per 5 mg) and a few states pay facility-level amounts (</w:t>
      </w:r>
      <w:hyperlink r:id="rId35">
        <w:r>
          <w:rPr>
            <w:rStyle w:val="Hyperlink"/>
          </w:rPr>
          <w:t xml:space="preserve">SDUD 2025</w:t>
        </w:r>
      </w:hyperlink>
      <w:r>
        <w:rPr>
          <w:rFonts w:ascii="Arial" w:hAnsi="Arial"/>
        </w:rPr>
        <w:t xml:space="preserve">;</w:t>
      </w:r>
      <w:r>
        <w:rPr>
          <w:rFonts w:ascii="Arial" w:hAnsi="Arial"/>
        </w:rPr>
        <w:t xml:space="preserve"> </w:t>
      </w:r>
      <w:hyperlink r:id="rId55">
        <w:r>
          <w:rPr>
            <w:rStyle w:val="Hyperlink"/>
          </w:rPr>
          <w:t xml:space="preserve">CMS SDUD field descriptions</w:t>
        </w:r>
      </w:hyperlink>
      <w:r>
        <w:rPr>
          <w:rFonts w:ascii="Arial" w:hAnsi="Arial"/>
        </w:rPr>
        <w:t xml:space="preserve">).</w:t>
      </w:r>
    </w:p>
    <w:p>
      <w:pPr>
        <w:pStyle w:val="BodyText"/>
        <w:keepNext/>
      </w:pPr>
      <w:r>
        <w:rPr>
          <w:bCs/>
          <w:rFonts w:ascii="Arial" w:hAnsi="Arial"/>
          <w:b/>
        </w:rPr>
        <w:t xml:space="preserve">Medicaid SDUD: share of MPSS prescriptions, all strengths (%)</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2454"/>
        <w:gridCol w:w="1113"/>
        <w:gridCol w:w="1113"/>
        <w:gridCol w:w="1113"/>
        <w:gridCol w:w="1113"/>
        <w:gridCol w:w="1113"/>
        <w:gridCol w:w="1113"/>
        <w:gridCol w:w="954"/>
      </w:tblGrid>
      <w:tr>
        <w:trPr>
          <w:tblHeader w:val="true"/>
          <w:tblHeader w:val="true"/>
          <w:cantSplit/>
        </w:trPr>
        <w:tc>
          <w:tcPr>
            <w:tcW w:type="dxa" w:w="2455"/>
            <w:shd w:val="clear" w:color="auto" w:fill="1F3864"/>
          </w:tcPr>
          <w:p>
            <w:pPr>
              <w:pStyle w:val="Compact"/>
              <w:spacing w:after="0" w:before="0" w:line="240" w:lineRule="auto"/>
              <w:jc w:val="left"/>
            </w:pPr>
            <w:r>
              <w:rPr>
                <w:rFonts w:ascii="Arial" w:hAnsi="Arial"/>
                <w:b/>
                <w:color w:val="FFFFFF"/>
                <w:sz w:val="14"/>
              </w:rPr>
              <w:t xml:space="preserve">Labeler</w:t>
            </w:r>
          </w:p>
        </w:tc>
        <w:tc>
          <w:tcPr>
            <w:tcW w:type="dxa" w:w="1114"/>
            <w:shd w:val="clear" w:color="auto" w:fill="1F3864"/>
          </w:tcPr>
          <w:p>
            <w:pPr>
              <w:pStyle w:val="Compact"/>
              <w:spacing w:after="0" w:before="0" w:line="240" w:lineRule="auto"/>
              <w:jc w:val="left"/>
            </w:pPr>
            <w:r>
              <w:rPr>
                <w:rFonts w:ascii="Arial" w:hAnsi="Arial"/>
                <w:b/>
                <w:color w:val="FFFFFF"/>
                <w:sz w:val="14"/>
              </w:rPr>
              <w:t xml:space="preserve">2018</w:t>
            </w:r>
          </w:p>
        </w:tc>
        <w:tc>
          <w:tcPr>
            <w:tcW w:type="dxa" w:w="1114"/>
            <w:shd w:val="clear" w:color="auto" w:fill="1F3864"/>
          </w:tcPr>
          <w:p>
            <w:pPr>
              <w:pStyle w:val="Compact"/>
              <w:spacing w:after="0" w:before="0" w:line="240" w:lineRule="auto"/>
              <w:jc w:val="left"/>
            </w:pPr>
            <w:r>
              <w:rPr>
                <w:rFonts w:ascii="Arial" w:hAnsi="Arial"/>
                <w:b/>
                <w:color w:val="FFFFFF"/>
                <w:sz w:val="14"/>
              </w:rPr>
              <w:t xml:space="preserve">2020</w:t>
            </w:r>
          </w:p>
        </w:tc>
        <w:tc>
          <w:tcPr>
            <w:tcW w:type="dxa" w:w="1114"/>
            <w:shd w:val="clear" w:color="auto" w:fill="1F3864"/>
          </w:tcPr>
          <w:p>
            <w:pPr>
              <w:pStyle w:val="Compact"/>
              <w:spacing w:after="0" w:before="0" w:line="240" w:lineRule="auto"/>
              <w:jc w:val="left"/>
            </w:pPr>
            <w:r>
              <w:rPr>
                <w:rFonts w:ascii="Arial" w:hAnsi="Arial"/>
                <w:b/>
                <w:color w:val="FFFFFF"/>
                <w:sz w:val="14"/>
              </w:rPr>
              <w:t xml:space="preserve">2022</w:t>
            </w:r>
          </w:p>
        </w:tc>
        <w:tc>
          <w:tcPr>
            <w:tcW w:type="dxa" w:w="1114"/>
            <w:shd w:val="clear" w:color="auto" w:fill="1F3864"/>
          </w:tcPr>
          <w:p>
            <w:pPr>
              <w:pStyle w:val="Compact"/>
              <w:spacing w:after="0" w:before="0" w:line="240" w:lineRule="auto"/>
              <w:jc w:val="left"/>
            </w:pPr>
            <w:r>
              <w:rPr>
                <w:rFonts w:ascii="Arial" w:hAnsi="Arial"/>
                <w:b/>
                <w:color w:val="FFFFFF"/>
                <w:sz w:val="14"/>
              </w:rPr>
              <w:t xml:space="preserve">2023</w:t>
            </w:r>
          </w:p>
        </w:tc>
        <w:tc>
          <w:tcPr>
            <w:tcW w:type="dxa" w:w="1114"/>
            <w:shd w:val="clear" w:color="auto" w:fill="1F3864"/>
          </w:tcPr>
          <w:p>
            <w:pPr>
              <w:pStyle w:val="Compact"/>
              <w:spacing w:after="0" w:before="0" w:line="240" w:lineRule="auto"/>
              <w:jc w:val="left"/>
            </w:pPr>
            <w:r>
              <w:rPr>
                <w:rFonts w:ascii="Arial" w:hAnsi="Arial"/>
                <w:b/>
                <w:color w:val="FFFFFF"/>
                <w:sz w:val="14"/>
              </w:rPr>
              <w:t xml:space="preserve">2024</w:t>
            </w:r>
          </w:p>
        </w:tc>
        <w:tc>
          <w:tcPr>
            <w:tcW w:type="dxa" w:w="1114"/>
            <w:shd w:val="clear" w:color="auto" w:fill="1F3864"/>
          </w:tcPr>
          <w:p>
            <w:pPr>
              <w:pStyle w:val="Compact"/>
              <w:spacing w:after="0" w:before="0" w:line="240" w:lineRule="auto"/>
              <w:jc w:val="left"/>
            </w:pPr>
            <w:r>
              <w:rPr>
                <w:rFonts w:ascii="Arial" w:hAnsi="Arial"/>
                <w:b/>
                <w:color w:val="FFFFFF"/>
                <w:sz w:val="14"/>
              </w:rPr>
              <w:t xml:space="preserve">2025</w:t>
            </w:r>
          </w:p>
        </w:tc>
        <w:tc>
          <w:tcPr>
            <w:tcW w:type="dxa" w:w="955"/>
            <w:shd w:val="clear" w:color="auto" w:fill="1F3864"/>
          </w:tcPr>
          <w:p>
            <w:pPr>
              <w:pStyle w:val="Compact"/>
              <w:spacing w:after="0" w:before="0" w:line="240" w:lineRule="auto"/>
              <w:jc w:val="left"/>
            </w:pPr>
            <w:r>
              <w:rPr>
                <w:rFonts w:ascii="Arial" w:hAnsi="Arial"/>
                <w:b/>
                <w:color w:val="FFFFFF"/>
                <w:sz w:val="14"/>
              </w:rPr>
              <w:t xml:space="preserve">Q1 2026</w:t>
            </w:r>
          </w:p>
        </w:tc>
      </w:tr>
      <w:tr>
        <w:trPr>
          <w:cantSplit/>
        </w:trPr>
        <w:tc>
          <w:tcPr>
            <w:tcW w:type="dxa" w:w="2455"/>
          </w:tcPr>
          <w:p>
            <w:pPr>
              <w:pStyle w:val="Compact"/>
              <w:spacing w:after="0" w:before="0" w:line="240" w:lineRule="auto"/>
              <w:jc w:val="left"/>
            </w:pPr>
            <w:r>
              <w:rPr>
                <w:rFonts w:ascii="Arial" w:hAnsi="Arial"/>
                <w:sz w:val="14"/>
              </w:rPr>
              <w:t xml:space="preserve">Pfizer (Solu-Medrol)</w:t>
            </w:r>
          </w:p>
        </w:tc>
        <w:tc>
          <w:tcPr>
            <w:tcW w:type="dxa" w:w="1114"/>
          </w:tcPr>
          <w:p>
            <w:pPr>
              <w:pStyle w:val="Compact"/>
              <w:spacing w:after="0" w:before="0" w:line="240" w:lineRule="auto"/>
              <w:jc w:val="left"/>
            </w:pPr>
            <w:r>
              <w:rPr>
                <w:rFonts w:ascii="Arial" w:hAnsi="Arial"/>
                <w:sz w:val="14"/>
              </w:rPr>
              <w:t xml:space="preserve">90.6</w:t>
            </w:r>
          </w:p>
        </w:tc>
        <w:tc>
          <w:tcPr>
            <w:tcW w:type="dxa" w:w="1114"/>
          </w:tcPr>
          <w:p>
            <w:pPr>
              <w:pStyle w:val="Compact"/>
              <w:spacing w:after="0" w:before="0" w:line="240" w:lineRule="auto"/>
              <w:jc w:val="left"/>
            </w:pPr>
            <w:r>
              <w:rPr>
                <w:rFonts w:ascii="Arial" w:hAnsi="Arial"/>
                <w:sz w:val="14"/>
              </w:rPr>
              <w:t xml:space="preserve">89.4</w:t>
            </w:r>
          </w:p>
        </w:tc>
        <w:tc>
          <w:tcPr>
            <w:tcW w:type="dxa" w:w="1114"/>
          </w:tcPr>
          <w:p>
            <w:pPr>
              <w:pStyle w:val="Compact"/>
              <w:spacing w:after="0" w:before="0" w:line="240" w:lineRule="auto"/>
              <w:jc w:val="left"/>
            </w:pPr>
            <w:r>
              <w:rPr>
                <w:rFonts w:ascii="Arial" w:hAnsi="Arial"/>
                <w:sz w:val="14"/>
              </w:rPr>
              <w:t xml:space="preserve">87.3</w:t>
            </w:r>
          </w:p>
        </w:tc>
        <w:tc>
          <w:tcPr>
            <w:tcW w:type="dxa" w:w="1114"/>
          </w:tcPr>
          <w:p>
            <w:pPr>
              <w:pStyle w:val="Compact"/>
              <w:spacing w:after="0" w:before="0" w:line="240" w:lineRule="auto"/>
              <w:jc w:val="left"/>
            </w:pPr>
            <w:r>
              <w:rPr>
                <w:rFonts w:ascii="Arial" w:hAnsi="Arial"/>
                <w:sz w:val="14"/>
              </w:rPr>
              <w:t xml:space="preserve">81.7</w:t>
            </w:r>
          </w:p>
        </w:tc>
        <w:tc>
          <w:tcPr>
            <w:tcW w:type="dxa" w:w="1114"/>
          </w:tcPr>
          <w:p>
            <w:pPr>
              <w:pStyle w:val="Compact"/>
              <w:spacing w:after="0" w:before="0" w:line="240" w:lineRule="auto"/>
              <w:jc w:val="left"/>
            </w:pPr>
            <w:r>
              <w:rPr>
                <w:rFonts w:ascii="Arial" w:hAnsi="Arial"/>
                <w:sz w:val="14"/>
              </w:rPr>
              <w:t xml:space="preserve">78.9</w:t>
            </w:r>
          </w:p>
        </w:tc>
        <w:tc>
          <w:tcPr>
            <w:tcW w:type="dxa" w:w="1114"/>
          </w:tcPr>
          <w:p>
            <w:pPr>
              <w:pStyle w:val="Compact"/>
              <w:spacing w:after="0" w:before="0" w:line="240" w:lineRule="auto"/>
              <w:jc w:val="left"/>
            </w:pPr>
            <w:r>
              <w:rPr>
                <w:rFonts w:ascii="Arial" w:hAnsi="Arial"/>
                <w:sz w:val="14"/>
              </w:rPr>
              <w:t xml:space="preserve">75.0</w:t>
            </w:r>
          </w:p>
        </w:tc>
        <w:tc>
          <w:tcPr>
            <w:tcW w:type="dxa" w:w="955"/>
          </w:tcPr>
          <w:p>
            <w:pPr>
              <w:pStyle w:val="Compact"/>
              <w:spacing w:after="0" w:before="0" w:line="240" w:lineRule="auto"/>
              <w:jc w:val="left"/>
            </w:pPr>
            <w:r>
              <w:rPr>
                <w:rFonts w:ascii="Arial" w:hAnsi="Arial"/>
                <w:sz w:val="14"/>
              </w:rPr>
              <w:t xml:space="preserve">73.8</w:t>
            </w:r>
          </w:p>
        </w:tc>
      </w:tr>
      <w:tr>
        <w:trPr>
          <w:cantSplit/>
        </w:trPr>
        <w:tc>
          <w:tcPr>
            <w:tcW w:type="dxa" w:w="2455"/>
          </w:tcPr>
          <w:p>
            <w:pPr>
              <w:pStyle w:val="Compact"/>
              <w:spacing w:after="0" w:before="0" w:line="240" w:lineRule="auto"/>
              <w:jc w:val="left"/>
            </w:pPr>
            <w:r>
              <w:rPr>
                <w:rFonts w:ascii="Arial" w:hAnsi="Arial"/>
                <w:sz w:val="14"/>
              </w:rPr>
              <w:t xml:space="preserve">Dr. Reddy's (Kingyork ANDA)</w:t>
            </w:r>
          </w:p>
        </w:tc>
        <w:tc>
          <w:tcPr>
            <w:tcW w:type="dxa" w:w="1114"/>
          </w:tcPr>
          <w:p>
            <w:pPr>
              <w:pStyle w:val="Compact"/>
              <w:spacing w:after="0" w:before="0" w:line="240" w:lineRule="auto"/>
              <w:jc w:val="left"/>
            </w:pPr>
            <w:r>
              <w:rPr>
                <w:rFonts w:ascii="Arial" w:hAnsi="Arial"/>
                <w:sz w:val="14"/>
              </w:rPr>
              <w:t xml:space="preserve">–</w:t>
            </w:r>
          </w:p>
        </w:tc>
        <w:tc>
          <w:tcPr>
            <w:tcW w:type="dxa" w:w="1114"/>
          </w:tcPr>
          <w:p>
            <w:pPr>
              <w:pStyle w:val="Compact"/>
              <w:spacing w:after="0" w:before="0" w:line="240" w:lineRule="auto"/>
              <w:jc w:val="left"/>
            </w:pPr>
            <w:r>
              <w:rPr>
                <w:rFonts w:ascii="Arial" w:hAnsi="Arial"/>
                <w:sz w:val="14"/>
              </w:rPr>
              <w:t xml:space="preserve">–</w:t>
            </w:r>
          </w:p>
        </w:tc>
        <w:tc>
          <w:tcPr>
            <w:tcW w:type="dxa" w:w="1114"/>
          </w:tcPr>
          <w:p>
            <w:pPr>
              <w:pStyle w:val="Compact"/>
              <w:spacing w:after="0" w:before="0" w:line="240" w:lineRule="auto"/>
              <w:jc w:val="left"/>
            </w:pPr>
            <w:r>
              <w:rPr>
                <w:rFonts w:ascii="Arial" w:hAnsi="Arial"/>
                <w:sz w:val="14"/>
              </w:rPr>
              <w:t xml:space="preserve">0.4</w:t>
            </w:r>
          </w:p>
        </w:tc>
        <w:tc>
          <w:tcPr>
            <w:tcW w:type="dxa" w:w="1114"/>
          </w:tcPr>
          <w:p>
            <w:pPr>
              <w:pStyle w:val="Compact"/>
              <w:spacing w:after="0" w:before="0" w:line="240" w:lineRule="auto"/>
              <w:jc w:val="left"/>
            </w:pPr>
            <w:r>
              <w:rPr>
                <w:rFonts w:ascii="Arial" w:hAnsi="Arial"/>
                <w:sz w:val="14"/>
              </w:rPr>
              <w:t xml:space="preserve">4.3</w:t>
            </w:r>
          </w:p>
        </w:tc>
        <w:tc>
          <w:tcPr>
            <w:tcW w:type="dxa" w:w="1114"/>
          </w:tcPr>
          <w:p>
            <w:pPr>
              <w:pStyle w:val="Compact"/>
              <w:spacing w:after="0" w:before="0" w:line="240" w:lineRule="auto"/>
              <w:jc w:val="left"/>
            </w:pPr>
            <w:r>
              <w:rPr>
                <w:rFonts w:ascii="Arial" w:hAnsi="Arial"/>
                <w:sz w:val="14"/>
              </w:rPr>
              <w:t xml:space="preserve">7.6</w:t>
            </w:r>
          </w:p>
        </w:tc>
        <w:tc>
          <w:tcPr>
            <w:tcW w:type="dxa" w:w="1114"/>
          </w:tcPr>
          <w:p>
            <w:pPr>
              <w:pStyle w:val="Compact"/>
              <w:spacing w:after="0" w:before="0" w:line="240" w:lineRule="auto"/>
              <w:jc w:val="left"/>
            </w:pPr>
            <w:r>
              <w:rPr>
                <w:rFonts w:ascii="Arial" w:hAnsi="Arial"/>
                <w:sz w:val="14"/>
              </w:rPr>
              <w:t xml:space="preserve">12.3</w:t>
            </w:r>
          </w:p>
        </w:tc>
        <w:tc>
          <w:tcPr>
            <w:tcW w:type="dxa" w:w="955"/>
          </w:tcPr>
          <w:p>
            <w:pPr>
              <w:pStyle w:val="Compact"/>
              <w:spacing w:after="0" w:before="0" w:line="240" w:lineRule="auto"/>
              <w:jc w:val="left"/>
            </w:pPr>
            <w:r>
              <w:rPr>
                <w:rFonts w:ascii="Arial" w:hAnsi="Arial"/>
                <w:sz w:val="14"/>
              </w:rPr>
              <w:t xml:space="preserve">16.9</w:t>
            </w:r>
          </w:p>
        </w:tc>
      </w:tr>
      <w:tr>
        <w:trPr>
          <w:cantSplit/>
        </w:trPr>
        <w:tc>
          <w:tcPr>
            <w:tcW w:type="dxa" w:w="2455"/>
          </w:tcPr>
          <w:p>
            <w:pPr>
              <w:pStyle w:val="Compact"/>
              <w:spacing w:after="0" w:before="0" w:line="240" w:lineRule="auto"/>
              <w:jc w:val="left"/>
            </w:pPr>
            <w:r>
              <w:rPr>
                <w:rFonts w:ascii="Arial" w:hAnsi="Arial"/>
                <w:sz w:val="14"/>
              </w:rPr>
              <w:t xml:space="preserve">Fresenius Kabi</w:t>
            </w:r>
          </w:p>
        </w:tc>
        <w:tc>
          <w:tcPr>
            <w:tcW w:type="dxa" w:w="1114"/>
          </w:tcPr>
          <w:p>
            <w:pPr>
              <w:pStyle w:val="Compact"/>
              <w:spacing w:after="0" w:before="0" w:line="240" w:lineRule="auto"/>
              <w:jc w:val="left"/>
            </w:pPr>
            <w:r>
              <w:rPr>
                <w:rFonts w:ascii="Arial" w:hAnsi="Arial"/>
                <w:sz w:val="14"/>
              </w:rPr>
              <w:t xml:space="preserve">8.8</w:t>
            </w:r>
          </w:p>
        </w:tc>
        <w:tc>
          <w:tcPr>
            <w:tcW w:type="dxa" w:w="1114"/>
          </w:tcPr>
          <w:p>
            <w:pPr>
              <w:pStyle w:val="Compact"/>
              <w:spacing w:after="0" w:before="0" w:line="240" w:lineRule="auto"/>
              <w:jc w:val="left"/>
            </w:pPr>
            <w:r>
              <w:rPr>
                <w:rFonts w:ascii="Arial" w:hAnsi="Arial"/>
                <w:sz w:val="14"/>
              </w:rPr>
              <w:t xml:space="preserve">9.9</w:t>
            </w:r>
          </w:p>
        </w:tc>
        <w:tc>
          <w:tcPr>
            <w:tcW w:type="dxa" w:w="1114"/>
          </w:tcPr>
          <w:p>
            <w:pPr>
              <w:pStyle w:val="Compact"/>
              <w:spacing w:after="0" w:before="0" w:line="240" w:lineRule="auto"/>
              <w:jc w:val="left"/>
            </w:pPr>
            <w:r>
              <w:rPr>
                <w:rFonts w:ascii="Arial" w:hAnsi="Arial"/>
                <w:sz w:val="14"/>
              </w:rPr>
              <w:t xml:space="preserve">11.8</w:t>
            </w:r>
          </w:p>
        </w:tc>
        <w:tc>
          <w:tcPr>
            <w:tcW w:type="dxa" w:w="1114"/>
          </w:tcPr>
          <w:p>
            <w:pPr>
              <w:pStyle w:val="Compact"/>
              <w:spacing w:after="0" w:before="0" w:line="240" w:lineRule="auto"/>
              <w:jc w:val="left"/>
            </w:pPr>
            <w:r>
              <w:rPr>
                <w:rFonts w:ascii="Arial" w:hAnsi="Arial"/>
                <w:sz w:val="14"/>
              </w:rPr>
              <w:t xml:space="preserve">12.5</w:t>
            </w:r>
          </w:p>
        </w:tc>
        <w:tc>
          <w:tcPr>
            <w:tcW w:type="dxa" w:w="1114"/>
          </w:tcPr>
          <w:p>
            <w:pPr>
              <w:pStyle w:val="Compact"/>
              <w:spacing w:after="0" w:before="0" w:line="240" w:lineRule="auto"/>
              <w:jc w:val="left"/>
            </w:pPr>
            <w:r>
              <w:rPr>
                <w:rFonts w:ascii="Arial" w:hAnsi="Arial"/>
                <w:sz w:val="14"/>
              </w:rPr>
              <w:t xml:space="preserve">11.2</w:t>
            </w:r>
          </w:p>
        </w:tc>
        <w:tc>
          <w:tcPr>
            <w:tcW w:type="dxa" w:w="1114"/>
          </w:tcPr>
          <w:p>
            <w:pPr>
              <w:pStyle w:val="Compact"/>
              <w:spacing w:after="0" w:before="0" w:line="240" w:lineRule="auto"/>
              <w:jc w:val="left"/>
            </w:pPr>
            <w:r>
              <w:rPr>
                <w:rFonts w:ascii="Arial" w:hAnsi="Arial"/>
                <w:sz w:val="14"/>
              </w:rPr>
              <w:t xml:space="preserve">8.7</w:t>
            </w:r>
          </w:p>
        </w:tc>
        <w:tc>
          <w:tcPr>
            <w:tcW w:type="dxa" w:w="955"/>
          </w:tcPr>
          <w:p>
            <w:pPr>
              <w:pStyle w:val="Compact"/>
              <w:spacing w:after="0" w:before="0" w:line="240" w:lineRule="auto"/>
              <w:jc w:val="left"/>
            </w:pPr>
            <w:r>
              <w:rPr>
                <w:rFonts w:ascii="Arial" w:hAnsi="Arial"/>
                <w:sz w:val="14"/>
              </w:rPr>
              <w:t xml:space="preserve">6.1</w:t>
            </w:r>
          </w:p>
        </w:tc>
      </w:tr>
      <w:tr>
        <w:trPr>
          <w:cantSplit/>
        </w:trPr>
        <w:tc>
          <w:tcPr>
            <w:tcW w:type="dxa" w:w="2455"/>
          </w:tcPr>
          <w:p>
            <w:pPr>
              <w:pStyle w:val="Compact"/>
              <w:spacing w:after="0" w:before="0" w:line="240" w:lineRule="auto"/>
              <w:jc w:val="left"/>
            </w:pPr>
            <w:r>
              <w:rPr>
                <w:rFonts w:ascii="Arial" w:hAnsi="Arial"/>
                <w:sz w:val="14"/>
              </w:rPr>
              <w:t xml:space="preserve">Hikma</w:t>
            </w:r>
          </w:p>
        </w:tc>
        <w:tc>
          <w:tcPr>
            <w:tcW w:type="dxa" w:w="1114"/>
          </w:tcPr>
          <w:p>
            <w:pPr>
              <w:pStyle w:val="Compact"/>
              <w:spacing w:after="0" w:before="0" w:line="240" w:lineRule="auto"/>
              <w:jc w:val="left"/>
            </w:pPr>
            <w:r>
              <w:rPr>
                <w:rFonts w:ascii="Arial" w:hAnsi="Arial"/>
                <w:sz w:val="14"/>
              </w:rPr>
              <w:t xml:space="preserve">–</w:t>
            </w:r>
          </w:p>
        </w:tc>
        <w:tc>
          <w:tcPr>
            <w:tcW w:type="dxa" w:w="1114"/>
          </w:tcPr>
          <w:p>
            <w:pPr>
              <w:pStyle w:val="Compact"/>
              <w:spacing w:after="0" w:before="0" w:line="240" w:lineRule="auto"/>
              <w:jc w:val="left"/>
            </w:pPr>
            <w:r>
              <w:rPr>
                <w:rFonts w:ascii="Arial" w:hAnsi="Arial"/>
                <w:sz w:val="14"/>
              </w:rPr>
              <w:t xml:space="preserve">0.2</w:t>
            </w:r>
          </w:p>
        </w:tc>
        <w:tc>
          <w:tcPr>
            <w:tcW w:type="dxa" w:w="1114"/>
          </w:tcPr>
          <w:p>
            <w:pPr>
              <w:pStyle w:val="Compact"/>
              <w:spacing w:after="0" w:before="0" w:line="240" w:lineRule="auto"/>
              <w:jc w:val="left"/>
            </w:pPr>
            <w:r>
              <w:rPr>
                <w:rFonts w:ascii="Arial" w:hAnsi="Arial"/>
                <w:sz w:val="14"/>
              </w:rPr>
              <w:t xml:space="preserve">0.2</w:t>
            </w:r>
          </w:p>
        </w:tc>
        <w:tc>
          <w:tcPr>
            <w:tcW w:type="dxa" w:w="1114"/>
          </w:tcPr>
          <w:p>
            <w:pPr>
              <w:pStyle w:val="Compact"/>
              <w:spacing w:after="0" w:before="0" w:line="240" w:lineRule="auto"/>
              <w:jc w:val="left"/>
            </w:pPr>
            <w:r>
              <w:rPr>
                <w:rFonts w:ascii="Arial" w:hAnsi="Arial"/>
                <w:sz w:val="14"/>
              </w:rPr>
              <w:t xml:space="preserve">0.9</w:t>
            </w:r>
          </w:p>
        </w:tc>
        <w:tc>
          <w:tcPr>
            <w:tcW w:type="dxa" w:w="1114"/>
          </w:tcPr>
          <w:p>
            <w:pPr>
              <w:pStyle w:val="Compact"/>
              <w:spacing w:after="0" w:before="0" w:line="240" w:lineRule="auto"/>
              <w:jc w:val="left"/>
            </w:pPr>
            <w:r>
              <w:rPr>
                <w:rFonts w:ascii="Arial" w:hAnsi="Arial"/>
                <w:sz w:val="14"/>
              </w:rPr>
              <w:t xml:space="preserve">2.1</w:t>
            </w:r>
          </w:p>
        </w:tc>
        <w:tc>
          <w:tcPr>
            <w:tcW w:type="dxa" w:w="1114"/>
          </w:tcPr>
          <w:p>
            <w:pPr>
              <w:pStyle w:val="Compact"/>
              <w:spacing w:after="0" w:before="0" w:line="240" w:lineRule="auto"/>
              <w:jc w:val="left"/>
            </w:pPr>
            <w:r>
              <w:rPr>
                <w:rFonts w:ascii="Arial" w:hAnsi="Arial"/>
                <w:sz w:val="14"/>
              </w:rPr>
              <w:t xml:space="preserve">3.9</w:t>
            </w:r>
          </w:p>
        </w:tc>
        <w:tc>
          <w:tcPr>
            <w:tcW w:type="dxa" w:w="955"/>
          </w:tcPr>
          <w:p>
            <w:pPr>
              <w:pStyle w:val="Compact"/>
              <w:spacing w:after="0" w:before="0" w:line="240" w:lineRule="auto"/>
              <w:jc w:val="left"/>
            </w:pPr>
            <w:r>
              <w:rPr>
                <w:rFonts w:ascii="Arial" w:hAnsi="Arial"/>
                <w:sz w:val="14"/>
              </w:rPr>
              <w:t xml:space="preserve">3.2</w:t>
            </w:r>
          </w:p>
        </w:tc>
      </w:tr>
      <w:tr>
        <w:trPr>
          <w:cantSplit/>
        </w:trPr>
        <w:tc>
          <w:tcPr>
            <w:tcW w:type="dxa" w:w="2455"/>
          </w:tcPr>
          <w:p>
            <w:pPr>
              <w:pStyle w:val="Compact"/>
              <w:spacing w:after="0" w:before="0" w:line="240" w:lineRule="auto"/>
              <w:jc w:val="left"/>
            </w:pPr>
            <w:r>
              <w:rPr>
                <w:rFonts w:ascii="Arial" w:hAnsi="Arial"/>
                <w:sz w:val="14"/>
              </w:rPr>
              <w:t xml:space="preserve">Civica (Hikma ANDA)</w:t>
            </w:r>
          </w:p>
        </w:tc>
        <w:tc>
          <w:tcPr>
            <w:tcW w:type="dxa" w:w="1114"/>
          </w:tcPr>
          <w:p>
            <w:pPr>
              <w:pStyle w:val="Compact"/>
              <w:spacing w:after="0" w:before="0" w:line="240" w:lineRule="auto"/>
              <w:jc w:val="left"/>
            </w:pPr>
            <w:r>
              <w:rPr>
                <w:rFonts w:ascii="Arial" w:hAnsi="Arial"/>
                <w:sz w:val="14"/>
              </w:rPr>
              <w:t xml:space="preserve">–</w:t>
            </w:r>
          </w:p>
        </w:tc>
        <w:tc>
          <w:tcPr>
            <w:tcW w:type="dxa" w:w="1114"/>
          </w:tcPr>
          <w:p>
            <w:pPr>
              <w:pStyle w:val="Compact"/>
              <w:spacing w:after="0" w:before="0" w:line="240" w:lineRule="auto"/>
              <w:jc w:val="left"/>
            </w:pPr>
            <w:r>
              <w:rPr>
                <w:rFonts w:ascii="Arial" w:hAnsi="Arial"/>
                <w:sz w:val="14"/>
              </w:rPr>
              <w:t xml:space="preserve">–</w:t>
            </w:r>
          </w:p>
        </w:tc>
        <w:tc>
          <w:tcPr>
            <w:tcW w:type="dxa" w:w="1114"/>
          </w:tcPr>
          <w:p>
            <w:pPr>
              <w:pStyle w:val="Compact"/>
              <w:spacing w:after="0" w:before="0" w:line="240" w:lineRule="auto"/>
              <w:jc w:val="left"/>
            </w:pPr>
            <w:r>
              <w:rPr>
                <w:rFonts w:ascii="Arial" w:hAnsi="Arial"/>
                <w:sz w:val="14"/>
              </w:rPr>
              <w:t xml:space="preserve">–</w:t>
            </w:r>
          </w:p>
        </w:tc>
        <w:tc>
          <w:tcPr>
            <w:tcW w:type="dxa" w:w="1114"/>
          </w:tcPr>
          <w:p>
            <w:pPr>
              <w:pStyle w:val="Compact"/>
              <w:spacing w:after="0" w:before="0" w:line="240" w:lineRule="auto"/>
              <w:jc w:val="left"/>
            </w:pPr>
            <w:r>
              <w:rPr>
                <w:rFonts w:ascii="Arial" w:hAnsi="Arial"/>
                <w:sz w:val="14"/>
              </w:rPr>
              <w:t xml:space="preserve">–</w:t>
            </w:r>
          </w:p>
        </w:tc>
        <w:tc>
          <w:tcPr>
            <w:tcW w:type="dxa" w:w="1114"/>
          </w:tcPr>
          <w:p>
            <w:pPr>
              <w:pStyle w:val="Compact"/>
              <w:spacing w:after="0" w:before="0" w:line="240" w:lineRule="auto"/>
              <w:jc w:val="left"/>
            </w:pPr>
            <w:r>
              <w:rPr>
                <w:rFonts w:ascii="Arial" w:hAnsi="Arial"/>
                <w:sz w:val="14"/>
              </w:rPr>
              <w:t xml:space="preserve">–</w:t>
            </w:r>
          </w:p>
        </w:tc>
        <w:tc>
          <w:tcPr>
            <w:tcW w:type="dxa" w:w="1114"/>
          </w:tcPr>
          <w:p>
            <w:pPr>
              <w:pStyle w:val="Compact"/>
              <w:spacing w:after="0" w:before="0" w:line="240" w:lineRule="auto"/>
              <w:jc w:val="left"/>
            </w:pPr>
            <w:r>
              <w:rPr>
                <w:rFonts w:ascii="Arial" w:hAnsi="Arial"/>
                <w:sz w:val="14"/>
              </w:rPr>
              <w:t xml:space="preserve">–</w:t>
            </w:r>
          </w:p>
        </w:tc>
        <w:tc>
          <w:tcPr>
            <w:tcW w:type="dxa" w:w="955"/>
          </w:tcPr>
          <w:p>
            <w:pPr>
              <w:pStyle w:val="Compact"/>
              <w:spacing w:after="0" w:before="0" w:line="240" w:lineRule="auto"/>
              <w:jc w:val="left"/>
            </w:pPr>
            <w:r>
              <w:rPr>
                <w:rFonts w:ascii="Arial" w:hAnsi="Arial"/>
                <w:sz w:val="14"/>
              </w:rPr>
              <w:t xml:space="preserve">0.1</w:t>
            </w:r>
          </w:p>
        </w:tc>
      </w:tr>
      <w:tr>
        <w:trPr>
          <w:cantSplit/>
        </w:trPr>
        <w:tc>
          <w:tcPr>
            <w:tcW w:type="dxa" w:w="2455"/>
          </w:tcPr>
          <w:p>
            <w:pPr>
              <w:pStyle w:val="Compact"/>
              <w:spacing w:after="0" w:before="0" w:line="240" w:lineRule="auto"/>
              <w:jc w:val="left"/>
            </w:pPr>
            <w:r>
              <w:rPr>
                <w:rFonts w:ascii="Arial" w:hAnsi="Arial"/>
                <w:sz w:val="14"/>
              </w:rPr>
              <w:t xml:space="preserve">Amneal + Sagent</w:t>
            </w:r>
          </w:p>
        </w:tc>
        <w:tc>
          <w:tcPr>
            <w:tcW w:type="dxa" w:w="1114"/>
          </w:tcPr>
          <w:p>
            <w:pPr>
              <w:pStyle w:val="Compact"/>
              <w:spacing w:after="0" w:before="0" w:line="240" w:lineRule="auto"/>
              <w:jc w:val="left"/>
            </w:pPr>
            <w:r>
              <w:rPr>
                <w:rFonts w:ascii="Arial" w:hAnsi="Arial"/>
                <w:sz w:val="14"/>
              </w:rPr>
              <w:t xml:space="preserve">0.6</w:t>
            </w:r>
          </w:p>
        </w:tc>
        <w:tc>
          <w:tcPr>
            <w:tcW w:type="dxa" w:w="1114"/>
          </w:tcPr>
          <w:p>
            <w:pPr>
              <w:pStyle w:val="Compact"/>
              <w:spacing w:after="0" w:before="0" w:line="240" w:lineRule="auto"/>
              <w:jc w:val="left"/>
            </w:pPr>
            <w:r>
              <w:rPr>
                <w:rFonts w:ascii="Arial" w:hAnsi="Arial"/>
                <w:sz w:val="14"/>
              </w:rPr>
              <w:t xml:space="preserve">0.5</w:t>
            </w:r>
          </w:p>
        </w:tc>
        <w:tc>
          <w:tcPr>
            <w:tcW w:type="dxa" w:w="1114"/>
          </w:tcPr>
          <w:p>
            <w:pPr>
              <w:pStyle w:val="Compact"/>
              <w:spacing w:after="0" w:before="0" w:line="240" w:lineRule="auto"/>
              <w:jc w:val="left"/>
            </w:pPr>
            <w:r>
              <w:rPr>
                <w:rFonts w:ascii="Arial" w:hAnsi="Arial"/>
                <w:sz w:val="14"/>
              </w:rPr>
              <w:t xml:space="preserve">0.4</w:t>
            </w:r>
          </w:p>
        </w:tc>
        <w:tc>
          <w:tcPr>
            <w:tcW w:type="dxa" w:w="1114"/>
          </w:tcPr>
          <w:p>
            <w:pPr>
              <w:pStyle w:val="Compact"/>
              <w:spacing w:after="0" w:before="0" w:line="240" w:lineRule="auto"/>
              <w:jc w:val="left"/>
            </w:pPr>
            <w:r>
              <w:rPr>
                <w:rFonts w:ascii="Arial" w:hAnsi="Arial"/>
                <w:sz w:val="14"/>
              </w:rPr>
              <w:t xml:space="preserve">0.6</w:t>
            </w:r>
          </w:p>
        </w:tc>
        <w:tc>
          <w:tcPr>
            <w:tcW w:type="dxa" w:w="1114"/>
          </w:tcPr>
          <w:p>
            <w:pPr>
              <w:pStyle w:val="Compact"/>
              <w:spacing w:after="0" w:before="0" w:line="240" w:lineRule="auto"/>
              <w:jc w:val="left"/>
            </w:pPr>
            <w:r>
              <w:rPr>
                <w:rFonts w:ascii="Arial" w:hAnsi="Arial"/>
                <w:sz w:val="14"/>
              </w:rPr>
              <w:t xml:space="preserve">0.2</w:t>
            </w:r>
          </w:p>
        </w:tc>
        <w:tc>
          <w:tcPr>
            <w:tcW w:type="dxa" w:w="1114"/>
          </w:tcPr>
          <w:p>
            <w:pPr>
              <w:pStyle w:val="Compact"/>
              <w:spacing w:after="0" w:before="0" w:line="240" w:lineRule="auto"/>
              <w:jc w:val="left"/>
            </w:pPr>
            <w:r>
              <w:rPr>
                <w:rFonts w:ascii="Arial" w:hAnsi="Arial"/>
                <w:sz w:val="14"/>
              </w:rPr>
              <w:t xml:space="preserve">0.0</w:t>
            </w:r>
          </w:p>
        </w:tc>
        <w:tc>
          <w:tcPr>
            <w:tcW w:type="dxa" w:w="955"/>
          </w:tcPr>
          <w:p>
            <w:pPr>
              <w:pStyle w:val="Compact"/>
              <w:spacing w:after="0" w:before="0" w:line="240" w:lineRule="auto"/>
              <w:jc w:val="left"/>
            </w:pPr>
            <w:r>
              <w:rPr>
                <w:rFonts w:ascii="Arial" w:hAnsi="Arial"/>
                <w:sz w:val="14"/>
              </w:rPr>
              <w:t xml:space="preserve">0.0</w:t>
            </w:r>
          </w:p>
        </w:tc>
      </w:tr>
      <w:tr>
        <w:trPr>
          <w:cantSplit/>
        </w:trPr>
        <w:tc>
          <w:tcPr>
            <w:tcW w:type="dxa" w:w="2455"/>
          </w:tcPr>
          <w:p>
            <w:pPr>
              <w:pStyle w:val="Compact"/>
              <w:spacing w:after="0" w:before="0" w:line="240" w:lineRule="auto"/>
              <w:jc w:val="left"/>
            </w:pPr>
            <w:r>
              <w:rPr>
                <w:rFonts w:ascii="Arial" w:hAnsi="Arial"/>
                <w:sz w:val="14"/>
              </w:rPr>
              <w:t xml:space="preserve">Total Rx</w:t>
            </w:r>
          </w:p>
        </w:tc>
        <w:tc>
          <w:tcPr>
            <w:tcW w:type="dxa" w:w="1114"/>
          </w:tcPr>
          <w:p>
            <w:pPr>
              <w:pStyle w:val="Compact"/>
              <w:spacing w:after="0" w:before="0" w:line="240" w:lineRule="auto"/>
              <w:jc w:val="left"/>
            </w:pPr>
            <w:r>
              <w:rPr>
                <w:rFonts w:ascii="Arial" w:hAnsi="Arial"/>
                <w:sz w:val="14"/>
              </w:rPr>
              <w:t xml:space="preserve">405,536</w:t>
            </w:r>
          </w:p>
        </w:tc>
        <w:tc>
          <w:tcPr>
            <w:tcW w:type="dxa" w:w="1114"/>
          </w:tcPr>
          <w:p>
            <w:pPr>
              <w:pStyle w:val="Compact"/>
              <w:spacing w:after="0" w:before="0" w:line="240" w:lineRule="auto"/>
              <w:jc w:val="left"/>
            </w:pPr>
            <w:r>
              <w:rPr>
                <w:rFonts w:ascii="Arial" w:hAnsi="Arial"/>
                <w:sz w:val="14"/>
              </w:rPr>
              <w:t xml:space="preserve">316,151</w:t>
            </w:r>
          </w:p>
        </w:tc>
        <w:tc>
          <w:tcPr>
            <w:tcW w:type="dxa" w:w="1114"/>
          </w:tcPr>
          <w:p>
            <w:pPr>
              <w:pStyle w:val="Compact"/>
              <w:spacing w:after="0" w:before="0" w:line="240" w:lineRule="auto"/>
              <w:jc w:val="left"/>
            </w:pPr>
            <w:r>
              <w:rPr>
                <w:rFonts w:ascii="Arial" w:hAnsi="Arial"/>
                <w:sz w:val="14"/>
              </w:rPr>
              <w:t xml:space="preserve">375,088</w:t>
            </w:r>
          </w:p>
        </w:tc>
        <w:tc>
          <w:tcPr>
            <w:tcW w:type="dxa" w:w="1114"/>
          </w:tcPr>
          <w:p>
            <w:pPr>
              <w:pStyle w:val="Compact"/>
              <w:spacing w:after="0" w:before="0" w:line="240" w:lineRule="auto"/>
              <w:jc w:val="left"/>
            </w:pPr>
            <w:r>
              <w:rPr>
                <w:rFonts w:ascii="Arial" w:hAnsi="Arial"/>
                <w:sz w:val="14"/>
              </w:rPr>
              <w:t xml:space="preserve">388,561</w:t>
            </w:r>
          </w:p>
        </w:tc>
        <w:tc>
          <w:tcPr>
            <w:tcW w:type="dxa" w:w="1114"/>
          </w:tcPr>
          <w:p>
            <w:pPr>
              <w:pStyle w:val="Compact"/>
              <w:spacing w:after="0" w:before="0" w:line="240" w:lineRule="auto"/>
              <w:jc w:val="left"/>
            </w:pPr>
            <w:r>
              <w:rPr>
                <w:rFonts w:ascii="Arial" w:hAnsi="Arial"/>
                <w:sz w:val="14"/>
              </w:rPr>
              <w:t xml:space="preserve">325,433</w:t>
            </w:r>
          </w:p>
        </w:tc>
        <w:tc>
          <w:tcPr>
            <w:tcW w:type="dxa" w:w="1114"/>
          </w:tcPr>
          <w:p>
            <w:pPr>
              <w:pStyle w:val="Compact"/>
              <w:spacing w:after="0" w:before="0" w:line="240" w:lineRule="auto"/>
              <w:jc w:val="left"/>
            </w:pPr>
            <w:r>
              <w:rPr>
                <w:rFonts w:ascii="Arial" w:hAnsi="Arial"/>
                <w:sz w:val="14"/>
              </w:rPr>
              <w:t xml:space="preserve">370,268</w:t>
            </w:r>
          </w:p>
        </w:tc>
        <w:tc>
          <w:tcPr>
            <w:tcW w:type="dxa" w:w="955"/>
          </w:tcPr>
          <w:p>
            <w:pPr>
              <w:pStyle w:val="Compact"/>
              <w:spacing w:after="0" w:before="0" w:line="240" w:lineRule="auto"/>
              <w:jc w:val="left"/>
            </w:pPr>
            <w:r>
              <w:rPr>
                <w:rFonts w:ascii="Arial" w:hAnsi="Arial"/>
                <w:sz w:val="14"/>
              </w:rPr>
              <w:t xml:space="preserve">70,931</w:t>
            </w:r>
          </w:p>
        </w:tc>
      </w:tr>
    </w:tbl>
    <w:p>
      <w:pPr>
        <w:pStyle w:val="BodyText"/>
        <w:keepNext/>
        <w:spacing w:before="100"/>
      </w:pPr>
      <w:r>
        <w:rPr>
          <w:bCs/>
          <w:rFonts w:ascii="Arial" w:hAnsi="Arial"/>
          <w:b/>
        </w:rPr>
        <w:t xml:space="preserve">Medicaid SDUD: Pfizer vs leading generics by MPSS strength (% of Rx)</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2691"/>
        <w:gridCol w:w="1345"/>
        <w:gridCol w:w="1345"/>
        <w:gridCol w:w="1345"/>
        <w:gridCol w:w="2018"/>
        <w:gridCol w:w="1345"/>
      </w:tblGrid>
      <w:tr>
        <w:trPr>
          <w:tblHeader w:val="true"/>
          <w:tblHeader w:val="true"/>
          <w:cantSplit/>
        </w:trPr>
        <w:tc>
          <w:tcPr>
            <w:tcW w:type="dxa" w:w="2691"/>
            <w:shd w:val="clear" w:color="auto" w:fill="1F3864"/>
          </w:tcPr>
          <w:p>
            <w:pPr>
              <w:pStyle w:val="Compact"/>
              <w:spacing w:after="0" w:before="0" w:line="240" w:lineRule="auto"/>
              <w:jc w:val="left"/>
            </w:pPr>
            <w:r>
              <w:rPr>
                <w:rFonts w:ascii="Arial" w:hAnsi="Arial"/>
                <w:b/>
                <w:color w:val="FFFFFF"/>
                <w:sz w:val="14"/>
              </w:rPr>
              <w:t xml:space="preserve">Strength (share of 2025 MPSS Rx)</w:t>
            </w:r>
          </w:p>
        </w:tc>
        <w:tc>
          <w:tcPr>
            <w:tcW w:type="dxa" w:w="1346"/>
            <w:shd w:val="clear" w:color="auto" w:fill="1F3864"/>
          </w:tcPr>
          <w:p>
            <w:pPr>
              <w:pStyle w:val="Compact"/>
              <w:spacing w:after="0" w:before="0" w:line="240" w:lineRule="auto"/>
              <w:jc w:val="left"/>
            </w:pPr>
            <w:r>
              <w:rPr>
                <w:rFonts w:ascii="Arial" w:hAnsi="Arial"/>
                <w:b/>
                <w:color w:val="FFFFFF"/>
                <w:sz w:val="14"/>
              </w:rPr>
              <w:t xml:space="preserve">Pfizer 2025</w:t>
            </w:r>
          </w:p>
        </w:tc>
        <w:tc>
          <w:tcPr>
            <w:tcW w:type="dxa" w:w="1346"/>
            <w:shd w:val="clear" w:color="auto" w:fill="1F3864"/>
          </w:tcPr>
          <w:p>
            <w:pPr>
              <w:pStyle w:val="Compact"/>
              <w:spacing w:after="0" w:before="0" w:line="240" w:lineRule="auto"/>
              <w:jc w:val="left"/>
            </w:pPr>
            <w:r>
              <w:rPr>
                <w:rFonts w:ascii="Arial" w:hAnsi="Arial"/>
                <w:b/>
                <w:color w:val="FFFFFF"/>
                <w:sz w:val="14"/>
              </w:rPr>
              <w:t xml:space="preserve">Pfizer Q1 2026</w:t>
            </w:r>
          </w:p>
        </w:tc>
        <w:tc>
          <w:tcPr>
            <w:tcW w:type="dxa" w:w="1346"/>
            <w:shd w:val="clear" w:color="auto" w:fill="1F3864"/>
          </w:tcPr>
          <w:p>
            <w:pPr>
              <w:pStyle w:val="Compact"/>
              <w:spacing w:after="0" w:before="0" w:line="240" w:lineRule="auto"/>
              <w:jc w:val="left"/>
            </w:pPr>
            <w:r>
              <w:rPr>
                <w:rFonts w:ascii="Arial" w:hAnsi="Arial"/>
                <w:b/>
                <w:color w:val="FFFFFF"/>
                <w:sz w:val="14"/>
              </w:rPr>
              <w:t xml:space="preserve">DRL Q1 2026</w:t>
            </w:r>
          </w:p>
        </w:tc>
        <w:tc>
          <w:tcPr>
            <w:tcW w:type="dxa" w:w="2018"/>
            <w:shd w:val="clear" w:color="auto" w:fill="1F3864"/>
          </w:tcPr>
          <w:p>
            <w:pPr>
              <w:pStyle w:val="Compact"/>
              <w:spacing w:after="0" w:before="0" w:line="240" w:lineRule="auto"/>
              <w:jc w:val="left"/>
            </w:pPr>
            <w:r>
              <w:rPr>
                <w:rFonts w:ascii="Arial" w:hAnsi="Arial"/>
                <w:b/>
                <w:color w:val="FFFFFF"/>
                <w:sz w:val="14"/>
              </w:rPr>
              <w:t xml:space="preserve">Fresenius Q1 2026</w:t>
            </w:r>
          </w:p>
        </w:tc>
        <w:tc>
          <w:tcPr>
            <w:tcW w:type="dxa" w:w="1346"/>
            <w:shd w:val="clear" w:color="auto" w:fill="1F3864"/>
          </w:tcPr>
          <w:p>
            <w:pPr>
              <w:pStyle w:val="Compact"/>
              <w:spacing w:after="0" w:before="0" w:line="240" w:lineRule="auto"/>
              <w:jc w:val="left"/>
            </w:pPr>
            <w:r>
              <w:rPr>
                <w:rFonts w:ascii="Arial" w:hAnsi="Arial"/>
                <w:b/>
                <w:color w:val="FFFFFF"/>
                <w:sz w:val="14"/>
              </w:rPr>
              <w:t xml:space="preserve">Hikma Q1 2026</w:t>
            </w:r>
          </w:p>
        </w:tc>
      </w:tr>
      <w:tr>
        <w:trPr>
          <w:cantSplit/>
        </w:trPr>
        <w:tc>
          <w:tcPr>
            <w:tcW w:type="dxa" w:w="2691"/>
          </w:tcPr>
          <w:p>
            <w:pPr>
              <w:pStyle w:val="Compact"/>
              <w:spacing w:after="0" w:before="0" w:line="240" w:lineRule="auto"/>
              <w:jc w:val="left"/>
            </w:pPr>
            <w:r>
              <w:rPr>
                <w:rFonts w:ascii="Arial" w:hAnsi="Arial"/>
                <w:sz w:val="14"/>
              </w:rPr>
              <w:t xml:space="preserve">40 mg (22.7%)</w:t>
            </w:r>
          </w:p>
        </w:tc>
        <w:tc>
          <w:tcPr>
            <w:tcW w:type="dxa" w:w="1346"/>
          </w:tcPr>
          <w:p>
            <w:pPr>
              <w:pStyle w:val="Compact"/>
              <w:spacing w:after="0" w:before="0" w:line="240" w:lineRule="auto"/>
              <w:jc w:val="left"/>
            </w:pPr>
            <w:r>
              <w:rPr>
                <w:rFonts w:ascii="Arial" w:hAnsi="Arial"/>
                <w:sz w:val="14"/>
              </w:rPr>
              <w:t xml:space="preserve">77.0</w:t>
            </w:r>
          </w:p>
        </w:tc>
        <w:tc>
          <w:tcPr>
            <w:tcW w:type="dxa" w:w="1346"/>
          </w:tcPr>
          <w:p>
            <w:pPr>
              <w:pStyle w:val="Compact"/>
              <w:spacing w:after="0" w:before="0" w:line="240" w:lineRule="auto"/>
              <w:jc w:val="left"/>
            </w:pPr>
            <w:r>
              <w:rPr>
                <w:rFonts w:ascii="Arial" w:hAnsi="Arial"/>
                <w:sz w:val="14"/>
              </w:rPr>
              <w:t xml:space="preserve">74.7</w:t>
            </w:r>
          </w:p>
        </w:tc>
        <w:tc>
          <w:tcPr>
            <w:tcW w:type="dxa" w:w="1346"/>
          </w:tcPr>
          <w:p>
            <w:pPr>
              <w:pStyle w:val="Compact"/>
              <w:spacing w:after="0" w:before="0" w:line="240" w:lineRule="auto"/>
              <w:jc w:val="left"/>
            </w:pPr>
            <w:r>
              <w:rPr>
                <w:rFonts w:ascii="Arial" w:hAnsi="Arial"/>
                <w:sz w:val="14"/>
              </w:rPr>
              <w:t xml:space="preserve">15.6</w:t>
            </w:r>
          </w:p>
        </w:tc>
        <w:tc>
          <w:tcPr>
            <w:tcW w:type="dxa" w:w="2018"/>
          </w:tcPr>
          <w:p>
            <w:pPr>
              <w:pStyle w:val="Compact"/>
              <w:spacing w:after="0" w:before="0" w:line="240" w:lineRule="auto"/>
              <w:jc w:val="left"/>
            </w:pPr>
            <w:r>
              <w:rPr>
                <w:rFonts w:ascii="Arial" w:hAnsi="Arial"/>
                <w:sz w:val="14"/>
              </w:rPr>
              <w:t xml:space="preserve">6.2</w:t>
            </w:r>
          </w:p>
        </w:tc>
        <w:tc>
          <w:tcPr>
            <w:tcW w:type="dxa" w:w="1346"/>
          </w:tcPr>
          <w:p>
            <w:pPr>
              <w:pStyle w:val="Compact"/>
              <w:spacing w:after="0" w:before="0" w:line="240" w:lineRule="auto"/>
              <w:jc w:val="left"/>
            </w:pPr>
            <w:r>
              <w:rPr>
                <w:rFonts w:ascii="Arial" w:hAnsi="Arial"/>
                <w:sz w:val="14"/>
              </w:rPr>
              <w:t xml:space="preserve">3.4</w:t>
            </w:r>
          </w:p>
        </w:tc>
      </w:tr>
      <w:tr>
        <w:trPr>
          <w:cantSplit/>
        </w:trPr>
        <w:tc>
          <w:tcPr>
            <w:tcW w:type="dxa" w:w="2691"/>
          </w:tcPr>
          <w:p>
            <w:pPr>
              <w:pStyle w:val="Compact"/>
              <w:spacing w:after="0" w:before="0" w:line="240" w:lineRule="auto"/>
              <w:jc w:val="left"/>
            </w:pPr>
            <w:r>
              <w:rPr>
                <w:rFonts w:ascii="Arial" w:hAnsi="Arial"/>
                <w:sz w:val="14"/>
              </w:rPr>
              <w:t xml:space="preserve">125 mg (72.2%)</w:t>
            </w:r>
          </w:p>
        </w:tc>
        <w:tc>
          <w:tcPr>
            <w:tcW w:type="dxa" w:w="1346"/>
          </w:tcPr>
          <w:p>
            <w:pPr>
              <w:pStyle w:val="Compact"/>
              <w:spacing w:after="0" w:before="0" w:line="240" w:lineRule="auto"/>
              <w:jc w:val="left"/>
            </w:pPr>
            <w:r>
              <w:rPr>
                <w:rFonts w:ascii="Arial" w:hAnsi="Arial"/>
                <w:sz w:val="14"/>
              </w:rPr>
              <w:t xml:space="preserve">75.3</w:t>
            </w:r>
          </w:p>
        </w:tc>
        <w:tc>
          <w:tcPr>
            <w:tcW w:type="dxa" w:w="1346"/>
          </w:tcPr>
          <w:p>
            <w:pPr>
              <w:pStyle w:val="Compact"/>
              <w:spacing w:after="0" w:before="0" w:line="240" w:lineRule="auto"/>
              <w:jc w:val="left"/>
            </w:pPr>
            <w:r>
              <w:rPr>
                <w:rFonts w:ascii="Arial" w:hAnsi="Arial"/>
                <w:sz w:val="14"/>
              </w:rPr>
              <w:t xml:space="preserve">74.5</w:t>
            </w:r>
          </w:p>
        </w:tc>
        <w:tc>
          <w:tcPr>
            <w:tcW w:type="dxa" w:w="1346"/>
          </w:tcPr>
          <w:p>
            <w:pPr>
              <w:pStyle w:val="Compact"/>
              <w:spacing w:after="0" w:before="0" w:line="240" w:lineRule="auto"/>
              <w:jc w:val="left"/>
            </w:pPr>
            <w:r>
              <w:rPr>
                <w:rFonts w:ascii="Arial" w:hAnsi="Arial"/>
                <w:sz w:val="14"/>
              </w:rPr>
              <w:t xml:space="preserve">17.1</w:t>
            </w:r>
          </w:p>
        </w:tc>
        <w:tc>
          <w:tcPr>
            <w:tcW w:type="dxa" w:w="2018"/>
          </w:tcPr>
          <w:p>
            <w:pPr>
              <w:pStyle w:val="Compact"/>
              <w:spacing w:after="0" w:before="0" w:line="240" w:lineRule="auto"/>
              <w:jc w:val="left"/>
            </w:pPr>
            <w:r>
              <w:rPr>
                <w:rFonts w:ascii="Arial" w:hAnsi="Arial"/>
                <w:sz w:val="14"/>
              </w:rPr>
              <w:t xml:space="preserve">5.5</w:t>
            </w:r>
          </w:p>
        </w:tc>
        <w:tc>
          <w:tcPr>
            <w:tcW w:type="dxa" w:w="1346"/>
          </w:tcPr>
          <w:p>
            <w:pPr>
              <w:pStyle w:val="Compact"/>
              <w:spacing w:after="0" w:before="0" w:line="240" w:lineRule="auto"/>
              <w:jc w:val="left"/>
            </w:pPr>
            <w:r>
              <w:rPr>
                <w:rFonts w:ascii="Arial" w:hAnsi="Arial"/>
                <w:sz w:val="14"/>
              </w:rPr>
              <w:t xml:space="preserve">2.9</w:t>
            </w:r>
          </w:p>
        </w:tc>
      </w:tr>
      <w:tr>
        <w:trPr>
          <w:cantSplit/>
        </w:trPr>
        <w:tc>
          <w:tcPr>
            <w:tcW w:type="dxa" w:w="2691"/>
          </w:tcPr>
          <w:p>
            <w:pPr>
              <w:pStyle w:val="Compact"/>
              <w:spacing w:after="0" w:before="0" w:line="240" w:lineRule="auto"/>
              <w:jc w:val="left"/>
            </w:pPr>
            <w:r>
              <w:rPr>
                <w:rFonts w:ascii="Arial" w:hAnsi="Arial"/>
                <w:sz w:val="14"/>
              </w:rPr>
              <w:t xml:space="preserve">500 mg (1.4%)</w:t>
            </w:r>
          </w:p>
        </w:tc>
        <w:tc>
          <w:tcPr>
            <w:tcW w:type="dxa" w:w="1346"/>
          </w:tcPr>
          <w:p>
            <w:pPr>
              <w:pStyle w:val="Compact"/>
              <w:spacing w:after="0" w:before="0" w:line="240" w:lineRule="auto"/>
              <w:jc w:val="left"/>
            </w:pPr>
            <w:r>
              <w:rPr>
                <w:rFonts w:ascii="Arial" w:hAnsi="Arial"/>
                <w:sz w:val="14"/>
              </w:rPr>
              <w:t xml:space="preserve">75.2</w:t>
            </w:r>
          </w:p>
        </w:tc>
        <w:tc>
          <w:tcPr>
            <w:tcW w:type="dxa" w:w="1346"/>
          </w:tcPr>
          <w:p>
            <w:pPr>
              <w:pStyle w:val="Compact"/>
              <w:spacing w:after="0" w:before="0" w:line="240" w:lineRule="auto"/>
              <w:jc w:val="left"/>
            </w:pPr>
            <w:r>
              <w:rPr>
                <w:rFonts w:ascii="Arial" w:hAnsi="Arial"/>
                <w:sz w:val="14"/>
              </w:rPr>
              <w:t xml:space="preserve">66.2</w:t>
            </w:r>
          </w:p>
        </w:tc>
        <w:tc>
          <w:tcPr>
            <w:tcW w:type="dxa" w:w="1346"/>
          </w:tcPr>
          <w:p>
            <w:pPr>
              <w:pStyle w:val="Compact"/>
              <w:spacing w:after="0" w:before="0" w:line="240" w:lineRule="auto"/>
              <w:jc w:val="left"/>
            </w:pPr>
            <w:r>
              <w:rPr>
                <w:rFonts w:ascii="Arial" w:hAnsi="Arial"/>
                <w:sz w:val="14"/>
              </w:rPr>
              <w:t xml:space="preserve">19.3</w:t>
            </w:r>
          </w:p>
        </w:tc>
        <w:tc>
          <w:tcPr>
            <w:tcW w:type="dxa" w:w="2018"/>
          </w:tcPr>
          <w:p>
            <w:pPr>
              <w:pStyle w:val="Compact"/>
              <w:spacing w:after="0" w:before="0" w:line="240" w:lineRule="auto"/>
              <w:jc w:val="left"/>
            </w:pPr>
            <w:r>
              <w:rPr>
                <w:rFonts w:ascii="Arial" w:hAnsi="Arial"/>
                <w:sz w:val="14"/>
              </w:rPr>
              <w:t xml:space="preserve">–</w:t>
            </w:r>
          </w:p>
        </w:tc>
        <w:tc>
          <w:tcPr>
            <w:tcW w:type="dxa" w:w="1346"/>
          </w:tcPr>
          <w:p>
            <w:pPr>
              <w:pStyle w:val="Compact"/>
              <w:spacing w:after="0" w:before="0" w:line="240" w:lineRule="auto"/>
              <w:jc w:val="left"/>
            </w:pPr>
            <w:r>
              <w:rPr>
                <w:rFonts w:ascii="Arial" w:hAnsi="Arial"/>
                <w:sz w:val="14"/>
              </w:rPr>
              <w:t xml:space="preserve">14.5</w:t>
            </w:r>
          </w:p>
        </w:tc>
      </w:tr>
      <w:tr>
        <w:trPr>
          <w:cantSplit/>
        </w:trPr>
        <w:tc>
          <w:tcPr>
            <w:tcW w:type="dxa" w:w="2691"/>
          </w:tcPr>
          <w:p>
            <w:pPr>
              <w:pStyle w:val="Compact"/>
              <w:spacing w:after="0" w:before="0" w:line="240" w:lineRule="auto"/>
              <w:jc w:val="left"/>
            </w:pPr>
            <w:r>
              <w:rPr>
                <w:rFonts w:ascii="Arial" w:hAnsi="Arial"/>
                <w:sz w:val="14"/>
              </w:rPr>
              <w:t xml:space="preserve">1 g (3.7%)</w:t>
            </w:r>
          </w:p>
        </w:tc>
        <w:tc>
          <w:tcPr>
            <w:tcW w:type="dxa" w:w="1346"/>
          </w:tcPr>
          <w:p>
            <w:pPr>
              <w:pStyle w:val="Compact"/>
              <w:spacing w:after="0" w:before="0" w:line="240" w:lineRule="auto"/>
              <w:jc w:val="left"/>
            </w:pPr>
            <w:r>
              <w:rPr>
                <w:rFonts w:ascii="Arial" w:hAnsi="Arial"/>
                <w:sz w:val="14"/>
              </w:rPr>
              <w:t xml:space="preserve">57.2</w:t>
            </w:r>
          </w:p>
        </w:tc>
        <w:tc>
          <w:tcPr>
            <w:tcW w:type="dxa" w:w="1346"/>
          </w:tcPr>
          <w:p>
            <w:pPr>
              <w:pStyle w:val="Compact"/>
              <w:spacing w:after="0" w:before="0" w:line="240" w:lineRule="auto"/>
              <w:jc w:val="left"/>
            </w:pPr>
            <w:r>
              <w:rPr>
                <w:rFonts w:ascii="Arial" w:hAnsi="Arial"/>
                <w:sz w:val="14"/>
              </w:rPr>
              <w:t xml:space="preserve">54.1</w:t>
            </w:r>
          </w:p>
        </w:tc>
        <w:tc>
          <w:tcPr>
            <w:tcW w:type="dxa" w:w="1346"/>
          </w:tcPr>
          <w:p>
            <w:pPr>
              <w:pStyle w:val="Compact"/>
              <w:spacing w:after="0" w:before="0" w:line="240" w:lineRule="auto"/>
              <w:jc w:val="left"/>
            </w:pPr>
            <w:r>
              <w:rPr>
                <w:rFonts w:ascii="Arial" w:hAnsi="Arial"/>
                <w:sz w:val="14"/>
              </w:rPr>
              <w:t xml:space="preserve">21.2</w:t>
            </w:r>
          </w:p>
        </w:tc>
        <w:tc>
          <w:tcPr>
            <w:tcW w:type="dxa" w:w="2018"/>
          </w:tcPr>
          <w:p>
            <w:pPr>
              <w:pStyle w:val="Compact"/>
              <w:spacing w:after="0" w:before="0" w:line="240" w:lineRule="auto"/>
              <w:jc w:val="left"/>
            </w:pPr>
            <w:r>
              <w:rPr>
                <w:rFonts w:ascii="Arial" w:hAnsi="Arial"/>
                <w:sz w:val="14"/>
              </w:rPr>
              <w:t xml:space="preserve">20.7</w:t>
            </w:r>
          </w:p>
        </w:tc>
        <w:tc>
          <w:tcPr>
            <w:tcW w:type="dxa" w:w="1346"/>
          </w:tcPr>
          <w:p>
            <w:pPr>
              <w:pStyle w:val="Compact"/>
              <w:spacing w:after="0" w:before="0" w:line="240" w:lineRule="auto"/>
              <w:jc w:val="left"/>
            </w:pPr>
            <w:r>
              <w:rPr>
                <w:rFonts w:ascii="Arial" w:hAnsi="Arial"/>
                <w:sz w:val="14"/>
              </w:rPr>
              <w:t xml:space="preserve">4.0</w:t>
            </w:r>
          </w:p>
        </w:tc>
      </w:tr>
      <w:tr>
        <w:trPr>
          <w:cantSplit/>
        </w:trPr>
        <w:tc>
          <w:tcPr>
            <w:tcW w:type="dxa" w:w="2691"/>
          </w:tcPr>
          <w:p>
            <w:pPr>
              <w:pStyle w:val="Compact"/>
              <w:spacing w:after="0" w:before="0" w:line="240" w:lineRule="auto"/>
              <w:jc w:val="left"/>
            </w:pPr>
            <w:r>
              <w:rPr>
                <w:rFonts w:ascii="Arial" w:hAnsi="Arial"/>
                <w:sz w:val="14"/>
              </w:rPr>
              <w:t xml:space="preserve">2 g (0.1%)</w:t>
            </w:r>
          </w:p>
        </w:tc>
        <w:tc>
          <w:tcPr>
            <w:tcW w:type="dxa" w:w="1346"/>
          </w:tcPr>
          <w:p>
            <w:pPr>
              <w:pStyle w:val="Compact"/>
              <w:spacing w:after="0" w:before="0" w:line="240" w:lineRule="auto"/>
              <w:jc w:val="left"/>
            </w:pPr>
            <w:r>
              <w:rPr>
                <w:rFonts w:ascii="Arial" w:hAnsi="Arial"/>
                <w:sz w:val="14"/>
              </w:rPr>
              <w:t xml:space="preserve">100</w:t>
            </w:r>
          </w:p>
        </w:tc>
        <w:tc>
          <w:tcPr>
            <w:tcW w:type="dxa" w:w="1346"/>
          </w:tcPr>
          <w:p>
            <w:pPr>
              <w:pStyle w:val="Compact"/>
              <w:spacing w:after="0" w:before="0" w:line="240" w:lineRule="auto"/>
              <w:jc w:val="left"/>
            </w:pPr>
            <w:r>
              <w:rPr>
                <w:rFonts w:ascii="Arial" w:hAnsi="Arial"/>
                <w:sz w:val="14"/>
              </w:rPr>
              <w:t xml:space="preserve">100</w:t>
            </w:r>
          </w:p>
        </w:tc>
        <w:tc>
          <w:tcPr>
            <w:tcW w:type="dxa" w:w="1346"/>
          </w:tcPr>
          <w:p>
            <w:pPr>
              <w:pStyle w:val="Compact"/>
              <w:spacing w:after="0" w:before="0" w:line="240" w:lineRule="auto"/>
              <w:jc w:val="left"/>
            </w:pPr>
            <w:r>
              <w:rPr>
                <w:rFonts w:ascii="Arial" w:hAnsi="Arial"/>
                <w:sz w:val="14"/>
              </w:rPr>
              <w:t xml:space="preserve">–</w:t>
            </w:r>
          </w:p>
        </w:tc>
        <w:tc>
          <w:tcPr>
            <w:tcW w:type="dxa" w:w="2018"/>
          </w:tcPr>
          <w:p>
            <w:pPr>
              <w:pStyle w:val="Compact"/>
              <w:spacing w:after="0" w:before="0" w:line="240" w:lineRule="auto"/>
              <w:jc w:val="left"/>
            </w:pPr>
            <w:r>
              <w:rPr>
                <w:rFonts w:ascii="Arial" w:hAnsi="Arial"/>
                <w:sz w:val="14"/>
              </w:rPr>
              <w:t xml:space="preserve">–</w:t>
            </w:r>
          </w:p>
        </w:tc>
        <w:tc>
          <w:tcPr>
            <w:tcW w:type="dxa" w:w="1346"/>
          </w:tcPr>
          <w:p>
            <w:pPr>
              <w:pStyle w:val="Compact"/>
              <w:spacing w:after="0" w:before="0" w:line="240" w:lineRule="auto"/>
              <w:jc w:val="left"/>
            </w:pPr>
            <w:r>
              <w:rPr>
                <w:rFonts w:ascii="Arial" w:hAnsi="Arial"/>
                <w:sz w:val="14"/>
              </w:rPr>
              <w:t xml:space="preserve">–</w:t>
            </w:r>
          </w:p>
        </w:tc>
      </w:tr>
    </w:tbl>
    <w:p>
      <w:pPr>
        <w:pStyle w:val="BodyText"/>
        <w:keepNext/>
        <w:spacing w:before="100"/>
      </w:pPr>
      <w:r>
        <w:rPr>
          <w:bCs/>
          <w:rFonts w:ascii="Arial" w:hAnsi="Arial"/>
          <w:b/>
        </w:rPr>
        <w:t xml:space="preserve">Medicaid SDUD: share of HSS prescriptions (%)</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2677"/>
        <w:gridCol w:w="1235"/>
        <w:gridCol w:w="1235"/>
        <w:gridCol w:w="1235"/>
        <w:gridCol w:w="1235"/>
        <w:gridCol w:w="1235"/>
        <w:gridCol w:w="1235"/>
      </w:tblGrid>
      <w:tr>
        <w:trPr>
          <w:tblHeader w:val="true"/>
          <w:tblHeader w:val="true"/>
          <w:cantSplit/>
        </w:trPr>
        <w:tc>
          <w:tcPr>
            <w:tcW w:type="dxa" w:w="2677"/>
            <w:shd w:val="clear" w:color="auto" w:fill="1F3864"/>
          </w:tcPr>
          <w:p>
            <w:pPr>
              <w:pStyle w:val="Compact"/>
              <w:spacing w:after="0" w:before="0" w:line="240" w:lineRule="auto"/>
              <w:jc w:val="left"/>
            </w:pPr>
            <w:r>
              <w:rPr>
                <w:rFonts w:ascii="Arial" w:hAnsi="Arial"/>
                <w:b/>
                <w:color w:val="FFFFFF"/>
                <w:sz w:val="14"/>
              </w:rPr>
              <w:t xml:space="preserve">Labeler</w:t>
            </w:r>
          </w:p>
        </w:tc>
        <w:tc>
          <w:tcPr>
            <w:tcW w:type="dxa" w:w="1236"/>
            <w:shd w:val="clear" w:color="auto" w:fill="1F3864"/>
          </w:tcPr>
          <w:p>
            <w:pPr>
              <w:pStyle w:val="Compact"/>
              <w:spacing w:after="0" w:before="0" w:line="240" w:lineRule="auto"/>
              <w:jc w:val="left"/>
            </w:pPr>
            <w:r>
              <w:rPr>
                <w:rFonts w:ascii="Arial" w:hAnsi="Arial"/>
                <w:b/>
                <w:color w:val="FFFFFF"/>
                <w:sz w:val="14"/>
              </w:rPr>
              <w:t xml:space="preserve">2018</w:t>
            </w:r>
          </w:p>
        </w:tc>
        <w:tc>
          <w:tcPr>
            <w:tcW w:type="dxa" w:w="1236"/>
            <w:shd w:val="clear" w:color="auto" w:fill="1F3864"/>
          </w:tcPr>
          <w:p>
            <w:pPr>
              <w:pStyle w:val="Compact"/>
              <w:spacing w:after="0" w:before="0" w:line="240" w:lineRule="auto"/>
              <w:jc w:val="left"/>
            </w:pPr>
            <w:r>
              <w:rPr>
                <w:rFonts w:ascii="Arial" w:hAnsi="Arial"/>
                <w:b/>
                <w:color w:val="FFFFFF"/>
                <w:sz w:val="14"/>
              </w:rPr>
              <w:t xml:space="preserve">2022</w:t>
            </w:r>
          </w:p>
        </w:tc>
        <w:tc>
          <w:tcPr>
            <w:tcW w:type="dxa" w:w="1236"/>
            <w:shd w:val="clear" w:color="auto" w:fill="1F3864"/>
          </w:tcPr>
          <w:p>
            <w:pPr>
              <w:pStyle w:val="Compact"/>
              <w:spacing w:after="0" w:before="0" w:line="240" w:lineRule="auto"/>
              <w:jc w:val="left"/>
            </w:pPr>
            <w:r>
              <w:rPr>
                <w:rFonts w:ascii="Arial" w:hAnsi="Arial"/>
                <w:b/>
                <w:color w:val="FFFFFF"/>
                <w:sz w:val="14"/>
              </w:rPr>
              <w:t xml:space="preserve">2023</w:t>
            </w:r>
          </w:p>
        </w:tc>
        <w:tc>
          <w:tcPr>
            <w:tcW w:type="dxa" w:w="1236"/>
            <w:shd w:val="clear" w:color="auto" w:fill="1F3864"/>
          </w:tcPr>
          <w:p>
            <w:pPr>
              <w:pStyle w:val="Compact"/>
              <w:spacing w:after="0" w:before="0" w:line="240" w:lineRule="auto"/>
              <w:jc w:val="left"/>
            </w:pPr>
            <w:r>
              <w:rPr>
                <w:rFonts w:ascii="Arial" w:hAnsi="Arial"/>
                <w:b/>
                <w:color w:val="FFFFFF"/>
                <w:sz w:val="14"/>
              </w:rPr>
              <w:t xml:space="preserve">2024</w:t>
            </w:r>
          </w:p>
        </w:tc>
        <w:tc>
          <w:tcPr>
            <w:tcW w:type="dxa" w:w="1236"/>
            <w:shd w:val="clear" w:color="auto" w:fill="1F3864"/>
          </w:tcPr>
          <w:p>
            <w:pPr>
              <w:pStyle w:val="Compact"/>
              <w:spacing w:after="0" w:before="0" w:line="240" w:lineRule="auto"/>
              <w:jc w:val="left"/>
            </w:pPr>
            <w:r>
              <w:rPr>
                <w:rFonts w:ascii="Arial" w:hAnsi="Arial"/>
                <w:b/>
                <w:color w:val="FFFFFF"/>
                <w:sz w:val="14"/>
              </w:rPr>
              <w:t xml:space="preserve">2025</w:t>
            </w:r>
          </w:p>
        </w:tc>
        <w:tc>
          <w:tcPr>
            <w:tcW w:type="dxa" w:w="1236"/>
            <w:shd w:val="clear" w:color="auto" w:fill="1F3864"/>
          </w:tcPr>
          <w:p>
            <w:pPr>
              <w:pStyle w:val="Compact"/>
              <w:spacing w:after="0" w:before="0" w:line="240" w:lineRule="auto"/>
              <w:jc w:val="left"/>
            </w:pPr>
            <w:r>
              <w:rPr>
                <w:rFonts w:ascii="Arial" w:hAnsi="Arial"/>
                <w:b/>
                <w:color w:val="FFFFFF"/>
                <w:sz w:val="14"/>
              </w:rPr>
              <w:t xml:space="preserve">Q1 2026</w:t>
            </w:r>
          </w:p>
        </w:tc>
      </w:tr>
      <w:tr>
        <w:trPr>
          <w:cantSplit/>
        </w:trPr>
        <w:tc>
          <w:tcPr>
            <w:tcW w:type="dxa" w:w="2677"/>
          </w:tcPr>
          <w:p>
            <w:pPr>
              <w:pStyle w:val="Compact"/>
              <w:spacing w:after="0" w:before="0" w:line="240" w:lineRule="auto"/>
              <w:jc w:val="left"/>
            </w:pPr>
            <w:r>
              <w:rPr>
                <w:rFonts w:ascii="Arial" w:hAnsi="Arial"/>
                <w:sz w:val="14"/>
              </w:rPr>
              <w:t xml:space="preserve">Pfizer (Solu-Cortef)</w:t>
            </w:r>
          </w:p>
        </w:tc>
        <w:tc>
          <w:tcPr>
            <w:tcW w:type="dxa" w:w="1236"/>
          </w:tcPr>
          <w:p>
            <w:pPr>
              <w:pStyle w:val="Compact"/>
              <w:spacing w:after="0" w:before="0" w:line="240" w:lineRule="auto"/>
              <w:jc w:val="left"/>
            </w:pPr>
            <w:r>
              <w:rPr>
                <w:rFonts w:ascii="Arial" w:hAnsi="Arial"/>
                <w:sz w:val="14"/>
              </w:rPr>
              <w:t xml:space="preserve">99.8</w:t>
            </w:r>
          </w:p>
        </w:tc>
        <w:tc>
          <w:tcPr>
            <w:tcW w:type="dxa" w:w="1236"/>
          </w:tcPr>
          <w:p>
            <w:pPr>
              <w:pStyle w:val="Compact"/>
              <w:spacing w:after="0" w:before="0" w:line="240" w:lineRule="auto"/>
              <w:jc w:val="left"/>
            </w:pPr>
            <w:r>
              <w:rPr>
                <w:rFonts w:ascii="Arial" w:hAnsi="Arial"/>
                <w:sz w:val="14"/>
              </w:rPr>
              <w:t xml:space="preserve">100.0</w:t>
            </w:r>
          </w:p>
        </w:tc>
        <w:tc>
          <w:tcPr>
            <w:tcW w:type="dxa" w:w="1236"/>
          </w:tcPr>
          <w:p>
            <w:pPr>
              <w:pStyle w:val="Compact"/>
              <w:spacing w:after="0" w:before="0" w:line="240" w:lineRule="auto"/>
              <w:jc w:val="left"/>
            </w:pPr>
            <w:r>
              <w:rPr>
                <w:rFonts w:ascii="Arial" w:hAnsi="Arial"/>
                <w:sz w:val="14"/>
              </w:rPr>
              <w:t xml:space="preserve">100.0</w:t>
            </w:r>
          </w:p>
        </w:tc>
        <w:tc>
          <w:tcPr>
            <w:tcW w:type="dxa" w:w="1236"/>
          </w:tcPr>
          <w:p>
            <w:pPr>
              <w:pStyle w:val="Compact"/>
              <w:spacing w:after="0" w:before="0" w:line="240" w:lineRule="auto"/>
              <w:jc w:val="left"/>
            </w:pPr>
            <w:r>
              <w:rPr>
                <w:rFonts w:ascii="Arial" w:hAnsi="Arial"/>
                <w:sz w:val="14"/>
              </w:rPr>
              <w:t xml:space="preserve">99.6</w:t>
            </w:r>
          </w:p>
        </w:tc>
        <w:tc>
          <w:tcPr>
            <w:tcW w:type="dxa" w:w="1236"/>
          </w:tcPr>
          <w:p>
            <w:pPr>
              <w:pStyle w:val="Compact"/>
              <w:spacing w:after="0" w:before="0" w:line="240" w:lineRule="auto"/>
              <w:jc w:val="left"/>
            </w:pPr>
            <w:r>
              <w:rPr>
                <w:rFonts w:ascii="Arial" w:hAnsi="Arial"/>
                <w:sz w:val="14"/>
              </w:rPr>
              <w:t xml:space="preserve">94.6</w:t>
            </w:r>
          </w:p>
        </w:tc>
        <w:tc>
          <w:tcPr>
            <w:tcW w:type="dxa" w:w="1236"/>
          </w:tcPr>
          <w:p>
            <w:pPr>
              <w:pStyle w:val="Compact"/>
              <w:spacing w:after="0" w:before="0" w:line="240" w:lineRule="auto"/>
              <w:jc w:val="left"/>
            </w:pPr>
            <w:r>
              <w:rPr>
                <w:rFonts w:ascii="Arial" w:hAnsi="Arial"/>
                <w:sz w:val="14"/>
              </w:rPr>
              <w:t xml:space="preserve">93.2</w:t>
            </w:r>
          </w:p>
        </w:tc>
      </w:tr>
      <w:tr>
        <w:trPr>
          <w:cantSplit/>
        </w:trPr>
        <w:tc>
          <w:tcPr>
            <w:tcW w:type="dxa" w:w="2677"/>
          </w:tcPr>
          <w:p>
            <w:pPr>
              <w:pStyle w:val="Compact"/>
              <w:spacing w:after="0" w:before="0" w:line="240" w:lineRule="auto"/>
              <w:jc w:val="left"/>
            </w:pPr>
            <w:r>
              <w:rPr>
                <w:rFonts w:ascii="Arial" w:hAnsi="Arial"/>
                <w:sz w:val="14"/>
              </w:rPr>
              <w:t xml:space="preserve">Cipla</w:t>
            </w:r>
          </w:p>
        </w:tc>
        <w:tc>
          <w:tcPr>
            <w:tcW w:type="dxa" w:w="1236"/>
          </w:tcPr>
          <w:p>
            <w:pPr>
              <w:pStyle w:val="Compact"/>
              <w:spacing w:after="0" w:before="0" w:line="240" w:lineRule="auto"/>
              <w:jc w:val="left"/>
            </w:pPr>
            <w:r>
              <w:rPr>
                <w:rFonts w:ascii="Arial" w:hAnsi="Arial"/>
                <w:sz w:val="14"/>
              </w:rPr>
              <w:t xml:space="preserve">–</w:t>
            </w:r>
          </w:p>
        </w:tc>
        <w:tc>
          <w:tcPr>
            <w:tcW w:type="dxa" w:w="1236"/>
          </w:tcPr>
          <w:p>
            <w:pPr>
              <w:pStyle w:val="Compact"/>
              <w:spacing w:after="0" w:before="0" w:line="240" w:lineRule="auto"/>
              <w:jc w:val="left"/>
            </w:pPr>
            <w:r>
              <w:rPr>
                <w:rFonts w:ascii="Arial" w:hAnsi="Arial"/>
                <w:sz w:val="14"/>
              </w:rPr>
              <w:t xml:space="preserve">–</w:t>
            </w:r>
          </w:p>
        </w:tc>
        <w:tc>
          <w:tcPr>
            <w:tcW w:type="dxa" w:w="1236"/>
          </w:tcPr>
          <w:p>
            <w:pPr>
              <w:pStyle w:val="Compact"/>
              <w:spacing w:after="0" w:before="0" w:line="240" w:lineRule="auto"/>
              <w:jc w:val="left"/>
            </w:pPr>
            <w:r>
              <w:rPr>
                <w:rFonts w:ascii="Arial" w:hAnsi="Arial"/>
                <w:sz w:val="14"/>
              </w:rPr>
              <w:t xml:space="preserve">–</w:t>
            </w:r>
          </w:p>
        </w:tc>
        <w:tc>
          <w:tcPr>
            <w:tcW w:type="dxa" w:w="1236"/>
          </w:tcPr>
          <w:p>
            <w:pPr>
              <w:pStyle w:val="Compact"/>
              <w:spacing w:after="0" w:before="0" w:line="240" w:lineRule="auto"/>
              <w:jc w:val="left"/>
            </w:pPr>
            <w:r>
              <w:rPr>
                <w:rFonts w:ascii="Arial" w:hAnsi="Arial"/>
                <w:sz w:val="14"/>
              </w:rPr>
              <w:t xml:space="preserve">0.4</w:t>
            </w:r>
          </w:p>
        </w:tc>
        <w:tc>
          <w:tcPr>
            <w:tcW w:type="dxa" w:w="1236"/>
          </w:tcPr>
          <w:p>
            <w:pPr>
              <w:pStyle w:val="Compact"/>
              <w:spacing w:after="0" w:before="0" w:line="240" w:lineRule="auto"/>
              <w:jc w:val="left"/>
            </w:pPr>
            <w:r>
              <w:rPr>
                <w:rFonts w:ascii="Arial" w:hAnsi="Arial"/>
                <w:sz w:val="14"/>
              </w:rPr>
              <w:t xml:space="preserve">5.4</w:t>
            </w:r>
          </w:p>
        </w:tc>
        <w:tc>
          <w:tcPr>
            <w:tcW w:type="dxa" w:w="1236"/>
          </w:tcPr>
          <w:p>
            <w:pPr>
              <w:pStyle w:val="Compact"/>
              <w:spacing w:after="0" w:before="0" w:line="240" w:lineRule="auto"/>
              <w:jc w:val="left"/>
            </w:pPr>
            <w:r>
              <w:rPr>
                <w:rFonts w:ascii="Arial" w:hAnsi="Arial"/>
                <w:sz w:val="14"/>
              </w:rPr>
              <w:t xml:space="preserve">6.8</w:t>
            </w:r>
          </w:p>
        </w:tc>
      </w:tr>
      <w:tr>
        <w:trPr>
          <w:cantSplit/>
        </w:trPr>
        <w:tc>
          <w:tcPr>
            <w:tcW w:type="dxa" w:w="2677"/>
          </w:tcPr>
          <w:p>
            <w:pPr>
              <w:pStyle w:val="Compact"/>
              <w:spacing w:after="0" w:before="0" w:line="240" w:lineRule="auto"/>
              <w:jc w:val="left"/>
            </w:pPr>
            <w:r>
              <w:rPr>
                <w:rFonts w:ascii="Arial" w:hAnsi="Arial"/>
                <w:sz w:val="14"/>
              </w:rPr>
              <w:t xml:space="preserve">Total Rx</w:t>
            </w:r>
          </w:p>
        </w:tc>
        <w:tc>
          <w:tcPr>
            <w:tcW w:type="dxa" w:w="1236"/>
          </w:tcPr>
          <w:p>
            <w:pPr>
              <w:pStyle w:val="Compact"/>
              <w:spacing w:after="0" w:before="0" w:line="240" w:lineRule="auto"/>
              <w:jc w:val="left"/>
            </w:pPr>
            <w:r>
              <w:rPr>
                <w:rFonts w:ascii="Arial" w:hAnsi="Arial"/>
                <w:sz w:val="14"/>
              </w:rPr>
              <w:t xml:space="preserve">34,766</w:t>
            </w:r>
          </w:p>
        </w:tc>
        <w:tc>
          <w:tcPr>
            <w:tcW w:type="dxa" w:w="1236"/>
          </w:tcPr>
          <w:p>
            <w:pPr>
              <w:pStyle w:val="Compact"/>
              <w:spacing w:after="0" w:before="0" w:line="240" w:lineRule="auto"/>
              <w:jc w:val="left"/>
            </w:pPr>
            <w:r>
              <w:rPr>
                <w:rFonts w:ascii="Arial" w:hAnsi="Arial"/>
                <w:sz w:val="14"/>
              </w:rPr>
              <w:t xml:space="preserve">42,706</w:t>
            </w:r>
          </w:p>
        </w:tc>
        <w:tc>
          <w:tcPr>
            <w:tcW w:type="dxa" w:w="1236"/>
          </w:tcPr>
          <w:p>
            <w:pPr>
              <w:pStyle w:val="Compact"/>
              <w:spacing w:after="0" w:before="0" w:line="240" w:lineRule="auto"/>
              <w:jc w:val="left"/>
            </w:pPr>
            <w:r>
              <w:rPr>
                <w:rFonts w:ascii="Arial" w:hAnsi="Arial"/>
                <w:sz w:val="14"/>
              </w:rPr>
              <w:t xml:space="preserve">35,759</w:t>
            </w:r>
          </w:p>
        </w:tc>
        <w:tc>
          <w:tcPr>
            <w:tcW w:type="dxa" w:w="1236"/>
          </w:tcPr>
          <w:p>
            <w:pPr>
              <w:pStyle w:val="Compact"/>
              <w:spacing w:after="0" w:before="0" w:line="240" w:lineRule="auto"/>
              <w:jc w:val="left"/>
            </w:pPr>
            <w:r>
              <w:rPr>
                <w:rFonts w:ascii="Arial" w:hAnsi="Arial"/>
                <w:sz w:val="14"/>
              </w:rPr>
              <w:t xml:space="preserve">37,242</w:t>
            </w:r>
          </w:p>
        </w:tc>
        <w:tc>
          <w:tcPr>
            <w:tcW w:type="dxa" w:w="1236"/>
          </w:tcPr>
          <w:p>
            <w:pPr>
              <w:pStyle w:val="Compact"/>
              <w:spacing w:after="0" w:before="0" w:line="240" w:lineRule="auto"/>
              <w:jc w:val="left"/>
            </w:pPr>
            <w:r>
              <w:rPr>
                <w:rFonts w:ascii="Arial" w:hAnsi="Arial"/>
                <w:sz w:val="14"/>
              </w:rPr>
              <w:t xml:space="preserve">37,303</w:t>
            </w:r>
          </w:p>
        </w:tc>
        <w:tc>
          <w:tcPr>
            <w:tcW w:type="dxa" w:w="1236"/>
          </w:tcPr>
          <w:p>
            <w:pPr>
              <w:pStyle w:val="Compact"/>
              <w:spacing w:after="0" w:before="0" w:line="240" w:lineRule="auto"/>
              <w:jc w:val="left"/>
            </w:pPr>
            <w:r>
              <w:rPr>
                <w:rFonts w:ascii="Arial" w:hAnsi="Arial"/>
                <w:sz w:val="14"/>
              </w:rPr>
              <w:t xml:space="preserve">7,860</w:t>
            </w:r>
          </w:p>
        </w:tc>
      </w:tr>
    </w:tbl>
    <w:p>
      <w:pPr>
        <w:pStyle w:val="BodyText"/>
        <w:spacing w:before="100"/>
      </w:pPr>
      <w:r>
        <w:rPr>
          <w:rFonts w:ascii="Arial" w:hAnsi="Arial"/>
        </w:rPr>
        <w:t xml:space="preserve">Sources for the three tables: computed from SDUD national rows (</w:t>
      </w:r>
      <w:hyperlink r:id="rId56">
        <w:r>
          <w:rPr>
            <w:rStyle w:val="Hyperlink"/>
          </w:rPr>
          <w:t xml:space="preserve">2018</w:t>
        </w:r>
      </w:hyperlink>
      <w:r>
        <w:rPr>
          <w:rFonts w:ascii="Arial" w:hAnsi="Arial"/>
        </w:rPr>
        <w:t xml:space="preserve">,</w:t>
      </w:r>
      <w:r>
        <w:rPr>
          <w:rFonts w:ascii="Arial" w:hAnsi="Arial"/>
        </w:rPr>
        <w:t xml:space="preserve"> </w:t>
      </w:r>
      <w:hyperlink r:id="rId57">
        <w:r>
          <w:rPr>
            <w:rStyle w:val="Hyperlink"/>
          </w:rPr>
          <w:t xml:space="preserve">2024</w:t>
        </w:r>
      </w:hyperlink>
      <w:r>
        <w:rPr>
          <w:rFonts w:ascii="Arial" w:hAnsi="Arial"/>
        </w:rPr>
        <w:t xml:space="preserve">,</w:t>
      </w:r>
      <w:r>
        <w:rPr>
          <w:rFonts w:ascii="Arial" w:hAnsi="Arial"/>
        </w:rPr>
        <w:t xml:space="preserve"> </w:t>
      </w:r>
      <w:hyperlink r:id="rId35">
        <w:r>
          <w:rPr>
            <w:rStyle w:val="Hyperlink"/>
          </w:rPr>
          <w:t xml:space="preserve">2025</w:t>
        </w:r>
      </w:hyperlink>
      <w:r>
        <w:rPr>
          <w:rFonts w:ascii="Arial" w:hAnsi="Arial"/>
        </w:rPr>
        <w:t xml:space="preserve">,</w:t>
      </w:r>
      <w:r>
        <w:rPr>
          <w:rFonts w:ascii="Arial" w:hAnsi="Arial"/>
        </w:rPr>
        <w:t xml:space="preserve"> </w:t>
      </w:r>
      <w:hyperlink r:id="rId25">
        <w:r>
          <w:rPr>
            <w:rStyle w:val="Hyperlink"/>
          </w:rPr>
          <w:t xml:space="preserve">2026</w:t>
        </w:r>
      </w:hyperlink>
      <w:r>
        <w:rPr>
          <w:rFonts w:ascii="Arial" w:hAnsi="Arial"/>
        </w:rPr>
        <w:t xml:space="preserve">). HSS 250 mg, 500 mg and 1 g are 100% Pfizer in every year. Together they were only</w:t>
      </w:r>
      <w:r>
        <w:rPr>
          <w:rFonts w:ascii="Arial" w:hAnsi="Arial"/>
        </w:rPr>
        <w:t xml:space="preserve"> </w:t>
      </w:r>
      <w:r>
        <w:rPr>
          <w:bCs/>
          <w:rFonts w:ascii="Arial" w:hAnsi="Arial"/>
          <w:b/>
        </w:rPr>
        <w:t xml:space="preserve">1,157 of 37,303 HSS prescriptions (3.1%) and ~6% of HSS Medicaid dollars in 2025</w:t>
      </w:r>
      <w:r>
        <w:rPr>
          <w:rFonts w:ascii="Arial" w:hAnsi="Arial"/>
        </w:rPr>
        <w:t xml:space="preserve"> </w:t>
      </w:r>
      <w:r>
        <w:rPr>
          <w:rFonts w:ascii="Arial" w:hAnsi="Arial"/>
        </w:rPr>
        <w:t xml:space="preserve">(our calculation from the same data).</w:t>
      </w:r>
    </w:p>
    <w:p>
      <w:pPr>
        <w:pStyle w:val="BodyText"/>
        <w:keepNext/>
      </w:pPr>
      <w:r>
        <w:rPr>
          <w:bCs/>
          <w:rFonts w:ascii="Arial" w:hAnsi="Arial"/>
          <w:b/>
        </w:rPr>
        <w:t xml:space="preserve">Cross-dataset snapshot of brand share</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2997"/>
        <w:gridCol w:w="2997"/>
        <w:gridCol w:w="2264"/>
        <w:gridCol w:w="1831"/>
      </w:tblGrid>
      <w:tr>
        <w:trPr>
          <w:tblHeader w:val="true"/>
          <w:tblHeader w:val="true"/>
          <w:cantSplit/>
        </w:trPr>
        <w:tc>
          <w:tcPr>
            <w:tcW w:type="dxa" w:w="2997"/>
            <w:shd w:val="clear" w:color="auto" w:fill="1F3864"/>
          </w:tcPr>
          <w:p>
            <w:pPr>
              <w:pStyle w:val="Compact"/>
              <w:spacing w:after="0" w:before="0" w:line="240" w:lineRule="auto"/>
              <w:jc w:val="left"/>
            </w:pPr>
            <w:r>
              <w:rPr>
                <w:rFonts w:ascii="Arial" w:hAnsi="Arial"/>
                <w:b/>
                <w:color w:val="FFFFFF"/>
                <w:sz w:val="16"/>
              </w:rPr>
              <w:t xml:space="preserve">Metric</w:t>
            </w:r>
          </w:p>
        </w:tc>
        <w:tc>
          <w:tcPr>
            <w:tcW w:type="dxa" w:w="2997"/>
            <w:shd w:val="clear" w:color="auto" w:fill="1F3864"/>
          </w:tcPr>
          <w:p>
            <w:pPr>
              <w:pStyle w:val="Compact"/>
              <w:spacing w:after="0" w:before="0" w:line="240" w:lineRule="auto"/>
              <w:jc w:val="left"/>
            </w:pPr>
            <w:r>
              <w:rPr>
                <w:rFonts w:ascii="Arial" w:hAnsi="Arial"/>
                <w:b/>
                <w:color w:val="FFFFFF"/>
                <w:sz w:val="16"/>
              </w:rPr>
              <w:t xml:space="preserve">MPSS</w:t>
            </w:r>
          </w:p>
        </w:tc>
        <w:tc>
          <w:tcPr>
            <w:tcW w:type="dxa" w:w="2265"/>
            <w:shd w:val="clear" w:color="auto" w:fill="1F3864"/>
          </w:tcPr>
          <w:p>
            <w:pPr>
              <w:pStyle w:val="Compact"/>
              <w:spacing w:after="0" w:before="0" w:line="240" w:lineRule="auto"/>
              <w:jc w:val="left"/>
            </w:pPr>
            <w:r>
              <w:rPr>
                <w:rFonts w:ascii="Arial" w:hAnsi="Arial"/>
                <w:b/>
                <w:color w:val="FFFFFF"/>
                <w:sz w:val="16"/>
              </w:rPr>
              <w:t xml:space="preserve">HSS</w:t>
            </w:r>
          </w:p>
        </w:tc>
        <w:tc>
          <w:tcPr>
            <w:tcW w:type="dxa" w:w="1832"/>
            <w:shd w:val="clear" w:color="auto" w:fill="1F3864"/>
          </w:tcPr>
          <w:p>
            <w:pPr>
              <w:pStyle w:val="Compact"/>
              <w:spacing w:after="0" w:before="0" w:line="240" w:lineRule="auto"/>
              <w:jc w:val="left"/>
            </w:pPr>
            <w:r>
              <w:rPr>
                <w:rFonts w:ascii="Arial" w:hAnsi="Arial"/>
                <w:b/>
                <w:color w:val="FFFFFF"/>
                <w:sz w:val="16"/>
              </w:rPr>
              <w:t xml:space="preserve">MPA (Depo-Medrol)</w:t>
            </w:r>
          </w:p>
        </w:tc>
      </w:tr>
      <w:tr>
        <w:trPr>
          <w:cantSplit/>
        </w:trPr>
        <w:tc>
          <w:tcPr>
            <w:tcW w:type="dxa" w:w="2997"/>
          </w:tcPr>
          <w:p>
            <w:pPr>
              <w:pStyle w:val="Compact"/>
              <w:spacing w:after="0" w:before="0" w:line="240" w:lineRule="auto"/>
              <w:jc w:val="left"/>
            </w:pPr>
            <w:r>
              <w:rPr>
                <w:rFonts w:ascii="Arial" w:hAnsi="Arial"/>
                <w:sz w:val="16"/>
              </w:rPr>
              <w:t xml:space="preserve">Medicaid SDUD brand Rx share, 2025 / Q1 2026</w:t>
            </w:r>
          </w:p>
        </w:tc>
        <w:tc>
          <w:tcPr>
            <w:tcW w:type="dxa" w:w="2997"/>
          </w:tcPr>
          <w:p>
            <w:pPr>
              <w:pStyle w:val="Compact"/>
              <w:spacing w:after="0" w:before="0" w:line="240" w:lineRule="auto"/>
              <w:jc w:val="left"/>
            </w:pPr>
            <w:r>
              <w:rPr>
                <w:rFonts w:ascii="Arial" w:hAnsi="Arial"/>
                <w:sz w:val="16"/>
              </w:rPr>
              <w:t xml:space="preserve">75.0% / 73.8%</w:t>
            </w:r>
          </w:p>
        </w:tc>
        <w:tc>
          <w:tcPr>
            <w:tcW w:type="dxa" w:w="2265"/>
          </w:tcPr>
          <w:p>
            <w:pPr>
              <w:pStyle w:val="Compact"/>
              <w:spacing w:after="0" w:before="0" w:line="240" w:lineRule="auto"/>
              <w:jc w:val="left"/>
            </w:pPr>
            <w:r>
              <w:rPr>
                <w:rFonts w:ascii="Arial" w:hAnsi="Arial"/>
                <w:sz w:val="16"/>
              </w:rPr>
              <w:t xml:space="preserve">94.6% / 93.2%</w:t>
            </w:r>
          </w:p>
        </w:tc>
        <w:tc>
          <w:tcPr>
            <w:tcW w:type="dxa" w:w="1832"/>
          </w:tcPr>
          <w:p>
            <w:pPr>
              <w:pStyle w:val="Compact"/>
              <w:spacing w:after="0" w:before="0" w:line="240" w:lineRule="auto"/>
              <w:jc w:val="left"/>
            </w:pPr>
            <w:r>
              <w:rPr>
                <w:rFonts w:ascii="Arial" w:hAnsi="Arial"/>
                <w:sz w:val="16"/>
              </w:rPr>
              <w:t xml:space="preserve">58.9% / 57.3%</w:t>
            </w:r>
          </w:p>
        </w:tc>
      </w:tr>
      <w:tr>
        <w:trPr>
          <w:cantSplit/>
        </w:trPr>
        <w:tc>
          <w:tcPr>
            <w:tcW w:type="dxa" w:w="2997"/>
          </w:tcPr>
          <w:p>
            <w:pPr>
              <w:pStyle w:val="Compact"/>
              <w:spacing w:after="0" w:before="0" w:line="240" w:lineRule="auto"/>
              <w:jc w:val="left"/>
            </w:pPr>
            <w:r>
              <w:rPr>
                <w:rFonts w:ascii="Arial" w:hAnsi="Arial"/>
                <w:sz w:val="16"/>
              </w:rPr>
              <w:t xml:space="preserve">Medicaid SDUD brand $ share, 2025 / Q1 2026</w:t>
            </w:r>
          </w:p>
        </w:tc>
        <w:tc>
          <w:tcPr>
            <w:tcW w:type="dxa" w:w="2997"/>
          </w:tcPr>
          <w:p>
            <w:pPr>
              <w:pStyle w:val="Compact"/>
              <w:spacing w:after="0" w:before="0" w:line="240" w:lineRule="auto"/>
              <w:jc w:val="left"/>
            </w:pPr>
            <w:r>
              <w:rPr>
                <w:rFonts w:ascii="Arial" w:hAnsi="Arial"/>
                <w:sz w:val="16"/>
              </w:rPr>
              <w:t xml:space="preserve">76.6% / 70.8%</w:t>
            </w:r>
          </w:p>
        </w:tc>
        <w:tc>
          <w:tcPr>
            <w:tcW w:type="dxa" w:w="2265"/>
          </w:tcPr>
          <w:p>
            <w:pPr>
              <w:pStyle w:val="Compact"/>
              <w:spacing w:after="0" w:before="0" w:line="240" w:lineRule="auto"/>
              <w:jc w:val="left"/>
            </w:pPr>
            <w:r>
              <w:rPr>
                <w:rFonts w:ascii="Arial" w:hAnsi="Arial"/>
                <w:sz w:val="16"/>
              </w:rPr>
              <w:t xml:space="preserve">97.2% / 96.5%</w:t>
            </w:r>
          </w:p>
        </w:tc>
        <w:tc>
          <w:tcPr>
            <w:tcW w:type="dxa" w:w="1832"/>
          </w:tcPr>
          <w:p>
            <w:pPr>
              <w:pStyle w:val="Compact"/>
              <w:spacing w:after="0" w:before="0" w:line="240" w:lineRule="auto"/>
              <w:jc w:val="left"/>
            </w:pPr>
            <w:r>
              <w:rPr>
                <w:rFonts w:ascii="Arial" w:hAnsi="Arial"/>
                <w:sz w:val="16"/>
              </w:rPr>
              <w:t xml:space="preserve">63.2% / 63.4%</w:t>
            </w:r>
          </w:p>
        </w:tc>
      </w:tr>
      <w:tr>
        <w:trPr>
          <w:cantSplit/>
        </w:trPr>
        <w:tc>
          <w:tcPr>
            <w:tcW w:type="dxa" w:w="2997"/>
          </w:tcPr>
          <w:p>
            <w:pPr>
              <w:pStyle w:val="Compact"/>
              <w:spacing w:after="0" w:before="0" w:line="240" w:lineRule="auto"/>
              <w:jc w:val="left"/>
            </w:pPr>
            <w:r>
              <w:rPr>
                <w:rFonts w:ascii="Arial" w:hAnsi="Arial"/>
                <w:sz w:val="16"/>
              </w:rPr>
              <w:t xml:space="preserve">Medicaid Spending by Drug, 2024 gross $</w:t>
            </w:r>
          </w:p>
        </w:tc>
        <w:tc>
          <w:tcPr>
            <w:tcW w:type="dxa" w:w="2997"/>
          </w:tcPr>
          <w:p>
            <w:pPr>
              <w:pStyle w:val="Compact"/>
              <w:spacing w:after="0" w:before="0" w:line="240" w:lineRule="auto"/>
              <w:jc w:val="left"/>
            </w:pPr>
            <w:r>
              <w:rPr>
                <w:rFonts w:ascii="Arial" w:hAnsi="Arial"/>
                <w:sz w:val="16"/>
              </w:rPr>
              <w:t xml:space="preserve">Brand ~72% (Solu-Medrol PF $21.2M + $1.3M vs generics $8.95M)</w:t>
            </w:r>
          </w:p>
        </w:tc>
        <w:tc>
          <w:tcPr>
            <w:tcW w:type="dxa" w:w="2265"/>
          </w:tcPr>
          <w:p>
            <w:pPr>
              <w:pStyle w:val="Compact"/>
              <w:spacing w:after="0" w:before="0" w:line="240" w:lineRule="auto"/>
              <w:jc w:val="left"/>
            </w:pPr>
            <w:r>
              <w:rPr>
                <w:rFonts w:ascii="Arial" w:hAnsi="Arial"/>
                <w:sz w:val="16"/>
              </w:rPr>
              <w:t xml:space="preserve">Brand &gt;99% ($4.08M vs Cipla $15k)</w:t>
            </w:r>
          </w:p>
        </w:tc>
        <w:tc>
          <w:tcPr>
            <w:tcW w:type="dxa" w:w="1832"/>
          </w:tcPr>
          <w:p>
            <w:pPr>
              <w:pStyle w:val="Compact"/>
              <w:spacing w:after="0" w:before="0" w:line="240" w:lineRule="auto"/>
              <w:jc w:val="left"/>
            </w:pPr>
            <w:r>
              <w:rPr>
                <w:rFonts w:ascii="Arial" w:hAnsi="Arial"/>
                <w:sz w:val="16"/>
              </w:rPr>
              <w:t xml:space="preserve">Brand ~65% ($5.74M vs $3.12M)</w:t>
            </w:r>
          </w:p>
        </w:tc>
      </w:tr>
      <w:tr>
        <w:trPr>
          <w:cantSplit/>
        </w:trPr>
        <w:tc>
          <w:tcPr>
            <w:tcW w:type="dxa" w:w="2997"/>
          </w:tcPr>
          <w:p>
            <w:pPr>
              <w:pStyle w:val="Compact"/>
              <w:spacing w:after="0" w:before="0" w:line="240" w:lineRule="auto"/>
              <w:jc w:val="left"/>
            </w:pPr>
            <w:r>
              <w:rPr>
                <w:rFonts w:ascii="Arial" w:hAnsi="Arial"/>
                <w:sz w:val="16"/>
              </w:rPr>
              <w:t xml:space="preserve">Part D claims, 2024</w:t>
            </w:r>
          </w:p>
        </w:tc>
        <w:tc>
          <w:tcPr>
            <w:tcW w:type="dxa" w:w="2997"/>
          </w:tcPr>
          <w:p>
            <w:pPr>
              <w:pStyle w:val="Compact"/>
              <w:spacing w:after="0" w:before="0" w:line="240" w:lineRule="auto"/>
              <w:jc w:val="left"/>
            </w:pPr>
            <w:r>
              <w:rPr>
                <w:rFonts w:ascii="Arial" w:hAnsi="Arial"/>
                <w:sz w:val="16"/>
              </w:rPr>
              <w:t xml:space="preserve">Brand 46.6% (14,318 of 30,716); DRL 26.5%, Fresenius 24.6%, Hikma 2.3%</w:t>
            </w:r>
          </w:p>
        </w:tc>
        <w:tc>
          <w:tcPr>
            <w:tcW w:type="dxa" w:w="2265"/>
          </w:tcPr>
          <w:p>
            <w:pPr>
              <w:pStyle w:val="Compact"/>
              <w:spacing w:after="0" w:before="0" w:line="240" w:lineRule="auto"/>
              <w:jc w:val="left"/>
            </w:pPr>
            <w:r>
              <w:rPr>
                <w:rFonts w:ascii="Arial" w:hAnsi="Arial"/>
                <w:sz w:val="16"/>
              </w:rPr>
              <w:t xml:space="preserve">Brand 99.3%; Cipla 110 claims</w:t>
            </w:r>
          </w:p>
        </w:tc>
        <w:tc>
          <w:tcPr>
            <w:tcW w:type="dxa" w:w="1832"/>
          </w:tcPr>
          <w:p>
            <w:pPr>
              <w:pStyle w:val="Compact"/>
              <w:spacing w:after="0" w:before="0" w:line="240" w:lineRule="auto"/>
              <w:jc w:val="left"/>
            </w:pPr>
            <w:r>
              <w:rPr>
                <w:rFonts w:ascii="Arial" w:hAnsi="Arial"/>
                <w:sz w:val="16"/>
              </w:rPr>
              <w:t xml:space="preserve">Brand 7.4%; Amneal 88.5%</w:t>
            </w:r>
          </w:p>
        </w:tc>
      </w:tr>
      <w:tr>
        <w:trPr>
          <w:cantSplit/>
        </w:trPr>
        <w:tc>
          <w:tcPr>
            <w:tcW w:type="dxa" w:w="2997"/>
          </w:tcPr>
          <w:p>
            <w:pPr>
              <w:pStyle w:val="Compact"/>
              <w:spacing w:after="0" w:before="0" w:line="240" w:lineRule="auto"/>
              <w:jc w:val="left"/>
            </w:pPr>
            <w:r>
              <w:rPr>
                <w:rFonts w:ascii="Arial" w:hAnsi="Arial"/>
                <w:sz w:val="16"/>
              </w:rPr>
              <w:t xml:space="preserve">Part D spend per unit, generic vs brand, 2024</w:t>
            </w:r>
          </w:p>
        </w:tc>
        <w:tc>
          <w:tcPr>
            <w:tcW w:type="dxa" w:w="2997"/>
          </w:tcPr>
          <w:p>
            <w:pPr>
              <w:pStyle w:val="Compact"/>
              <w:spacing w:after="0" w:before="0" w:line="240" w:lineRule="auto"/>
              <w:jc w:val="left"/>
            </w:pPr>
            <w:r>
              <w:rPr>
                <w:rFonts w:ascii="Arial" w:hAnsi="Arial"/>
                <w:sz w:val="16"/>
              </w:rPr>
              <w:t xml:space="preserve">$4.66 vs $7.40 (−37%)</w:t>
            </w:r>
          </w:p>
        </w:tc>
        <w:tc>
          <w:tcPr>
            <w:tcW w:type="dxa" w:w="2265"/>
          </w:tcPr>
          <w:p>
            <w:pPr>
              <w:pStyle w:val="Compact"/>
              <w:spacing w:after="0" w:before="0" w:line="240" w:lineRule="auto"/>
              <w:jc w:val="left"/>
            </w:pPr>
            <w:r>
              <w:rPr>
                <w:rFonts w:ascii="Arial" w:hAnsi="Arial"/>
                <w:sz w:val="16"/>
              </w:rPr>
              <w:t xml:space="preserve">Cipla $13.62 vs Pfizer $12.02–13.83</w:t>
            </w:r>
          </w:p>
        </w:tc>
        <w:tc>
          <w:tcPr>
            <w:tcW w:type="dxa" w:w="1832"/>
          </w:tcPr>
          <w:p>
            <w:pPr>
              <w:pStyle w:val="Compact"/>
              <w:spacing w:after="0" w:before="0" w:line="240" w:lineRule="auto"/>
              <w:jc w:val="left"/>
            </w:pPr>
            <w:r>
              <w:rPr>
                <w:rFonts w:ascii="Arial" w:hAnsi="Arial"/>
                <w:sz w:val="16"/>
              </w:rPr>
              <w:t xml:space="preserve">$10.74 vs $14.53</w:t>
            </w:r>
          </w:p>
        </w:tc>
      </w:tr>
      <w:tr>
        <w:trPr>
          <w:cantSplit/>
        </w:trPr>
        <w:tc>
          <w:tcPr>
            <w:tcW w:type="dxa" w:w="2997"/>
          </w:tcPr>
          <w:p>
            <w:pPr>
              <w:pStyle w:val="Compact"/>
              <w:spacing w:after="0" w:before="0" w:line="240" w:lineRule="auto"/>
              <w:jc w:val="left"/>
            </w:pPr>
            <w:r>
              <w:rPr>
                <w:rFonts w:ascii="Arial" w:hAnsi="Arial"/>
                <w:sz w:val="16"/>
              </w:rPr>
              <w:t xml:space="preserve">Medicaid scale, 2025</w:t>
            </w:r>
          </w:p>
        </w:tc>
        <w:tc>
          <w:tcPr>
            <w:tcW w:type="dxa" w:w="2997"/>
          </w:tcPr>
          <w:p>
            <w:pPr>
              <w:pStyle w:val="Compact"/>
              <w:spacing w:after="0" w:before="0" w:line="240" w:lineRule="auto"/>
              <w:jc w:val="left"/>
            </w:pPr>
            <w:r>
              <w:rPr>
                <w:rFonts w:ascii="Arial" w:hAnsi="Arial"/>
                <w:sz w:val="16"/>
              </w:rPr>
              <w:t xml:space="preserve">370k Rx, $18.3M</w:t>
            </w:r>
          </w:p>
        </w:tc>
        <w:tc>
          <w:tcPr>
            <w:tcW w:type="dxa" w:w="2265"/>
          </w:tcPr>
          <w:p>
            <w:pPr>
              <w:pStyle w:val="Compact"/>
              <w:spacing w:after="0" w:before="0" w:line="240" w:lineRule="auto"/>
              <w:jc w:val="left"/>
            </w:pPr>
            <w:r>
              <w:rPr>
                <w:rFonts w:ascii="Arial" w:hAnsi="Arial"/>
                <w:sz w:val="16"/>
              </w:rPr>
              <w:t xml:space="preserve">37k Rx, $2.6M</w:t>
            </w:r>
          </w:p>
        </w:tc>
        <w:tc>
          <w:tcPr>
            <w:tcW w:type="dxa" w:w="1832"/>
          </w:tcPr>
          <w:p>
            <w:pPr>
              <w:pStyle w:val="Compact"/>
              <w:spacing w:after="0" w:before="0" w:line="240" w:lineRule="auto"/>
              <w:jc w:val="left"/>
            </w:pPr>
            <w:r>
              <w:rPr>
                <w:rFonts w:ascii="Arial" w:hAnsi="Arial"/>
                <w:sz w:val="16"/>
              </w:rPr>
              <w:t xml:space="preserve">542k Rx, $10.7M</w:t>
            </w:r>
          </w:p>
        </w:tc>
      </w:tr>
    </w:tbl>
    <w:p>
      <w:pPr>
        <w:pStyle w:val="BodyText"/>
        <w:spacing w:before="100"/>
      </w:pPr>
      <w:r>
        <w:rPr>
          <w:rFonts w:ascii="Arial" w:hAnsi="Arial"/>
        </w:rPr>
        <w:t xml:space="preserve">Sources:</w:t>
      </w:r>
      <w:r>
        <w:rPr>
          <w:rFonts w:ascii="Arial" w:hAnsi="Arial"/>
        </w:rPr>
        <w:t xml:space="preserve"> </w:t>
      </w:r>
      <w:hyperlink r:id="rId35">
        <w:r>
          <w:rPr>
            <w:rStyle w:val="Hyperlink"/>
          </w:rPr>
          <w:t xml:space="preserve">SDUD 2025</w:t>
        </w:r>
      </w:hyperlink>
      <w:r>
        <w:rPr>
          <w:rFonts w:ascii="Arial" w:hAnsi="Arial"/>
        </w:rPr>
        <w:t xml:space="preserve">;</w:t>
      </w:r>
      <w:r>
        <w:rPr>
          <w:rFonts w:ascii="Arial" w:hAnsi="Arial"/>
        </w:rPr>
        <w:t xml:space="preserve"> </w:t>
      </w:r>
      <w:hyperlink r:id="rId58">
        <w:r>
          <w:rPr>
            <w:rStyle w:val="Hyperlink"/>
          </w:rPr>
          <w:t xml:space="preserve">Medicaid Spending by Drug DY2024</w:t>
        </w:r>
      </w:hyperlink>
      <w:r>
        <w:rPr>
          <w:rFonts w:ascii="Arial" w:hAnsi="Arial"/>
        </w:rPr>
        <w:t xml:space="preserve">;</w:t>
      </w:r>
      <w:r>
        <w:rPr>
          <w:rFonts w:ascii="Arial" w:hAnsi="Arial"/>
        </w:rPr>
        <w:t xml:space="preserve"> </w:t>
      </w:r>
      <w:hyperlink r:id="rId59">
        <w:r>
          <w:rPr>
            <w:rStyle w:val="Hyperlink"/>
          </w:rPr>
          <w:t xml:space="preserve">Part D Spending by Drug DY2024</w:t>
        </w:r>
      </w:hyperlink>
      <w:r>
        <w:rPr>
          <w:rFonts w:ascii="Arial" w:hAnsi="Arial"/>
        </w:rPr>
        <w:t xml:space="preserve">.</w:t>
      </w:r>
    </w:p>
    <w:bookmarkStart w:id="61" w:name="what-the-proxies-show"/>
    <w:p>
      <w:pPr>
        <w:pStyle w:val="Heading3"/>
      </w:pPr>
      <w:r>
        <w:rPr>
          <w:rFonts w:ascii="Arial" w:hAnsi="Arial"/>
        </w:rPr>
        <w:t xml:space="preserve">What the proxies show</w:t>
      </w:r>
    </w:p>
    <w:p>
      <w:pPr>
        <w:pStyle w:val="FirstParagraph"/>
      </w:pPr>
      <w:r>
        <w:rPr>
          <w:rFonts w:ascii="Arial" w:hAnsi="Arial"/>
        </w:rPr>
        <w:t xml:space="preserve">The proxies carry three messages your IQVIA share probably does not isolate:</w:t>
      </w:r>
    </w:p>
    <w:p>
      <w:pPr>
        <w:numPr>
          <w:ilvl w:val="0"/>
          <w:numId w:val="1009"/>
        </w:numPr>
        <w:pStyle w:val="Compact"/>
      </w:pPr>
      <w:r>
        <w:rPr>
          <w:bCs/>
          <w:rFonts w:ascii="Arial" w:hAnsi="Arial"/>
          <w:b/>
        </w:rPr>
        <w:t xml:space="preserve">Dr. Reddy's is the MPSS share-taker.</w:t>
      </w:r>
      <w:r>
        <w:rPr>
          <w:rFonts w:ascii="Arial" w:hAnsi="Arial"/>
        </w:rPr>
        <w:t xml:space="preserve"> </w:t>
      </w:r>
      <w:r>
        <w:rPr>
          <w:rFonts w:ascii="Arial" w:hAnsi="Arial"/>
        </w:rPr>
        <w:t xml:space="preserve">Its Medicaid share went 0.4% → 4.3% → 7.6% → 12.3% → 16.9% from 2022 to Q1 2026 (MPSS table above, from SDUD). It has taken share from Fresenius (the incumbent generic) as much as from Pfizer. That is how a price-led entrant with a reliable supply base behaves in this molecule (inference).</w:t>
      </w:r>
    </w:p>
    <w:p>
      <w:pPr>
        <w:numPr>
          <w:ilvl w:val="0"/>
          <w:numId w:val="1009"/>
        </w:numPr>
        <w:pStyle w:val="Compact"/>
      </w:pPr>
      <w:r>
        <w:rPr>
          <w:bCs/>
          <w:rFonts w:ascii="Arial" w:hAnsi="Arial"/>
          <w:b/>
        </w:rPr>
        <w:t xml:space="preserve">Brand loyalty depends on channel.</w:t>
      </w:r>
      <w:r>
        <w:rPr>
          <w:rFonts w:ascii="Arial" w:hAnsi="Arial"/>
        </w:rPr>
        <w:t xml:space="preserve"> </w:t>
      </w:r>
      <w:r>
        <w:rPr>
          <w:rFonts w:ascii="Arial" w:hAnsi="Arial"/>
        </w:rPr>
        <w:t xml:space="preserve">Pfizer keeps ~75% of Medicaid MPSS claims, which are dominated by physician-administered use (</w:t>
      </w:r>
      <w:hyperlink r:id="rId35">
        <w:r>
          <w:rPr>
            <w:rStyle w:val="Hyperlink"/>
          </w:rPr>
          <w:t xml:space="preserve">SDUD 2025</w:t>
        </w:r>
      </w:hyperlink>
      <w:r>
        <w:rPr>
          <w:rFonts w:ascii="Arial" w:hAnsi="Arial"/>
        </w:rPr>
        <w:t xml:space="preserve">). It has only ~47% of Part D claims, which are pharmacy-dispensed (</w:t>
      </w:r>
      <w:hyperlink r:id="rId59">
        <w:r>
          <w:rPr>
            <w:rStyle w:val="Hyperlink"/>
          </w:rPr>
          <w:t xml:space="preserve">Part D Spending by Drug DY2024</w:t>
        </w:r>
      </w:hyperlink>
      <w:r>
        <w:rPr>
          <w:rFonts w:ascii="Arial" w:hAnsi="Arial"/>
        </w:rPr>
        <w:t xml:space="preserve">). That fits the idea that provider stocking and the Act-O-Vial format matter more than pharmacy substitution (inference).</w:t>
      </w:r>
    </w:p>
    <w:p>
      <w:pPr>
        <w:numPr>
          <w:ilvl w:val="0"/>
          <w:numId w:val="1009"/>
        </w:numPr>
        <w:pStyle w:val="Compact"/>
      </w:pPr>
      <w:r>
        <w:rPr>
          <w:bCs/>
          <w:rFonts w:ascii="Arial" w:hAnsi="Arial"/>
          <w:b/>
        </w:rPr>
        <w:t xml:space="preserve">Generic HSS has barely started.</w:t>
      </w:r>
      <w:r>
        <w:rPr>
          <w:rFonts w:ascii="Arial" w:hAnsi="Arial"/>
        </w:rPr>
        <w:t xml:space="preserve"> </w:t>
      </w:r>
      <w:r>
        <w:rPr>
          <w:rFonts w:ascii="Arial" w:hAnsi="Arial"/>
        </w:rPr>
        <w:t xml:space="preserve">Cipla reached 5–7% of claims after 18 months (</w:t>
      </w:r>
      <w:hyperlink r:id="rId35">
        <w:r>
          <w:rPr>
            <w:rStyle w:val="Hyperlink"/>
          </w:rPr>
          <w:t xml:space="preserve">SDUD 2025</w:t>
        </w:r>
      </w:hyperlink>
      <w:r>
        <w:rPr>
          <w:rFonts w:ascii="Arial" w:hAnsi="Arial"/>
        </w:rPr>
        <w:t xml:space="preserve">,</w:t>
      </w:r>
      <w:r>
        <w:rPr>
          <w:rFonts w:ascii="Arial" w:hAnsi="Arial"/>
        </w:rPr>
        <w:t xml:space="preserve"> </w:t>
      </w:r>
      <w:hyperlink r:id="rId25">
        <w:r>
          <w:rPr>
            <w:rStyle w:val="Hyperlink"/>
          </w:rPr>
          <w:t xml:space="preserve">SDUD 2026</w:t>
        </w:r>
      </w:hyperlink>
      <w:r>
        <w:rPr>
          <w:rFonts w:ascii="Arial" w:hAnsi="Arial"/>
        </w:rPr>
        <w:t xml:space="preserve">). Apotex and Zydus listed NDCs only in May–June 2026, after the latest SDUD quarter (</w:t>
      </w:r>
      <w:hyperlink r:id="rId60">
        <w:r>
          <w:rPr>
            <w:rStyle w:val="Hyperlink"/>
          </w:rPr>
          <w:t xml:space="preserve">RxNav NDC history</w:t>
        </w:r>
      </w:hyperlink>
      <w:r>
        <w:rPr>
          <w:rFonts w:ascii="Arial" w:hAnsi="Arial"/>
        </w:rPr>
        <w:t xml:space="preserve">;</w:t>
      </w:r>
      <w:r>
        <w:rPr>
          <w:rFonts w:ascii="Arial" w:hAnsi="Arial"/>
        </w:rPr>
        <w:t xml:space="preserve"> </w:t>
      </w:r>
      <w:hyperlink r:id="rId30">
        <w:r>
          <w:rPr>
            <w:rStyle w:val="Hyperlink"/>
          </w:rPr>
          <w:t xml:space="preserve">openFDA NDC, HSS</w:t>
        </w:r>
      </w:hyperlink>
      <w:r>
        <w:rPr>
          <w:rFonts w:ascii="Arial" w:hAnsi="Arial"/>
        </w:rPr>
        <w:t xml:space="preserve">).</w:t>
      </w:r>
    </w:p>
    <w:bookmarkEnd w:id="61"/>
    <w:bookmarkStart w:id="63" w:name="limits-of-the-proxies"/>
    <w:p>
      <w:pPr>
        <w:pStyle w:val="Heading3"/>
      </w:pPr>
      <w:r>
        <w:rPr>
          <w:rFonts w:ascii="Arial" w:hAnsi="Arial"/>
        </w:rPr>
        <w:t xml:space="preserve">Limits of the proxies</w:t>
      </w:r>
    </w:p>
    <w:p>
      <w:pPr>
        <w:pStyle w:val="FirstParagraph"/>
      </w:pPr>
      <w:r>
        <w:rPr>
          <w:rFonts w:ascii="Arial" w:hAnsi="Arial"/>
        </w:rPr>
        <w:t xml:space="preserve">These are proxies. SDUD covers outpatient pharmacy and physician-administered claims. It</w:t>
      </w:r>
      <w:r>
        <w:rPr>
          <w:rFonts w:ascii="Arial" w:hAnsi="Arial"/>
        </w:rPr>
        <w:t xml:space="preserve"> </w:t>
      </w:r>
      <w:r>
        <w:rPr>
          <w:bCs/>
          <w:rFonts w:ascii="Arial" w:hAnsi="Arial"/>
          <w:b/>
        </w:rPr>
        <w:t xml:space="preserve">excludes hospital inpatient use</w:t>
      </w:r>
      <w:r>
        <w:rPr>
          <w:rFonts w:ascii="Arial" w:hAnsi="Arial"/>
        </w:rPr>
        <w:t xml:space="preserve">, which is bundled into DRG payments and dominates both molecules. SDUD dollars are</w:t>
      </w:r>
      <w:r>
        <w:rPr>
          <w:rFonts w:ascii="Arial" w:hAnsi="Arial"/>
        </w:rPr>
        <w:t xml:space="preserve"> </w:t>
      </w:r>
      <w:r>
        <w:rPr>
          <w:bCs/>
          <w:rFonts w:ascii="Arial" w:hAnsi="Arial"/>
          <w:b/>
        </w:rPr>
        <w:t xml:space="preserve">pre-rebate</w:t>
      </w:r>
      <w:r>
        <w:rPr>
          <w:rFonts w:ascii="Arial" w:hAnsi="Arial"/>
        </w:rPr>
        <w:t xml:space="preserve"> </w:t>
      </w:r>
      <w:r>
        <w:rPr>
          <w:rFonts w:ascii="Arial" w:hAnsi="Arial"/>
        </w:rPr>
        <w:t xml:space="preserve">(</w:t>
      </w:r>
      <w:hyperlink r:id="rId55">
        <w:r>
          <w:rPr>
            <w:rStyle w:val="Hyperlink"/>
          </w:rPr>
          <w:t xml:space="preserve">CMS SDUD field descriptions</w:t>
        </w:r>
      </w:hyperlink>
      <w:r>
        <w:rPr>
          <w:rFonts w:ascii="Arial" w:hAnsi="Arial"/>
        </w:rPr>
        <w:t xml:space="preserve">). Part B fee-for-service data excludes Medicare Advantage, critical access hospitals, Maryland and packaged outpatient claims (</w:t>
      </w:r>
      <w:hyperlink r:id="rId62">
        <w:r>
          <w:rPr>
            <w:rStyle w:val="Hyperlink"/>
          </w:rPr>
          <w:t xml:space="preserve">Part B methodology</w:t>
        </w:r>
      </w:hyperlink>
      <w:r>
        <w:rPr>
          <w:rFonts w:ascii="Arial" w:hAnsi="Arial"/>
        </w:rPr>
        <w:t xml:space="preserve">). Use these data for direction (entrant count, generic momentum, price trend), not absolute share.</w:t>
      </w:r>
    </w:p>
    <w:bookmarkEnd w:id="63"/>
    <w:bookmarkEnd w:id="64"/>
    <w:bookmarkStart w:id="76" w:name="X09e937d7cac0843e154c77f56b44649b5226072"/>
    <w:p>
      <w:pPr>
        <w:pStyle w:val="Heading2"/>
      </w:pPr>
      <w:r>
        <w:rPr>
          <w:rFonts w:ascii="Arial" w:hAnsi="Arial"/>
        </w:rPr>
        <w:t xml:space="preserve">Cortef's ASP has tripled since 2016 while Medrol's drifts lower</w:t>
      </w:r>
    </w:p>
    <w:p>
      <w:pPr>
        <w:pStyle w:val="FirstParagraph"/>
      </w:pPr>
      <w:r>
        <w:rPr>
          <w:rFonts w:ascii="Arial" w:hAnsi="Arial"/>
        </w:rPr>
        <w:t xml:space="preserve">All 88 quarterly CMS files from January 2016 to October 2026 were parsed: 44 payment-limit files and 44 crosswalks. Implied ASP is taken as payment limit ÷ 1.06. These are ordinary multi-source drugs with no ASP+8% or WAC+3% add-ons, and the inflation-rebate coinsurance column reads 20% in every quarter (</w:t>
      </w:r>
      <w:hyperlink r:id="rId26">
        <w:r>
          <w:rPr>
            <w:rStyle w:val="Hyperlink"/>
          </w:rPr>
          <w:t xml:space="preserve">CMS ASP pricing files</w:t>
        </w:r>
      </w:hyperlink>
      <w:r>
        <w:rPr>
          <w:rFonts w:ascii="Arial" w:hAnsi="Arial"/>
        </w:rPr>
        <w:t xml:space="preserve">). Payment limits per billing unit in the October 2026 file are</w:t>
      </w:r>
      <w:r>
        <w:rPr>
          <w:rFonts w:ascii="Arial" w:hAnsi="Arial"/>
        </w:rPr>
        <w:t xml:space="preserve"> </w:t>
      </w:r>
      <w:r>
        <w:rPr>
          <w:bCs/>
          <w:rFonts w:ascii="Arial" w:hAnsi="Arial"/>
          <w:b/>
        </w:rPr>
        <w:t xml:space="preserve">J1720 $23.149 (per 100 mg), J2919 $0.255 (per 5 mg) and J1010 $0.123 (per 1 mg)</w:t>
      </w:r>
      <w:r>
        <w:rPr>
          <w:rFonts w:ascii="Arial" w:hAnsi="Arial"/>
        </w:rPr>
        <w:t xml:space="preserve">, all based on 2Q26 sales (</w:t>
      </w:r>
      <w:hyperlink r:id="rId29">
        <w:r>
          <w:rPr>
            <w:rStyle w:val="Hyperlink"/>
          </w:rPr>
          <w:t xml:space="preserve">CMS Oct 2026 payment limit file</w:t>
        </w:r>
      </w:hyperlink>
      <w:r>
        <w:rPr>
          <w:rFonts w:ascii="Arial" w:hAnsi="Arial"/>
        </w:rPr>
        <w:t xml:space="preserve">).</w:t>
      </w:r>
    </w:p>
    <w:p>
      <w:pPr>
        <w:pStyle w:val="BodyText"/>
        <w:keepNext/>
      </w:pPr>
      <w:r>
        <w:rPr>
          <w:bCs/>
          <w:rFonts w:ascii="Arial" w:hAnsi="Arial"/>
          <w:b/>
        </w:rPr>
        <w:t xml:space="preserve">Implied ASP per vial, selected quarters (US$)</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1571"/>
        <w:gridCol w:w="681"/>
        <w:gridCol w:w="681"/>
        <w:gridCol w:w="681"/>
        <w:gridCol w:w="681"/>
        <w:gridCol w:w="795"/>
        <w:gridCol w:w="681"/>
        <w:gridCol w:w="681"/>
        <w:gridCol w:w="681"/>
        <w:gridCol w:w="681"/>
        <w:gridCol w:w="681"/>
        <w:gridCol w:w="795"/>
        <w:gridCol w:w="795"/>
      </w:tblGrid>
      <w:tr>
        <w:trPr>
          <w:tblHeader w:val="true"/>
          <w:tblHeader w:val="true"/>
          <w:cantSplit/>
        </w:trPr>
        <w:tc>
          <w:tcPr>
            <w:tcW w:type="dxa" w:w="1571"/>
            <w:shd w:val="clear" w:color="auto" w:fill="1F3864"/>
          </w:tcPr>
          <w:p>
            <w:pPr>
              <w:pStyle w:val="Compact"/>
              <w:spacing w:after="0" w:before="0" w:line="240" w:lineRule="auto"/>
              <w:jc w:val="left"/>
            </w:pPr>
            <w:r>
              <w:rPr>
                <w:rFonts w:ascii="Arial" w:hAnsi="Arial"/>
                <w:b/>
                <w:color w:val="FFFFFF"/>
                <w:sz w:val="13"/>
              </w:rPr>
              <w:t xml:space="preserve">Vial</w:t>
            </w:r>
          </w:p>
        </w:tc>
        <w:tc>
          <w:tcPr>
            <w:tcW w:type="dxa" w:w="682"/>
            <w:shd w:val="clear" w:color="auto" w:fill="1F3864"/>
          </w:tcPr>
          <w:p>
            <w:pPr>
              <w:pStyle w:val="Compact"/>
              <w:spacing w:after="0" w:before="0" w:line="240" w:lineRule="auto"/>
              <w:jc w:val="left"/>
            </w:pPr>
            <w:r>
              <w:rPr>
                <w:rFonts w:ascii="Arial" w:hAnsi="Arial"/>
                <w:b/>
                <w:color w:val="FFFFFF"/>
                <w:sz w:val="13"/>
              </w:rPr>
              <w:t xml:space="preserve">Q1'16</w:t>
            </w:r>
          </w:p>
        </w:tc>
        <w:tc>
          <w:tcPr>
            <w:tcW w:type="dxa" w:w="682"/>
            <w:shd w:val="clear" w:color="auto" w:fill="1F3864"/>
          </w:tcPr>
          <w:p>
            <w:pPr>
              <w:pStyle w:val="Compact"/>
              <w:spacing w:after="0" w:before="0" w:line="240" w:lineRule="auto"/>
              <w:jc w:val="left"/>
            </w:pPr>
            <w:r>
              <w:rPr>
                <w:rFonts w:ascii="Arial" w:hAnsi="Arial"/>
                <w:b/>
                <w:color w:val="FFFFFF"/>
                <w:sz w:val="13"/>
              </w:rPr>
              <w:t xml:space="preserve">Q3'18</w:t>
            </w:r>
          </w:p>
        </w:tc>
        <w:tc>
          <w:tcPr>
            <w:tcW w:type="dxa" w:w="682"/>
            <w:shd w:val="clear" w:color="auto" w:fill="1F3864"/>
          </w:tcPr>
          <w:p>
            <w:pPr>
              <w:pStyle w:val="Compact"/>
              <w:spacing w:after="0" w:before="0" w:line="240" w:lineRule="auto"/>
              <w:jc w:val="left"/>
            </w:pPr>
            <w:r>
              <w:rPr>
                <w:rFonts w:ascii="Arial" w:hAnsi="Arial"/>
                <w:b/>
                <w:color w:val="FFFFFF"/>
                <w:sz w:val="13"/>
              </w:rPr>
              <w:t xml:space="preserve">Q4'21</w:t>
            </w:r>
          </w:p>
        </w:tc>
        <w:tc>
          <w:tcPr>
            <w:tcW w:type="dxa" w:w="682"/>
            <w:shd w:val="clear" w:color="auto" w:fill="1F3864"/>
          </w:tcPr>
          <w:p>
            <w:pPr>
              <w:pStyle w:val="Compact"/>
              <w:spacing w:after="0" w:before="0" w:line="240" w:lineRule="auto"/>
              <w:jc w:val="left"/>
            </w:pPr>
            <w:r>
              <w:rPr>
                <w:rFonts w:ascii="Arial" w:hAnsi="Arial"/>
                <w:b/>
                <w:color w:val="FFFFFF"/>
                <w:sz w:val="13"/>
              </w:rPr>
              <w:t xml:space="preserve">Q1'24 (last old code)</w:t>
            </w:r>
          </w:p>
        </w:tc>
        <w:tc>
          <w:tcPr>
            <w:tcW w:type="dxa" w:w="795"/>
            <w:shd w:val="clear" w:color="auto" w:fill="1F3864"/>
          </w:tcPr>
          <w:p>
            <w:pPr>
              <w:pStyle w:val="Compact"/>
              <w:spacing w:after="0" w:before="0" w:line="240" w:lineRule="auto"/>
              <w:jc w:val="left"/>
            </w:pPr>
            <w:r>
              <w:rPr>
                <w:rFonts w:ascii="Arial" w:hAnsi="Arial"/>
                <w:b/>
                <w:color w:val="FFFFFF"/>
                <w:sz w:val="13"/>
              </w:rPr>
              <w:t xml:space="preserve">Q2'24 (first new code)</w:t>
            </w:r>
          </w:p>
        </w:tc>
        <w:tc>
          <w:tcPr>
            <w:tcW w:type="dxa" w:w="682"/>
            <w:shd w:val="clear" w:color="auto" w:fill="1F3864"/>
          </w:tcPr>
          <w:p>
            <w:pPr>
              <w:pStyle w:val="Compact"/>
              <w:spacing w:after="0" w:before="0" w:line="240" w:lineRule="auto"/>
              <w:jc w:val="left"/>
            </w:pPr>
            <w:r>
              <w:rPr>
                <w:rFonts w:ascii="Arial" w:hAnsi="Arial"/>
                <w:b/>
                <w:color w:val="FFFFFF"/>
                <w:sz w:val="13"/>
              </w:rPr>
              <w:t xml:space="preserve">Q4'25</w:t>
            </w:r>
          </w:p>
        </w:tc>
        <w:tc>
          <w:tcPr>
            <w:tcW w:type="dxa" w:w="682"/>
            <w:shd w:val="clear" w:color="auto" w:fill="1F3864"/>
          </w:tcPr>
          <w:p>
            <w:pPr>
              <w:pStyle w:val="Compact"/>
              <w:spacing w:after="0" w:before="0" w:line="240" w:lineRule="auto"/>
              <w:jc w:val="left"/>
            </w:pPr>
            <w:r>
              <w:rPr>
                <w:rFonts w:ascii="Arial" w:hAnsi="Arial"/>
                <w:b/>
                <w:color w:val="FFFFFF"/>
                <w:sz w:val="13"/>
              </w:rPr>
              <w:t xml:space="preserve">Q1'26</w:t>
            </w:r>
          </w:p>
        </w:tc>
        <w:tc>
          <w:tcPr>
            <w:tcW w:type="dxa" w:w="682"/>
            <w:shd w:val="clear" w:color="auto" w:fill="1F3864"/>
          </w:tcPr>
          <w:p>
            <w:pPr>
              <w:pStyle w:val="Compact"/>
              <w:spacing w:after="0" w:before="0" w:line="240" w:lineRule="auto"/>
              <w:jc w:val="left"/>
            </w:pPr>
            <w:r>
              <w:rPr>
                <w:rFonts w:ascii="Arial" w:hAnsi="Arial"/>
                <w:b/>
                <w:color w:val="FFFFFF"/>
                <w:sz w:val="13"/>
              </w:rPr>
              <w:t xml:space="preserve">Q2'26</w:t>
            </w:r>
          </w:p>
        </w:tc>
        <w:tc>
          <w:tcPr>
            <w:tcW w:type="dxa" w:w="682"/>
            <w:shd w:val="clear" w:color="auto" w:fill="1F3864"/>
          </w:tcPr>
          <w:p>
            <w:pPr>
              <w:pStyle w:val="Compact"/>
              <w:spacing w:after="0" w:before="0" w:line="240" w:lineRule="auto"/>
              <w:jc w:val="left"/>
            </w:pPr>
            <w:r>
              <w:rPr>
                <w:rFonts w:ascii="Arial" w:hAnsi="Arial"/>
                <w:b/>
                <w:color w:val="FFFFFF"/>
                <w:sz w:val="13"/>
              </w:rPr>
              <w:t xml:space="preserve">Q3'26</w:t>
            </w:r>
          </w:p>
        </w:tc>
        <w:tc>
          <w:tcPr>
            <w:tcW w:type="dxa" w:w="682"/>
            <w:shd w:val="clear" w:color="auto" w:fill="1F3864"/>
          </w:tcPr>
          <w:p>
            <w:pPr>
              <w:pStyle w:val="Compact"/>
              <w:spacing w:after="0" w:before="0" w:line="240" w:lineRule="auto"/>
              <w:jc w:val="left"/>
            </w:pPr>
            <w:r>
              <w:rPr>
                <w:bCs/>
                <w:rFonts w:ascii="Arial" w:hAnsi="Arial"/>
                <w:b/>
                <w:color w:val="FFFFFF"/>
                <w:sz w:val="13"/>
              </w:rPr>
              <w:t xml:space="preserve">Q4'26</w:t>
            </w:r>
          </w:p>
        </w:tc>
        <w:tc>
          <w:tcPr>
            <w:tcW w:type="dxa" w:w="795"/>
            <w:shd w:val="clear" w:color="auto" w:fill="1F3864"/>
          </w:tcPr>
          <w:p>
            <w:pPr>
              <w:pStyle w:val="Compact"/>
              <w:spacing w:after="0" w:before="0" w:line="240" w:lineRule="auto"/>
              <w:jc w:val="left"/>
            </w:pPr>
            <w:r>
              <w:rPr>
                <w:rFonts w:ascii="Arial" w:hAnsi="Arial"/>
                <w:b/>
                <w:color w:val="FFFFFF"/>
                <w:sz w:val="13"/>
              </w:rPr>
              <w:t xml:space="preserve">1y chg</w:t>
            </w:r>
          </w:p>
        </w:tc>
        <w:tc>
          <w:tcPr>
            <w:tcW w:type="dxa" w:w="795"/>
            <w:shd w:val="clear" w:color="auto" w:fill="1F3864"/>
          </w:tcPr>
          <w:p>
            <w:pPr>
              <w:pStyle w:val="Compact"/>
              <w:spacing w:after="0" w:before="0" w:line="240" w:lineRule="auto"/>
              <w:jc w:val="left"/>
            </w:pPr>
            <w:r>
              <w:rPr>
                <w:rFonts w:ascii="Arial" w:hAnsi="Arial"/>
                <w:b/>
                <w:color w:val="FFFFFF"/>
                <w:sz w:val="13"/>
              </w:rPr>
              <w:t xml:space="preserve">5y CAGR</w:t>
            </w:r>
          </w:p>
        </w:tc>
      </w:tr>
      <w:tr>
        <w:trPr>
          <w:cantSplit/>
        </w:trPr>
        <w:tc>
          <w:tcPr>
            <w:tcW w:type="dxa" w:w="1571"/>
          </w:tcPr>
          <w:p>
            <w:pPr>
              <w:pStyle w:val="Compact"/>
              <w:spacing w:after="0" w:before="0" w:line="240" w:lineRule="auto"/>
              <w:jc w:val="left"/>
            </w:pPr>
            <w:r>
              <w:rPr>
                <w:rFonts w:ascii="Arial" w:hAnsi="Arial"/>
                <w:sz w:val="13"/>
              </w:rPr>
              <w:t xml:space="preserve">MPSS 40 mg</w:t>
            </w:r>
          </w:p>
        </w:tc>
        <w:tc>
          <w:tcPr>
            <w:tcW w:type="dxa" w:w="682"/>
          </w:tcPr>
          <w:p>
            <w:pPr>
              <w:pStyle w:val="Compact"/>
              <w:spacing w:after="0" w:before="0" w:line="240" w:lineRule="auto"/>
              <w:jc w:val="left"/>
            </w:pPr>
            <w:r>
              <w:rPr>
                <w:rFonts w:ascii="Arial" w:hAnsi="Arial"/>
                <w:sz w:val="13"/>
              </w:rPr>
              <w:t xml:space="preserve">2.73</w:t>
            </w:r>
          </w:p>
        </w:tc>
        <w:tc>
          <w:tcPr>
            <w:tcW w:type="dxa" w:w="682"/>
          </w:tcPr>
          <w:p>
            <w:pPr>
              <w:pStyle w:val="Compact"/>
              <w:spacing w:after="0" w:before="0" w:line="240" w:lineRule="auto"/>
              <w:jc w:val="left"/>
            </w:pPr>
            <w:r>
              <w:rPr>
                <w:rFonts w:ascii="Arial" w:hAnsi="Arial"/>
                <w:sz w:val="13"/>
              </w:rPr>
              <w:t xml:space="preserve">4.53</w:t>
            </w:r>
          </w:p>
        </w:tc>
        <w:tc>
          <w:tcPr>
            <w:tcW w:type="dxa" w:w="682"/>
          </w:tcPr>
          <w:p>
            <w:pPr>
              <w:pStyle w:val="Compact"/>
              <w:spacing w:after="0" w:before="0" w:line="240" w:lineRule="auto"/>
              <w:jc w:val="left"/>
            </w:pPr>
            <w:r>
              <w:rPr>
                <w:rFonts w:ascii="Arial" w:hAnsi="Arial"/>
                <w:sz w:val="13"/>
              </w:rPr>
              <w:t xml:space="preserve">3.88</w:t>
            </w:r>
          </w:p>
        </w:tc>
        <w:tc>
          <w:tcPr>
            <w:tcW w:type="dxa" w:w="682"/>
          </w:tcPr>
          <w:p>
            <w:pPr>
              <w:pStyle w:val="Compact"/>
              <w:spacing w:after="0" w:before="0" w:line="240" w:lineRule="auto"/>
              <w:jc w:val="left"/>
            </w:pPr>
            <w:r>
              <w:rPr>
                <w:rFonts w:ascii="Arial" w:hAnsi="Arial"/>
                <w:sz w:val="13"/>
              </w:rPr>
              <w:t xml:space="preserve">3.95</w:t>
            </w:r>
          </w:p>
        </w:tc>
        <w:tc>
          <w:tcPr>
            <w:tcW w:type="dxa" w:w="795"/>
          </w:tcPr>
          <w:p>
            <w:pPr>
              <w:pStyle w:val="Compact"/>
              <w:spacing w:after="0" w:before="0" w:line="240" w:lineRule="auto"/>
              <w:jc w:val="left"/>
            </w:pPr>
            <w:r>
              <w:rPr>
                <w:rFonts w:ascii="Arial" w:hAnsi="Arial"/>
                <w:sz w:val="13"/>
              </w:rPr>
              <w:t xml:space="preserve">2.06*</w:t>
            </w:r>
          </w:p>
        </w:tc>
        <w:tc>
          <w:tcPr>
            <w:tcW w:type="dxa" w:w="682"/>
          </w:tcPr>
          <w:p>
            <w:pPr>
              <w:pStyle w:val="Compact"/>
              <w:spacing w:after="0" w:before="0" w:line="240" w:lineRule="auto"/>
              <w:jc w:val="left"/>
            </w:pPr>
            <w:r>
              <w:rPr>
                <w:rFonts w:ascii="Arial" w:hAnsi="Arial"/>
                <w:sz w:val="13"/>
              </w:rPr>
              <w:t xml:space="preserve">1.58</w:t>
            </w:r>
          </w:p>
        </w:tc>
        <w:tc>
          <w:tcPr>
            <w:tcW w:type="dxa" w:w="682"/>
          </w:tcPr>
          <w:p>
            <w:pPr>
              <w:pStyle w:val="Compact"/>
              <w:spacing w:after="0" w:before="0" w:line="240" w:lineRule="auto"/>
              <w:jc w:val="left"/>
            </w:pPr>
            <w:r>
              <w:rPr>
                <w:rFonts w:ascii="Arial" w:hAnsi="Arial"/>
                <w:sz w:val="13"/>
              </w:rPr>
              <w:t xml:space="preserve">1.99</w:t>
            </w:r>
          </w:p>
        </w:tc>
        <w:tc>
          <w:tcPr>
            <w:tcW w:type="dxa" w:w="682"/>
          </w:tcPr>
          <w:p>
            <w:pPr>
              <w:pStyle w:val="Compact"/>
              <w:spacing w:after="0" w:before="0" w:line="240" w:lineRule="auto"/>
              <w:jc w:val="left"/>
            </w:pPr>
            <w:r>
              <w:rPr>
                <w:rFonts w:ascii="Arial" w:hAnsi="Arial"/>
                <w:sz w:val="13"/>
              </w:rPr>
              <w:t xml:space="preserve">1.82</w:t>
            </w:r>
          </w:p>
        </w:tc>
        <w:tc>
          <w:tcPr>
            <w:tcW w:type="dxa" w:w="682"/>
          </w:tcPr>
          <w:p>
            <w:pPr>
              <w:pStyle w:val="Compact"/>
              <w:spacing w:after="0" w:before="0" w:line="240" w:lineRule="auto"/>
              <w:jc w:val="left"/>
            </w:pPr>
            <w:r>
              <w:rPr>
                <w:rFonts w:ascii="Arial" w:hAnsi="Arial"/>
                <w:sz w:val="13"/>
              </w:rPr>
              <w:t xml:space="preserve">1.69</w:t>
            </w:r>
          </w:p>
        </w:tc>
        <w:tc>
          <w:tcPr>
            <w:tcW w:type="dxa" w:w="682"/>
          </w:tcPr>
          <w:p>
            <w:pPr>
              <w:pStyle w:val="Compact"/>
              <w:spacing w:after="0" w:before="0" w:line="240" w:lineRule="auto"/>
              <w:jc w:val="left"/>
            </w:pPr>
            <w:r>
              <w:rPr>
                <w:bCs/>
                <w:rFonts w:ascii="Arial" w:hAnsi="Arial"/>
                <w:b/>
                <w:sz w:val="13"/>
              </w:rPr>
              <w:t xml:space="preserve">1.92</w:t>
            </w:r>
          </w:p>
        </w:tc>
        <w:tc>
          <w:tcPr>
            <w:tcW w:type="dxa" w:w="795"/>
          </w:tcPr>
          <w:p>
            <w:pPr>
              <w:pStyle w:val="Compact"/>
              <w:spacing w:after="0" w:before="0" w:line="240" w:lineRule="auto"/>
              <w:jc w:val="left"/>
            </w:pPr>
            <w:r>
              <w:rPr>
                <w:rFonts w:ascii="Arial" w:hAnsi="Arial"/>
                <w:sz w:val="13"/>
              </w:rPr>
              <w:t xml:space="preserve">+21.5%†</w:t>
            </w:r>
          </w:p>
        </w:tc>
        <w:tc>
          <w:tcPr>
            <w:tcW w:type="dxa" w:w="795"/>
          </w:tcPr>
          <w:p>
            <w:pPr>
              <w:pStyle w:val="Compact"/>
              <w:spacing w:after="0" w:before="0" w:line="240" w:lineRule="auto"/>
              <w:jc w:val="left"/>
            </w:pPr>
            <w:r>
              <w:rPr>
                <w:rFonts w:ascii="Arial" w:hAnsi="Arial"/>
                <w:sz w:val="13"/>
              </w:rPr>
              <w:t xml:space="preserve">−13.1%‡</w:t>
            </w:r>
          </w:p>
        </w:tc>
      </w:tr>
      <w:tr>
        <w:trPr>
          <w:cantSplit/>
        </w:trPr>
        <w:tc>
          <w:tcPr>
            <w:tcW w:type="dxa" w:w="1571"/>
          </w:tcPr>
          <w:p>
            <w:pPr>
              <w:pStyle w:val="Compact"/>
              <w:spacing w:after="0" w:before="0" w:line="240" w:lineRule="auto"/>
              <w:jc w:val="left"/>
            </w:pPr>
            <w:r>
              <w:rPr>
                <w:rFonts w:ascii="Arial" w:hAnsi="Arial"/>
                <w:sz w:val="13"/>
              </w:rPr>
              <w:t xml:space="preserve">MPSS 125 mg</w:t>
            </w:r>
          </w:p>
        </w:tc>
        <w:tc>
          <w:tcPr>
            <w:tcW w:type="dxa" w:w="682"/>
          </w:tcPr>
          <w:p>
            <w:pPr>
              <w:pStyle w:val="Compact"/>
              <w:spacing w:after="0" w:before="0" w:line="240" w:lineRule="auto"/>
              <w:jc w:val="left"/>
            </w:pPr>
            <w:r>
              <w:rPr>
                <w:rFonts w:ascii="Arial" w:hAnsi="Arial"/>
                <w:sz w:val="13"/>
              </w:rPr>
              <w:t xml:space="preserve">3.87</w:t>
            </w:r>
          </w:p>
        </w:tc>
        <w:tc>
          <w:tcPr>
            <w:tcW w:type="dxa" w:w="682"/>
          </w:tcPr>
          <w:p>
            <w:pPr>
              <w:pStyle w:val="Compact"/>
              <w:spacing w:after="0" w:before="0" w:line="240" w:lineRule="auto"/>
              <w:jc w:val="left"/>
            </w:pPr>
            <w:r>
              <w:rPr>
                <w:rFonts w:ascii="Arial" w:hAnsi="Arial"/>
                <w:sz w:val="13"/>
              </w:rPr>
              <w:t xml:space="preserve">6.57</w:t>
            </w:r>
          </w:p>
        </w:tc>
        <w:tc>
          <w:tcPr>
            <w:tcW w:type="dxa" w:w="682"/>
          </w:tcPr>
          <w:p>
            <w:pPr>
              <w:pStyle w:val="Compact"/>
              <w:spacing w:after="0" w:before="0" w:line="240" w:lineRule="auto"/>
              <w:jc w:val="left"/>
            </w:pPr>
            <w:r>
              <w:rPr>
                <w:rFonts w:ascii="Arial" w:hAnsi="Arial"/>
                <w:sz w:val="13"/>
              </w:rPr>
              <w:t xml:space="preserve">5.25</w:t>
            </w:r>
          </w:p>
        </w:tc>
        <w:tc>
          <w:tcPr>
            <w:tcW w:type="dxa" w:w="682"/>
          </w:tcPr>
          <w:p>
            <w:pPr>
              <w:pStyle w:val="Compact"/>
              <w:spacing w:after="0" w:before="0" w:line="240" w:lineRule="auto"/>
              <w:jc w:val="left"/>
            </w:pPr>
            <w:r>
              <w:rPr>
                <w:rFonts w:ascii="Arial" w:hAnsi="Arial"/>
                <w:sz w:val="13"/>
              </w:rPr>
              <w:t xml:space="preserve">5.55</w:t>
            </w:r>
          </w:p>
        </w:tc>
        <w:tc>
          <w:tcPr>
            <w:tcW w:type="dxa" w:w="795"/>
          </w:tcPr>
          <w:p>
            <w:pPr>
              <w:pStyle w:val="Compact"/>
              <w:spacing w:after="0" w:before="0" w:line="240" w:lineRule="auto"/>
              <w:jc w:val="left"/>
            </w:pPr>
            <w:r>
              <w:rPr>
                <w:rFonts w:ascii="Arial" w:hAnsi="Arial"/>
                <w:sz w:val="13"/>
              </w:rPr>
              <w:t xml:space="preserve">6.44*</w:t>
            </w:r>
          </w:p>
        </w:tc>
        <w:tc>
          <w:tcPr>
            <w:tcW w:type="dxa" w:w="682"/>
          </w:tcPr>
          <w:p>
            <w:pPr>
              <w:pStyle w:val="Compact"/>
              <w:spacing w:after="0" w:before="0" w:line="240" w:lineRule="auto"/>
              <w:jc w:val="left"/>
            </w:pPr>
            <w:r>
              <w:rPr>
                <w:rFonts w:ascii="Arial" w:hAnsi="Arial"/>
                <w:sz w:val="13"/>
              </w:rPr>
              <w:t xml:space="preserve">4.95</w:t>
            </w:r>
          </w:p>
        </w:tc>
        <w:tc>
          <w:tcPr>
            <w:tcW w:type="dxa" w:w="682"/>
          </w:tcPr>
          <w:p>
            <w:pPr>
              <w:pStyle w:val="Compact"/>
              <w:spacing w:after="0" w:before="0" w:line="240" w:lineRule="auto"/>
              <w:jc w:val="left"/>
            </w:pPr>
            <w:r>
              <w:rPr>
                <w:rFonts w:ascii="Arial" w:hAnsi="Arial"/>
                <w:sz w:val="13"/>
              </w:rPr>
              <w:t xml:space="preserve">6.23</w:t>
            </w:r>
          </w:p>
        </w:tc>
        <w:tc>
          <w:tcPr>
            <w:tcW w:type="dxa" w:w="682"/>
          </w:tcPr>
          <w:p>
            <w:pPr>
              <w:pStyle w:val="Compact"/>
              <w:spacing w:after="0" w:before="0" w:line="240" w:lineRule="auto"/>
              <w:jc w:val="left"/>
            </w:pPr>
            <w:r>
              <w:rPr>
                <w:rFonts w:ascii="Arial" w:hAnsi="Arial"/>
                <w:sz w:val="13"/>
              </w:rPr>
              <w:t xml:space="preserve">5.68</w:t>
            </w:r>
          </w:p>
        </w:tc>
        <w:tc>
          <w:tcPr>
            <w:tcW w:type="dxa" w:w="682"/>
          </w:tcPr>
          <w:p>
            <w:pPr>
              <w:pStyle w:val="Compact"/>
              <w:spacing w:after="0" w:before="0" w:line="240" w:lineRule="auto"/>
              <w:jc w:val="left"/>
            </w:pPr>
            <w:r>
              <w:rPr>
                <w:rFonts w:ascii="Arial" w:hAnsi="Arial"/>
                <w:sz w:val="13"/>
              </w:rPr>
              <w:t xml:space="preserve">5.28</w:t>
            </w:r>
          </w:p>
        </w:tc>
        <w:tc>
          <w:tcPr>
            <w:tcW w:type="dxa" w:w="682"/>
          </w:tcPr>
          <w:p>
            <w:pPr>
              <w:pStyle w:val="Compact"/>
              <w:spacing w:after="0" w:before="0" w:line="240" w:lineRule="auto"/>
              <w:jc w:val="left"/>
            </w:pPr>
            <w:r>
              <w:rPr>
                <w:bCs/>
                <w:rFonts w:ascii="Arial" w:hAnsi="Arial"/>
                <w:b/>
                <w:sz w:val="13"/>
              </w:rPr>
              <w:t xml:space="preserve">6.01</w:t>
            </w:r>
          </w:p>
        </w:tc>
        <w:tc>
          <w:tcPr>
            <w:tcW w:type="dxa" w:w="795"/>
          </w:tcPr>
          <w:p>
            <w:pPr>
              <w:pStyle w:val="Compact"/>
              <w:spacing w:after="0" w:before="0" w:line="240" w:lineRule="auto"/>
              <w:jc w:val="left"/>
            </w:pPr>
            <w:r>
              <w:rPr>
                <w:rFonts w:ascii="Arial" w:hAnsi="Arial"/>
                <w:sz w:val="13"/>
              </w:rPr>
              <w:t xml:space="preserve">+21.4%†</w:t>
            </w:r>
          </w:p>
        </w:tc>
        <w:tc>
          <w:tcPr>
            <w:tcW w:type="dxa" w:w="795"/>
          </w:tcPr>
          <w:p>
            <w:pPr>
              <w:pStyle w:val="Compact"/>
              <w:spacing w:after="0" w:before="0" w:line="240" w:lineRule="auto"/>
              <w:jc w:val="left"/>
            </w:pPr>
            <w:r>
              <w:rPr>
                <w:rFonts w:ascii="Arial" w:hAnsi="Arial"/>
                <w:sz w:val="13"/>
              </w:rPr>
              <w:t xml:space="preserve">+2.7%‡</w:t>
            </w:r>
          </w:p>
        </w:tc>
      </w:tr>
      <w:tr>
        <w:trPr>
          <w:cantSplit/>
        </w:trPr>
        <w:tc>
          <w:tcPr>
            <w:tcW w:type="dxa" w:w="1571"/>
          </w:tcPr>
          <w:p>
            <w:pPr>
              <w:pStyle w:val="Compact"/>
              <w:spacing w:after="0" w:before="0" w:line="240" w:lineRule="auto"/>
              <w:jc w:val="left"/>
            </w:pPr>
            <w:r>
              <w:rPr>
                <w:rFonts w:ascii="Arial" w:hAnsi="Arial"/>
                <w:sz w:val="13"/>
              </w:rPr>
              <w:t xml:space="preserve">MPSS 500 mg</w:t>
            </w:r>
          </w:p>
        </w:tc>
        <w:tc>
          <w:tcPr>
            <w:tcW w:type="dxa" w:w="682"/>
          </w:tcPr>
          <w:p>
            <w:pPr>
              <w:pStyle w:val="Compact"/>
              <w:spacing w:after="0" w:before="0" w:line="240" w:lineRule="auto"/>
              <w:jc w:val="left"/>
            </w:pPr>
            <w:r>
              <w:rPr>
                <w:rFonts w:ascii="Arial" w:hAnsi="Arial"/>
                <w:sz w:val="13"/>
              </w:rPr>
              <w:t xml:space="preserve">15.49</w:t>
            </w:r>
          </w:p>
        </w:tc>
        <w:tc>
          <w:tcPr>
            <w:tcW w:type="dxa" w:w="682"/>
          </w:tcPr>
          <w:p>
            <w:pPr>
              <w:pStyle w:val="Compact"/>
              <w:spacing w:after="0" w:before="0" w:line="240" w:lineRule="auto"/>
              <w:jc w:val="left"/>
            </w:pPr>
            <w:r>
              <w:rPr>
                <w:rFonts w:ascii="Arial" w:hAnsi="Arial"/>
                <w:sz w:val="13"/>
              </w:rPr>
              <w:t xml:space="preserve">26.28</w:t>
            </w:r>
          </w:p>
        </w:tc>
        <w:tc>
          <w:tcPr>
            <w:tcW w:type="dxa" w:w="682"/>
          </w:tcPr>
          <w:p>
            <w:pPr>
              <w:pStyle w:val="Compact"/>
              <w:spacing w:after="0" w:before="0" w:line="240" w:lineRule="auto"/>
              <w:jc w:val="left"/>
            </w:pPr>
            <w:r>
              <w:rPr>
                <w:rFonts w:ascii="Arial" w:hAnsi="Arial"/>
                <w:sz w:val="13"/>
              </w:rPr>
              <w:t xml:space="preserve">21.00</w:t>
            </w:r>
          </w:p>
        </w:tc>
        <w:tc>
          <w:tcPr>
            <w:tcW w:type="dxa" w:w="682"/>
          </w:tcPr>
          <w:p>
            <w:pPr>
              <w:pStyle w:val="Compact"/>
              <w:spacing w:after="0" w:before="0" w:line="240" w:lineRule="auto"/>
              <w:jc w:val="left"/>
            </w:pPr>
            <w:r>
              <w:rPr>
                <w:rFonts w:ascii="Arial" w:hAnsi="Arial"/>
                <w:sz w:val="13"/>
              </w:rPr>
              <w:t xml:space="preserve">22.20</w:t>
            </w:r>
          </w:p>
        </w:tc>
        <w:tc>
          <w:tcPr>
            <w:tcW w:type="dxa" w:w="795"/>
          </w:tcPr>
          <w:p>
            <w:pPr>
              <w:pStyle w:val="Compact"/>
              <w:spacing w:after="0" w:before="0" w:line="240" w:lineRule="auto"/>
              <w:jc w:val="left"/>
            </w:pPr>
            <w:r>
              <w:rPr>
                <w:rFonts w:ascii="Arial" w:hAnsi="Arial"/>
                <w:sz w:val="13"/>
              </w:rPr>
              <w:t xml:space="preserve">25.75*</w:t>
            </w:r>
          </w:p>
        </w:tc>
        <w:tc>
          <w:tcPr>
            <w:tcW w:type="dxa" w:w="682"/>
          </w:tcPr>
          <w:p>
            <w:pPr>
              <w:pStyle w:val="Compact"/>
              <w:spacing w:after="0" w:before="0" w:line="240" w:lineRule="auto"/>
              <w:jc w:val="left"/>
            </w:pPr>
            <w:r>
              <w:rPr>
                <w:rFonts w:ascii="Arial" w:hAnsi="Arial"/>
                <w:sz w:val="13"/>
              </w:rPr>
              <w:t xml:space="preserve">19.81</w:t>
            </w:r>
          </w:p>
        </w:tc>
        <w:tc>
          <w:tcPr>
            <w:tcW w:type="dxa" w:w="682"/>
          </w:tcPr>
          <w:p>
            <w:pPr>
              <w:pStyle w:val="Compact"/>
              <w:spacing w:after="0" w:before="0" w:line="240" w:lineRule="auto"/>
              <w:jc w:val="left"/>
            </w:pPr>
            <w:r>
              <w:rPr>
                <w:rFonts w:ascii="Arial" w:hAnsi="Arial"/>
                <w:sz w:val="13"/>
              </w:rPr>
              <w:t xml:space="preserve">24.91</w:t>
            </w:r>
          </w:p>
        </w:tc>
        <w:tc>
          <w:tcPr>
            <w:tcW w:type="dxa" w:w="682"/>
          </w:tcPr>
          <w:p>
            <w:pPr>
              <w:pStyle w:val="Compact"/>
              <w:spacing w:after="0" w:before="0" w:line="240" w:lineRule="auto"/>
              <w:jc w:val="left"/>
            </w:pPr>
            <w:r>
              <w:rPr>
                <w:rFonts w:ascii="Arial" w:hAnsi="Arial"/>
                <w:sz w:val="13"/>
              </w:rPr>
              <w:t xml:space="preserve">22.74</w:t>
            </w:r>
          </w:p>
        </w:tc>
        <w:tc>
          <w:tcPr>
            <w:tcW w:type="dxa" w:w="682"/>
          </w:tcPr>
          <w:p>
            <w:pPr>
              <w:pStyle w:val="Compact"/>
              <w:spacing w:after="0" w:before="0" w:line="240" w:lineRule="auto"/>
              <w:jc w:val="left"/>
            </w:pPr>
            <w:r>
              <w:rPr>
                <w:rFonts w:ascii="Arial" w:hAnsi="Arial"/>
                <w:sz w:val="13"/>
              </w:rPr>
              <w:t xml:space="preserve">21.13</w:t>
            </w:r>
          </w:p>
        </w:tc>
        <w:tc>
          <w:tcPr>
            <w:tcW w:type="dxa" w:w="682"/>
          </w:tcPr>
          <w:p>
            <w:pPr>
              <w:pStyle w:val="Compact"/>
              <w:spacing w:after="0" w:before="0" w:line="240" w:lineRule="auto"/>
              <w:jc w:val="left"/>
            </w:pPr>
            <w:r>
              <w:rPr>
                <w:bCs/>
                <w:rFonts w:ascii="Arial" w:hAnsi="Arial"/>
                <w:b/>
                <w:sz w:val="13"/>
              </w:rPr>
              <w:t xml:space="preserve">24.06</w:t>
            </w:r>
          </w:p>
        </w:tc>
        <w:tc>
          <w:tcPr>
            <w:tcW w:type="dxa" w:w="795"/>
          </w:tcPr>
          <w:p>
            <w:pPr>
              <w:pStyle w:val="Compact"/>
              <w:spacing w:after="0" w:before="0" w:line="240" w:lineRule="auto"/>
              <w:jc w:val="left"/>
            </w:pPr>
            <w:r>
              <w:rPr>
                <w:rFonts w:ascii="Arial" w:hAnsi="Arial"/>
                <w:sz w:val="13"/>
              </w:rPr>
              <w:t xml:space="preserve">+21.5%†</w:t>
            </w:r>
          </w:p>
        </w:tc>
        <w:tc>
          <w:tcPr>
            <w:tcW w:type="dxa" w:w="795"/>
          </w:tcPr>
          <w:p>
            <w:pPr>
              <w:pStyle w:val="Compact"/>
              <w:spacing w:after="0" w:before="0" w:line="240" w:lineRule="auto"/>
              <w:jc w:val="left"/>
            </w:pPr>
            <w:r>
              <w:rPr>
                <w:rFonts w:ascii="Arial" w:hAnsi="Arial"/>
                <w:sz w:val="13"/>
              </w:rPr>
              <w:t xml:space="preserve">+2.8%‡</w:t>
            </w:r>
          </w:p>
        </w:tc>
      </w:tr>
      <w:tr>
        <w:trPr>
          <w:cantSplit/>
        </w:trPr>
        <w:tc>
          <w:tcPr>
            <w:tcW w:type="dxa" w:w="1571"/>
          </w:tcPr>
          <w:p>
            <w:pPr>
              <w:pStyle w:val="Compact"/>
              <w:spacing w:after="0" w:before="0" w:line="240" w:lineRule="auto"/>
              <w:jc w:val="left"/>
            </w:pPr>
            <w:r>
              <w:rPr>
                <w:rFonts w:ascii="Arial" w:hAnsi="Arial"/>
                <w:sz w:val="13"/>
              </w:rPr>
              <w:t xml:space="preserve">MPSS 1 g</w:t>
            </w:r>
          </w:p>
        </w:tc>
        <w:tc>
          <w:tcPr>
            <w:tcW w:type="dxa" w:w="682"/>
          </w:tcPr>
          <w:p>
            <w:pPr>
              <w:pStyle w:val="Compact"/>
              <w:spacing w:after="0" w:before="0" w:line="240" w:lineRule="auto"/>
              <w:jc w:val="left"/>
            </w:pPr>
            <w:r>
              <w:rPr>
                <w:rFonts w:ascii="Arial" w:hAnsi="Arial"/>
                <w:sz w:val="13"/>
              </w:rPr>
              <w:t xml:space="preserve">30.98</w:t>
            </w:r>
          </w:p>
        </w:tc>
        <w:tc>
          <w:tcPr>
            <w:tcW w:type="dxa" w:w="682"/>
          </w:tcPr>
          <w:p>
            <w:pPr>
              <w:pStyle w:val="Compact"/>
              <w:spacing w:after="0" w:before="0" w:line="240" w:lineRule="auto"/>
              <w:jc w:val="left"/>
            </w:pPr>
            <w:r>
              <w:rPr>
                <w:rFonts w:ascii="Arial" w:hAnsi="Arial"/>
                <w:sz w:val="13"/>
              </w:rPr>
              <w:t xml:space="preserve">52.57</w:t>
            </w:r>
          </w:p>
        </w:tc>
        <w:tc>
          <w:tcPr>
            <w:tcW w:type="dxa" w:w="682"/>
          </w:tcPr>
          <w:p>
            <w:pPr>
              <w:pStyle w:val="Compact"/>
              <w:spacing w:after="0" w:before="0" w:line="240" w:lineRule="auto"/>
              <w:jc w:val="left"/>
            </w:pPr>
            <w:r>
              <w:rPr>
                <w:rFonts w:ascii="Arial" w:hAnsi="Arial"/>
                <w:sz w:val="13"/>
              </w:rPr>
              <w:t xml:space="preserve">42.00</w:t>
            </w:r>
          </w:p>
        </w:tc>
        <w:tc>
          <w:tcPr>
            <w:tcW w:type="dxa" w:w="682"/>
          </w:tcPr>
          <w:p>
            <w:pPr>
              <w:pStyle w:val="Compact"/>
              <w:spacing w:after="0" w:before="0" w:line="240" w:lineRule="auto"/>
              <w:jc w:val="left"/>
            </w:pPr>
            <w:r>
              <w:rPr>
                <w:rFonts w:ascii="Arial" w:hAnsi="Arial"/>
                <w:sz w:val="13"/>
              </w:rPr>
              <w:t xml:space="preserve">44.39</w:t>
            </w:r>
          </w:p>
        </w:tc>
        <w:tc>
          <w:tcPr>
            <w:tcW w:type="dxa" w:w="795"/>
          </w:tcPr>
          <w:p>
            <w:pPr>
              <w:pStyle w:val="Compact"/>
              <w:spacing w:after="0" w:before="0" w:line="240" w:lineRule="auto"/>
              <w:jc w:val="left"/>
            </w:pPr>
            <w:r>
              <w:rPr>
                <w:rFonts w:ascii="Arial" w:hAnsi="Arial"/>
                <w:sz w:val="13"/>
              </w:rPr>
              <w:t xml:space="preserve">51.51*</w:t>
            </w:r>
          </w:p>
        </w:tc>
        <w:tc>
          <w:tcPr>
            <w:tcW w:type="dxa" w:w="682"/>
          </w:tcPr>
          <w:p>
            <w:pPr>
              <w:pStyle w:val="Compact"/>
              <w:spacing w:after="0" w:before="0" w:line="240" w:lineRule="auto"/>
              <w:jc w:val="left"/>
            </w:pPr>
            <w:r>
              <w:rPr>
                <w:rFonts w:ascii="Arial" w:hAnsi="Arial"/>
                <w:sz w:val="13"/>
              </w:rPr>
              <w:t xml:space="preserve">39.62</w:t>
            </w:r>
          </w:p>
        </w:tc>
        <w:tc>
          <w:tcPr>
            <w:tcW w:type="dxa" w:w="682"/>
          </w:tcPr>
          <w:p>
            <w:pPr>
              <w:pStyle w:val="Compact"/>
              <w:spacing w:after="0" w:before="0" w:line="240" w:lineRule="auto"/>
              <w:jc w:val="left"/>
            </w:pPr>
            <w:r>
              <w:rPr>
                <w:rFonts w:ascii="Arial" w:hAnsi="Arial"/>
                <w:sz w:val="13"/>
              </w:rPr>
              <w:t xml:space="preserve">49.81</w:t>
            </w:r>
          </w:p>
        </w:tc>
        <w:tc>
          <w:tcPr>
            <w:tcW w:type="dxa" w:w="682"/>
          </w:tcPr>
          <w:p>
            <w:pPr>
              <w:pStyle w:val="Compact"/>
              <w:spacing w:after="0" w:before="0" w:line="240" w:lineRule="auto"/>
              <w:jc w:val="left"/>
            </w:pPr>
            <w:r>
              <w:rPr>
                <w:rFonts w:ascii="Arial" w:hAnsi="Arial"/>
                <w:sz w:val="13"/>
              </w:rPr>
              <w:t xml:space="preserve">45.47</w:t>
            </w:r>
          </w:p>
        </w:tc>
        <w:tc>
          <w:tcPr>
            <w:tcW w:type="dxa" w:w="682"/>
          </w:tcPr>
          <w:p>
            <w:pPr>
              <w:pStyle w:val="Compact"/>
              <w:spacing w:after="0" w:before="0" w:line="240" w:lineRule="auto"/>
              <w:jc w:val="left"/>
            </w:pPr>
            <w:r>
              <w:rPr>
                <w:rFonts w:ascii="Arial" w:hAnsi="Arial"/>
                <w:sz w:val="13"/>
              </w:rPr>
              <w:t xml:space="preserve">42.26</w:t>
            </w:r>
          </w:p>
        </w:tc>
        <w:tc>
          <w:tcPr>
            <w:tcW w:type="dxa" w:w="682"/>
          </w:tcPr>
          <w:p>
            <w:pPr>
              <w:pStyle w:val="Compact"/>
              <w:spacing w:after="0" w:before="0" w:line="240" w:lineRule="auto"/>
              <w:jc w:val="left"/>
            </w:pPr>
            <w:r>
              <w:rPr>
                <w:bCs/>
                <w:rFonts w:ascii="Arial" w:hAnsi="Arial"/>
                <w:b/>
                <w:sz w:val="13"/>
              </w:rPr>
              <w:t xml:space="preserve">48.11</w:t>
            </w:r>
          </w:p>
        </w:tc>
        <w:tc>
          <w:tcPr>
            <w:tcW w:type="dxa" w:w="795"/>
          </w:tcPr>
          <w:p>
            <w:pPr>
              <w:pStyle w:val="Compact"/>
              <w:spacing w:after="0" w:before="0" w:line="240" w:lineRule="auto"/>
              <w:jc w:val="left"/>
            </w:pPr>
            <w:r>
              <w:rPr>
                <w:rFonts w:ascii="Arial" w:hAnsi="Arial"/>
                <w:sz w:val="13"/>
              </w:rPr>
              <w:t xml:space="preserve">+21.4%†</w:t>
            </w:r>
          </w:p>
        </w:tc>
        <w:tc>
          <w:tcPr>
            <w:tcW w:type="dxa" w:w="795"/>
          </w:tcPr>
          <w:p>
            <w:pPr>
              <w:pStyle w:val="Compact"/>
              <w:spacing w:after="0" w:before="0" w:line="240" w:lineRule="auto"/>
              <w:jc w:val="left"/>
            </w:pPr>
            <w:r>
              <w:rPr>
                <w:rFonts w:ascii="Arial" w:hAnsi="Arial"/>
                <w:sz w:val="13"/>
              </w:rPr>
              <w:t xml:space="preserve">+2.8%‡</w:t>
            </w:r>
          </w:p>
        </w:tc>
      </w:tr>
      <w:tr>
        <w:trPr>
          <w:cantSplit/>
        </w:trPr>
        <w:tc>
          <w:tcPr>
            <w:tcW w:type="dxa" w:w="1571"/>
          </w:tcPr>
          <w:p>
            <w:pPr>
              <w:pStyle w:val="Compact"/>
              <w:spacing w:after="0" w:before="0" w:line="240" w:lineRule="auto"/>
              <w:jc w:val="left"/>
            </w:pPr>
            <w:r>
              <w:rPr>
                <w:rFonts w:ascii="Arial" w:hAnsi="Arial"/>
                <w:sz w:val="13"/>
              </w:rPr>
              <w:t xml:space="preserve">MPSS 2 g</w:t>
            </w:r>
          </w:p>
        </w:tc>
        <w:tc>
          <w:tcPr>
            <w:tcW w:type="dxa" w:w="682"/>
          </w:tcPr>
          <w:p>
            <w:pPr>
              <w:pStyle w:val="Compact"/>
              <w:spacing w:after="0" w:before="0" w:line="240" w:lineRule="auto"/>
              <w:jc w:val="left"/>
            </w:pPr>
            <w:r>
              <w:rPr>
                <w:rFonts w:ascii="Arial" w:hAnsi="Arial"/>
                <w:sz w:val="13"/>
              </w:rPr>
              <w:t xml:space="preserve">61.96</w:t>
            </w:r>
          </w:p>
        </w:tc>
        <w:tc>
          <w:tcPr>
            <w:tcW w:type="dxa" w:w="682"/>
          </w:tcPr>
          <w:p>
            <w:pPr>
              <w:pStyle w:val="Compact"/>
              <w:spacing w:after="0" w:before="0" w:line="240" w:lineRule="auto"/>
              <w:jc w:val="left"/>
            </w:pPr>
            <w:r>
              <w:rPr>
                <w:rFonts w:ascii="Arial" w:hAnsi="Arial"/>
                <w:sz w:val="13"/>
              </w:rPr>
              <w:t xml:space="preserve">105.13</w:t>
            </w:r>
          </w:p>
        </w:tc>
        <w:tc>
          <w:tcPr>
            <w:tcW w:type="dxa" w:w="682"/>
          </w:tcPr>
          <w:p>
            <w:pPr>
              <w:pStyle w:val="Compact"/>
              <w:spacing w:after="0" w:before="0" w:line="240" w:lineRule="auto"/>
              <w:jc w:val="left"/>
            </w:pPr>
            <w:r>
              <w:rPr>
                <w:rFonts w:ascii="Arial" w:hAnsi="Arial"/>
                <w:sz w:val="13"/>
              </w:rPr>
              <w:t xml:space="preserve">84.00</w:t>
            </w:r>
          </w:p>
        </w:tc>
        <w:tc>
          <w:tcPr>
            <w:tcW w:type="dxa" w:w="682"/>
          </w:tcPr>
          <w:p>
            <w:pPr>
              <w:pStyle w:val="Compact"/>
              <w:spacing w:after="0" w:before="0" w:line="240" w:lineRule="auto"/>
              <w:jc w:val="left"/>
            </w:pPr>
            <w:r>
              <w:rPr>
                <w:rFonts w:ascii="Arial" w:hAnsi="Arial"/>
                <w:sz w:val="13"/>
              </w:rPr>
              <w:t xml:space="preserve">88.78</w:t>
            </w:r>
          </w:p>
        </w:tc>
        <w:tc>
          <w:tcPr>
            <w:tcW w:type="dxa" w:w="795"/>
          </w:tcPr>
          <w:p>
            <w:pPr>
              <w:pStyle w:val="Compact"/>
              <w:spacing w:after="0" w:before="0" w:line="240" w:lineRule="auto"/>
              <w:jc w:val="left"/>
            </w:pPr>
            <w:r>
              <w:rPr>
                <w:rFonts w:ascii="Arial" w:hAnsi="Arial"/>
                <w:sz w:val="13"/>
              </w:rPr>
              <w:t xml:space="preserve">103.02*</w:t>
            </w:r>
          </w:p>
        </w:tc>
        <w:tc>
          <w:tcPr>
            <w:tcW w:type="dxa" w:w="682"/>
          </w:tcPr>
          <w:p>
            <w:pPr>
              <w:pStyle w:val="Compact"/>
              <w:spacing w:after="0" w:before="0" w:line="240" w:lineRule="auto"/>
              <w:jc w:val="left"/>
            </w:pPr>
            <w:r>
              <w:rPr>
                <w:rFonts w:ascii="Arial" w:hAnsi="Arial"/>
                <w:sz w:val="13"/>
              </w:rPr>
              <w:t xml:space="preserve">79.25</w:t>
            </w:r>
          </w:p>
        </w:tc>
        <w:tc>
          <w:tcPr>
            <w:tcW w:type="dxa" w:w="682"/>
          </w:tcPr>
          <w:p>
            <w:pPr>
              <w:pStyle w:val="Compact"/>
              <w:spacing w:after="0" w:before="0" w:line="240" w:lineRule="auto"/>
              <w:jc w:val="left"/>
            </w:pPr>
            <w:r>
              <w:rPr>
                <w:rFonts w:ascii="Arial" w:hAnsi="Arial"/>
                <w:sz w:val="13"/>
              </w:rPr>
              <w:t xml:space="preserve">99.62</w:t>
            </w:r>
          </w:p>
        </w:tc>
        <w:tc>
          <w:tcPr>
            <w:tcW w:type="dxa" w:w="682"/>
          </w:tcPr>
          <w:p>
            <w:pPr>
              <w:pStyle w:val="Compact"/>
              <w:spacing w:after="0" w:before="0" w:line="240" w:lineRule="auto"/>
              <w:jc w:val="left"/>
            </w:pPr>
            <w:r>
              <w:rPr>
                <w:rFonts w:ascii="Arial" w:hAnsi="Arial"/>
                <w:sz w:val="13"/>
              </w:rPr>
              <w:t xml:space="preserve">90.94</w:t>
            </w:r>
          </w:p>
        </w:tc>
        <w:tc>
          <w:tcPr>
            <w:tcW w:type="dxa" w:w="682"/>
          </w:tcPr>
          <w:p>
            <w:pPr>
              <w:pStyle w:val="Compact"/>
              <w:spacing w:after="0" w:before="0" w:line="240" w:lineRule="auto"/>
              <w:jc w:val="left"/>
            </w:pPr>
            <w:r>
              <w:rPr>
                <w:rFonts w:ascii="Arial" w:hAnsi="Arial"/>
                <w:sz w:val="13"/>
              </w:rPr>
              <w:t xml:space="preserve">84.53</w:t>
            </w:r>
          </w:p>
        </w:tc>
        <w:tc>
          <w:tcPr>
            <w:tcW w:type="dxa" w:w="682"/>
          </w:tcPr>
          <w:p>
            <w:pPr>
              <w:pStyle w:val="Compact"/>
              <w:spacing w:after="0" w:before="0" w:line="240" w:lineRule="auto"/>
              <w:jc w:val="left"/>
            </w:pPr>
            <w:r>
              <w:rPr>
                <w:bCs/>
                <w:rFonts w:ascii="Arial" w:hAnsi="Arial"/>
                <w:b/>
                <w:sz w:val="13"/>
              </w:rPr>
              <w:t xml:space="preserve">96.23</w:t>
            </w:r>
          </w:p>
        </w:tc>
        <w:tc>
          <w:tcPr>
            <w:tcW w:type="dxa" w:w="795"/>
          </w:tcPr>
          <w:p>
            <w:pPr>
              <w:pStyle w:val="Compact"/>
              <w:spacing w:after="0" w:before="0" w:line="240" w:lineRule="auto"/>
              <w:jc w:val="left"/>
            </w:pPr>
            <w:r>
              <w:rPr>
                <w:rFonts w:ascii="Arial" w:hAnsi="Arial"/>
                <w:sz w:val="13"/>
              </w:rPr>
              <w:t xml:space="preserve">+21.4%†</w:t>
            </w:r>
          </w:p>
        </w:tc>
        <w:tc>
          <w:tcPr>
            <w:tcW w:type="dxa" w:w="795"/>
          </w:tcPr>
          <w:p>
            <w:pPr>
              <w:pStyle w:val="Compact"/>
              <w:spacing w:after="0" w:before="0" w:line="240" w:lineRule="auto"/>
              <w:jc w:val="left"/>
            </w:pPr>
            <w:r>
              <w:rPr>
                <w:rFonts w:ascii="Arial" w:hAnsi="Arial"/>
                <w:sz w:val="13"/>
              </w:rPr>
              <w:t xml:space="preserve">+2.8%‡</w:t>
            </w:r>
          </w:p>
        </w:tc>
      </w:tr>
      <w:tr>
        <w:trPr>
          <w:cantSplit/>
        </w:trPr>
        <w:tc>
          <w:tcPr>
            <w:tcW w:type="dxa" w:w="1571"/>
          </w:tcPr>
          <w:p>
            <w:pPr>
              <w:pStyle w:val="Compact"/>
              <w:spacing w:after="0" w:before="0" w:line="240" w:lineRule="auto"/>
              <w:jc w:val="left"/>
            </w:pPr>
            <w:r>
              <w:rPr>
                <w:rFonts w:ascii="Arial" w:hAnsi="Arial"/>
                <w:sz w:val="13"/>
              </w:rPr>
              <w:t xml:space="preserve">HSS 100 mg</w:t>
            </w:r>
          </w:p>
        </w:tc>
        <w:tc>
          <w:tcPr>
            <w:tcW w:type="dxa" w:w="682"/>
          </w:tcPr>
          <w:p>
            <w:pPr>
              <w:pStyle w:val="Compact"/>
              <w:spacing w:after="0" w:before="0" w:line="240" w:lineRule="auto"/>
              <w:jc w:val="left"/>
            </w:pPr>
            <w:r>
              <w:rPr>
                <w:rFonts w:ascii="Arial" w:hAnsi="Arial"/>
                <w:sz w:val="13"/>
              </w:rPr>
              <w:t xml:space="preserve">7.08</w:t>
            </w:r>
          </w:p>
        </w:tc>
        <w:tc>
          <w:tcPr>
            <w:tcW w:type="dxa" w:w="682"/>
          </w:tcPr>
          <w:p>
            <w:pPr>
              <w:pStyle w:val="Compact"/>
              <w:spacing w:after="0" w:before="0" w:line="240" w:lineRule="auto"/>
              <w:jc w:val="left"/>
            </w:pPr>
            <w:r>
              <w:rPr>
                <w:rFonts w:ascii="Arial" w:hAnsi="Arial"/>
                <w:sz w:val="13"/>
              </w:rPr>
              <w:t xml:space="preserve">12.43</w:t>
            </w:r>
          </w:p>
        </w:tc>
        <w:tc>
          <w:tcPr>
            <w:tcW w:type="dxa" w:w="682"/>
          </w:tcPr>
          <w:p>
            <w:pPr>
              <w:pStyle w:val="Compact"/>
              <w:spacing w:after="0" w:before="0" w:line="240" w:lineRule="auto"/>
              <w:jc w:val="left"/>
            </w:pPr>
            <w:r>
              <w:rPr>
                <w:rFonts w:ascii="Arial" w:hAnsi="Arial"/>
                <w:sz w:val="13"/>
              </w:rPr>
              <w:t xml:space="preserve">13.97</w:t>
            </w:r>
          </w:p>
        </w:tc>
        <w:tc>
          <w:tcPr>
            <w:tcW w:type="dxa" w:w="682"/>
          </w:tcPr>
          <w:p>
            <w:pPr>
              <w:pStyle w:val="Compact"/>
              <w:spacing w:after="0" w:before="0" w:line="240" w:lineRule="auto"/>
              <w:jc w:val="left"/>
            </w:pPr>
            <w:r>
              <w:rPr>
                <w:rFonts w:ascii="Arial" w:hAnsi="Arial"/>
                <w:sz w:val="13"/>
              </w:rPr>
              <w:t xml:space="preserve">16.83</w:t>
            </w:r>
          </w:p>
        </w:tc>
        <w:tc>
          <w:tcPr>
            <w:tcW w:type="dxa" w:w="795"/>
          </w:tcPr>
          <w:p>
            <w:pPr>
              <w:pStyle w:val="Compact"/>
              <w:spacing w:after="0" w:before="0" w:line="240" w:lineRule="auto"/>
              <w:jc w:val="left"/>
            </w:pPr>
            <w:r>
              <w:rPr>
                <w:rFonts w:ascii="Arial" w:hAnsi="Arial"/>
                <w:sz w:val="13"/>
              </w:rPr>
              <w:t xml:space="preserve">17.41</w:t>
            </w:r>
          </w:p>
        </w:tc>
        <w:tc>
          <w:tcPr>
            <w:tcW w:type="dxa" w:w="682"/>
          </w:tcPr>
          <w:p>
            <w:pPr>
              <w:pStyle w:val="Compact"/>
              <w:spacing w:after="0" w:before="0" w:line="240" w:lineRule="auto"/>
              <w:jc w:val="left"/>
            </w:pPr>
            <w:r>
              <w:rPr>
                <w:rFonts w:ascii="Arial" w:hAnsi="Arial"/>
                <w:sz w:val="13"/>
              </w:rPr>
              <w:t xml:space="preserve">20.11</w:t>
            </w:r>
          </w:p>
        </w:tc>
        <w:tc>
          <w:tcPr>
            <w:tcW w:type="dxa" w:w="682"/>
          </w:tcPr>
          <w:p>
            <w:pPr>
              <w:pStyle w:val="Compact"/>
              <w:spacing w:after="0" w:before="0" w:line="240" w:lineRule="auto"/>
              <w:jc w:val="left"/>
            </w:pPr>
            <w:r>
              <w:rPr>
                <w:rFonts w:ascii="Arial" w:hAnsi="Arial"/>
                <w:sz w:val="13"/>
              </w:rPr>
              <w:t xml:space="preserve">20.81</w:t>
            </w:r>
          </w:p>
        </w:tc>
        <w:tc>
          <w:tcPr>
            <w:tcW w:type="dxa" w:w="682"/>
          </w:tcPr>
          <w:p>
            <w:pPr>
              <w:pStyle w:val="Compact"/>
              <w:spacing w:after="0" w:before="0" w:line="240" w:lineRule="auto"/>
              <w:jc w:val="left"/>
            </w:pPr>
            <w:r>
              <w:rPr>
                <w:rFonts w:ascii="Arial" w:hAnsi="Arial"/>
                <w:sz w:val="13"/>
              </w:rPr>
              <w:t xml:space="preserve">20.89</w:t>
            </w:r>
          </w:p>
        </w:tc>
        <w:tc>
          <w:tcPr>
            <w:tcW w:type="dxa" w:w="682"/>
          </w:tcPr>
          <w:p>
            <w:pPr>
              <w:pStyle w:val="Compact"/>
              <w:spacing w:after="0" w:before="0" w:line="240" w:lineRule="auto"/>
              <w:jc w:val="left"/>
            </w:pPr>
            <w:r>
              <w:rPr>
                <w:rFonts w:ascii="Arial" w:hAnsi="Arial"/>
                <w:sz w:val="13"/>
              </w:rPr>
              <w:t xml:space="preserve">21.75</w:t>
            </w:r>
          </w:p>
        </w:tc>
        <w:tc>
          <w:tcPr>
            <w:tcW w:type="dxa" w:w="682"/>
          </w:tcPr>
          <w:p>
            <w:pPr>
              <w:pStyle w:val="Compact"/>
              <w:spacing w:after="0" w:before="0" w:line="240" w:lineRule="auto"/>
              <w:jc w:val="left"/>
            </w:pPr>
            <w:r>
              <w:rPr>
                <w:bCs/>
                <w:rFonts w:ascii="Arial" w:hAnsi="Arial"/>
                <w:b/>
                <w:sz w:val="13"/>
              </w:rPr>
              <w:t xml:space="preserve">21.84</w:t>
            </w:r>
          </w:p>
        </w:tc>
        <w:tc>
          <w:tcPr>
            <w:tcW w:type="dxa" w:w="795"/>
          </w:tcPr>
          <w:p>
            <w:pPr>
              <w:pStyle w:val="Compact"/>
              <w:spacing w:after="0" w:before="0" w:line="240" w:lineRule="auto"/>
              <w:jc w:val="left"/>
            </w:pPr>
            <w:r>
              <w:rPr>
                <w:rFonts w:ascii="Arial" w:hAnsi="Arial"/>
                <w:sz w:val="13"/>
              </w:rPr>
              <w:t xml:space="preserve">+8.6%</w:t>
            </w:r>
          </w:p>
        </w:tc>
        <w:tc>
          <w:tcPr>
            <w:tcW w:type="dxa" w:w="795"/>
          </w:tcPr>
          <w:p>
            <w:pPr>
              <w:pStyle w:val="Compact"/>
              <w:spacing w:after="0" w:before="0" w:line="240" w:lineRule="auto"/>
              <w:jc w:val="left"/>
            </w:pPr>
            <w:r>
              <w:rPr>
                <w:rFonts w:ascii="Arial" w:hAnsi="Arial"/>
                <w:sz w:val="13"/>
              </w:rPr>
              <w:t xml:space="preserve">+9.3%</w:t>
            </w:r>
          </w:p>
        </w:tc>
      </w:tr>
      <w:tr>
        <w:trPr>
          <w:cantSplit/>
        </w:trPr>
        <w:tc>
          <w:tcPr>
            <w:tcW w:type="dxa" w:w="1571"/>
          </w:tcPr>
          <w:p>
            <w:pPr>
              <w:pStyle w:val="Compact"/>
              <w:spacing w:after="0" w:before="0" w:line="240" w:lineRule="auto"/>
              <w:jc w:val="left"/>
            </w:pPr>
            <w:r>
              <w:rPr>
                <w:rFonts w:ascii="Arial" w:hAnsi="Arial"/>
                <w:sz w:val="13"/>
              </w:rPr>
              <w:t xml:space="preserve">HSS 250 mg (2.5 units)</w:t>
            </w:r>
          </w:p>
        </w:tc>
        <w:tc>
          <w:tcPr>
            <w:tcW w:type="dxa" w:w="682"/>
          </w:tcPr>
          <w:p>
            <w:pPr>
              <w:pStyle w:val="Compact"/>
              <w:spacing w:after="0" w:before="0" w:line="240" w:lineRule="auto"/>
              <w:jc w:val="left"/>
            </w:pPr>
            <w:r>
              <w:rPr>
                <w:rFonts w:ascii="Arial" w:hAnsi="Arial"/>
                <w:sz w:val="13"/>
              </w:rPr>
              <w:t xml:space="preserve">17.69</w:t>
            </w:r>
          </w:p>
        </w:tc>
        <w:tc>
          <w:tcPr>
            <w:tcW w:type="dxa" w:w="682"/>
          </w:tcPr>
          <w:p>
            <w:pPr>
              <w:pStyle w:val="Compact"/>
              <w:spacing w:after="0" w:before="0" w:line="240" w:lineRule="auto"/>
              <w:jc w:val="left"/>
            </w:pPr>
            <w:r>
              <w:rPr>
                <w:rFonts w:ascii="Arial" w:hAnsi="Arial"/>
                <w:sz w:val="13"/>
              </w:rPr>
              <w:t xml:space="preserve">31.08</w:t>
            </w:r>
          </w:p>
        </w:tc>
        <w:tc>
          <w:tcPr>
            <w:tcW w:type="dxa" w:w="682"/>
          </w:tcPr>
          <w:p>
            <w:pPr>
              <w:pStyle w:val="Compact"/>
              <w:spacing w:after="0" w:before="0" w:line="240" w:lineRule="auto"/>
              <w:jc w:val="left"/>
            </w:pPr>
            <w:r>
              <w:rPr>
                <w:rFonts w:ascii="Arial" w:hAnsi="Arial"/>
                <w:sz w:val="13"/>
              </w:rPr>
              <w:t xml:space="preserve">34.93</w:t>
            </w:r>
          </w:p>
        </w:tc>
        <w:tc>
          <w:tcPr>
            <w:tcW w:type="dxa" w:w="682"/>
          </w:tcPr>
          <w:p>
            <w:pPr>
              <w:pStyle w:val="Compact"/>
              <w:spacing w:after="0" w:before="0" w:line="240" w:lineRule="auto"/>
              <w:jc w:val="left"/>
            </w:pPr>
            <w:r>
              <w:rPr>
                <w:rFonts w:ascii="Arial" w:hAnsi="Arial"/>
                <w:sz w:val="13"/>
              </w:rPr>
              <w:t xml:space="preserve">42.09</w:t>
            </w:r>
          </w:p>
        </w:tc>
        <w:tc>
          <w:tcPr>
            <w:tcW w:type="dxa" w:w="795"/>
          </w:tcPr>
          <w:p>
            <w:pPr>
              <w:pStyle w:val="Compact"/>
              <w:spacing w:after="0" w:before="0" w:line="240" w:lineRule="auto"/>
              <w:jc w:val="left"/>
            </w:pPr>
            <w:r>
              <w:rPr>
                <w:rFonts w:ascii="Arial" w:hAnsi="Arial"/>
                <w:sz w:val="13"/>
              </w:rPr>
              <w:t xml:space="preserve">43.54</w:t>
            </w:r>
          </w:p>
        </w:tc>
        <w:tc>
          <w:tcPr>
            <w:tcW w:type="dxa" w:w="682"/>
          </w:tcPr>
          <w:p>
            <w:pPr>
              <w:pStyle w:val="Compact"/>
              <w:spacing w:after="0" w:before="0" w:line="240" w:lineRule="auto"/>
              <w:jc w:val="left"/>
            </w:pPr>
            <w:r>
              <w:rPr>
                <w:rFonts w:ascii="Arial" w:hAnsi="Arial"/>
                <w:sz w:val="13"/>
              </w:rPr>
              <w:t xml:space="preserve">50.26</w:t>
            </w:r>
          </w:p>
        </w:tc>
        <w:tc>
          <w:tcPr>
            <w:tcW w:type="dxa" w:w="682"/>
          </w:tcPr>
          <w:p>
            <w:pPr>
              <w:pStyle w:val="Compact"/>
              <w:spacing w:after="0" w:before="0" w:line="240" w:lineRule="auto"/>
              <w:jc w:val="left"/>
            </w:pPr>
            <w:r>
              <w:rPr>
                <w:rFonts w:ascii="Arial" w:hAnsi="Arial"/>
                <w:sz w:val="13"/>
              </w:rPr>
              <w:t xml:space="preserve">52.03</w:t>
            </w:r>
          </w:p>
        </w:tc>
        <w:tc>
          <w:tcPr>
            <w:tcW w:type="dxa" w:w="682"/>
          </w:tcPr>
          <w:p>
            <w:pPr>
              <w:pStyle w:val="Compact"/>
              <w:spacing w:after="0" w:before="0" w:line="240" w:lineRule="auto"/>
              <w:jc w:val="left"/>
            </w:pPr>
            <w:r>
              <w:rPr>
                <w:rFonts w:ascii="Arial" w:hAnsi="Arial"/>
                <w:sz w:val="13"/>
              </w:rPr>
              <w:t xml:space="preserve">52.22</w:t>
            </w:r>
          </w:p>
        </w:tc>
        <w:tc>
          <w:tcPr>
            <w:tcW w:type="dxa" w:w="682"/>
          </w:tcPr>
          <w:p>
            <w:pPr>
              <w:pStyle w:val="Compact"/>
              <w:spacing w:after="0" w:before="0" w:line="240" w:lineRule="auto"/>
              <w:jc w:val="left"/>
            </w:pPr>
            <w:r>
              <w:rPr>
                <w:rFonts w:ascii="Arial" w:hAnsi="Arial"/>
                <w:sz w:val="13"/>
              </w:rPr>
              <w:t xml:space="preserve">54.38</w:t>
            </w:r>
          </w:p>
        </w:tc>
        <w:tc>
          <w:tcPr>
            <w:tcW w:type="dxa" w:w="682"/>
          </w:tcPr>
          <w:p>
            <w:pPr>
              <w:pStyle w:val="Compact"/>
              <w:spacing w:after="0" w:before="0" w:line="240" w:lineRule="auto"/>
              <w:jc w:val="left"/>
            </w:pPr>
            <w:r>
              <w:rPr>
                <w:bCs/>
                <w:rFonts w:ascii="Arial" w:hAnsi="Arial"/>
                <w:b/>
                <w:sz w:val="13"/>
              </w:rPr>
              <w:t xml:space="preserve">54.60</w:t>
            </w:r>
          </w:p>
        </w:tc>
        <w:tc>
          <w:tcPr>
            <w:tcW w:type="dxa" w:w="795"/>
          </w:tcPr>
          <w:p>
            <w:pPr>
              <w:pStyle w:val="Compact"/>
              <w:spacing w:after="0" w:before="0" w:line="240" w:lineRule="auto"/>
              <w:jc w:val="left"/>
            </w:pPr>
            <w:r>
              <w:rPr>
                <w:rFonts w:ascii="Arial" w:hAnsi="Arial"/>
                <w:sz w:val="13"/>
              </w:rPr>
              <w:t xml:space="preserve">+8.6%</w:t>
            </w:r>
          </w:p>
        </w:tc>
        <w:tc>
          <w:tcPr>
            <w:tcW w:type="dxa" w:w="795"/>
          </w:tcPr>
          <w:p>
            <w:pPr>
              <w:pStyle w:val="Compact"/>
              <w:spacing w:after="0" w:before="0" w:line="240" w:lineRule="auto"/>
              <w:jc w:val="left"/>
            </w:pPr>
            <w:r>
              <w:rPr>
                <w:rFonts w:ascii="Arial" w:hAnsi="Arial"/>
                <w:sz w:val="13"/>
              </w:rPr>
              <w:t xml:space="preserve">+9.3%</w:t>
            </w:r>
          </w:p>
        </w:tc>
      </w:tr>
      <w:tr>
        <w:trPr>
          <w:cantSplit/>
        </w:trPr>
        <w:tc>
          <w:tcPr>
            <w:tcW w:type="dxa" w:w="1571"/>
          </w:tcPr>
          <w:p>
            <w:pPr>
              <w:pStyle w:val="Compact"/>
              <w:spacing w:after="0" w:before="0" w:line="240" w:lineRule="auto"/>
              <w:jc w:val="left"/>
            </w:pPr>
            <w:r>
              <w:rPr>
                <w:rFonts w:ascii="Arial" w:hAnsi="Arial"/>
                <w:sz w:val="13"/>
              </w:rPr>
              <w:t xml:space="preserve">HSS 250 mg (3 units, Oct 2026 rule)</w:t>
            </w:r>
          </w:p>
        </w:tc>
        <w:tc>
          <w:tcPr>
            <w:tcW w:type="dxa" w:w="682"/>
          </w:tcPr>
          <w:p>
            <w:pPr>
              <w:pStyle w:val="Compact"/>
              <w:spacing w:after="0" w:before="0" w:line="240" w:lineRule="auto"/>
              <w:jc w:val="left"/>
            </w:pPr>
            <w:r>
              <w:rPr>
                <w:rFonts w:ascii="Arial" w:hAnsi="Arial"/>
                <w:sz w:val="13"/>
              </w:rPr>
              <w:t xml:space="preserve">21.23</w:t>
            </w:r>
          </w:p>
        </w:tc>
        <w:tc>
          <w:tcPr>
            <w:tcW w:type="dxa" w:w="682"/>
          </w:tcPr>
          <w:p>
            <w:pPr>
              <w:pStyle w:val="Compact"/>
              <w:spacing w:after="0" w:before="0" w:line="240" w:lineRule="auto"/>
              <w:jc w:val="left"/>
            </w:pPr>
            <w:r>
              <w:rPr>
                <w:rFonts w:ascii="Arial" w:hAnsi="Arial"/>
                <w:sz w:val="13"/>
              </w:rPr>
              <w:t xml:space="preserve">37.29</w:t>
            </w:r>
          </w:p>
        </w:tc>
        <w:tc>
          <w:tcPr>
            <w:tcW w:type="dxa" w:w="682"/>
          </w:tcPr>
          <w:p>
            <w:pPr>
              <w:pStyle w:val="Compact"/>
              <w:spacing w:after="0" w:before="0" w:line="240" w:lineRule="auto"/>
              <w:jc w:val="left"/>
            </w:pPr>
            <w:r>
              <w:rPr>
                <w:rFonts w:ascii="Arial" w:hAnsi="Arial"/>
                <w:sz w:val="13"/>
              </w:rPr>
              <w:t xml:space="preserve">41.92</w:t>
            </w:r>
          </w:p>
        </w:tc>
        <w:tc>
          <w:tcPr>
            <w:tcW w:type="dxa" w:w="682"/>
          </w:tcPr>
          <w:p>
            <w:pPr>
              <w:pStyle w:val="Compact"/>
              <w:spacing w:after="0" w:before="0" w:line="240" w:lineRule="auto"/>
              <w:jc w:val="left"/>
            </w:pPr>
            <w:r>
              <w:rPr>
                <w:rFonts w:ascii="Arial" w:hAnsi="Arial"/>
                <w:sz w:val="13"/>
              </w:rPr>
              <w:t xml:space="preserve">50.50</w:t>
            </w:r>
          </w:p>
        </w:tc>
        <w:tc>
          <w:tcPr>
            <w:tcW w:type="dxa" w:w="795"/>
          </w:tcPr>
          <w:p>
            <w:pPr>
              <w:pStyle w:val="Compact"/>
              <w:spacing w:after="0" w:before="0" w:line="240" w:lineRule="auto"/>
              <w:jc w:val="left"/>
            </w:pPr>
            <w:r>
              <w:rPr>
                <w:rFonts w:ascii="Arial" w:hAnsi="Arial"/>
                <w:sz w:val="13"/>
              </w:rPr>
              <w:t xml:space="preserve">52.24</w:t>
            </w:r>
          </w:p>
        </w:tc>
        <w:tc>
          <w:tcPr>
            <w:tcW w:type="dxa" w:w="682"/>
          </w:tcPr>
          <w:p>
            <w:pPr>
              <w:pStyle w:val="Compact"/>
              <w:spacing w:after="0" w:before="0" w:line="240" w:lineRule="auto"/>
              <w:jc w:val="left"/>
            </w:pPr>
            <w:r>
              <w:rPr>
                <w:rFonts w:ascii="Arial" w:hAnsi="Arial"/>
                <w:sz w:val="13"/>
              </w:rPr>
              <w:t xml:space="preserve">60.32</w:t>
            </w:r>
          </w:p>
        </w:tc>
        <w:tc>
          <w:tcPr>
            <w:tcW w:type="dxa" w:w="682"/>
          </w:tcPr>
          <w:p>
            <w:pPr>
              <w:pStyle w:val="Compact"/>
              <w:spacing w:after="0" w:before="0" w:line="240" w:lineRule="auto"/>
              <w:jc w:val="left"/>
            </w:pPr>
            <w:r>
              <w:rPr>
                <w:rFonts w:ascii="Arial" w:hAnsi="Arial"/>
                <w:sz w:val="13"/>
              </w:rPr>
              <w:t xml:space="preserve">62.44</w:t>
            </w:r>
          </w:p>
        </w:tc>
        <w:tc>
          <w:tcPr>
            <w:tcW w:type="dxa" w:w="682"/>
          </w:tcPr>
          <w:p>
            <w:pPr>
              <w:pStyle w:val="Compact"/>
              <w:spacing w:after="0" w:before="0" w:line="240" w:lineRule="auto"/>
              <w:jc w:val="left"/>
            </w:pPr>
            <w:r>
              <w:rPr>
                <w:rFonts w:ascii="Arial" w:hAnsi="Arial"/>
                <w:sz w:val="13"/>
              </w:rPr>
              <w:t xml:space="preserve">62.66</w:t>
            </w:r>
          </w:p>
        </w:tc>
        <w:tc>
          <w:tcPr>
            <w:tcW w:type="dxa" w:w="682"/>
          </w:tcPr>
          <w:p>
            <w:pPr>
              <w:pStyle w:val="Compact"/>
              <w:spacing w:after="0" w:before="0" w:line="240" w:lineRule="auto"/>
              <w:jc w:val="left"/>
            </w:pPr>
            <w:r>
              <w:rPr>
                <w:rFonts w:ascii="Arial" w:hAnsi="Arial"/>
                <w:sz w:val="13"/>
              </w:rPr>
              <w:t xml:space="preserve">65.25</w:t>
            </w:r>
          </w:p>
        </w:tc>
        <w:tc>
          <w:tcPr>
            <w:tcW w:type="dxa" w:w="682"/>
          </w:tcPr>
          <w:p>
            <w:pPr>
              <w:pStyle w:val="Compact"/>
              <w:spacing w:after="0" w:before="0" w:line="240" w:lineRule="auto"/>
              <w:jc w:val="left"/>
            </w:pPr>
            <w:r>
              <w:rPr>
                <w:bCs/>
                <w:rFonts w:ascii="Arial" w:hAnsi="Arial"/>
                <w:b/>
                <w:sz w:val="13"/>
              </w:rPr>
              <w:t xml:space="preserve">65.52</w:t>
            </w:r>
          </w:p>
        </w:tc>
        <w:tc>
          <w:tcPr>
            <w:tcW w:type="dxa" w:w="795"/>
          </w:tcPr>
          <w:p>
            <w:pPr>
              <w:pStyle w:val="Compact"/>
              <w:spacing w:after="0" w:before="0" w:line="240" w:lineRule="auto"/>
              <w:jc w:val="left"/>
            </w:pPr>
            <w:r>
              <w:rPr>
                <w:rFonts w:ascii="Arial" w:hAnsi="Arial"/>
                <w:sz w:val="13"/>
              </w:rPr>
              <w:t xml:space="preserve">+8.6%</w:t>
            </w:r>
          </w:p>
        </w:tc>
        <w:tc>
          <w:tcPr>
            <w:tcW w:type="dxa" w:w="795"/>
          </w:tcPr>
          <w:p>
            <w:pPr>
              <w:pStyle w:val="Compact"/>
              <w:spacing w:after="0" w:before="0" w:line="240" w:lineRule="auto"/>
              <w:jc w:val="left"/>
            </w:pPr>
            <w:r>
              <w:rPr>
                <w:rFonts w:ascii="Arial" w:hAnsi="Arial"/>
                <w:sz w:val="13"/>
              </w:rPr>
              <w:t xml:space="preserve">+9.3%</w:t>
            </w:r>
          </w:p>
        </w:tc>
      </w:tr>
      <w:tr>
        <w:trPr>
          <w:cantSplit/>
        </w:trPr>
        <w:tc>
          <w:tcPr>
            <w:tcW w:type="dxa" w:w="1571"/>
          </w:tcPr>
          <w:p>
            <w:pPr>
              <w:pStyle w:val="Compact"/>
              <w:spacing w:after="0" w:before="0" w:line="240" w:lineRule="auto"/>
              <w:jc w:val="left"/>
            </w:pPr>
            <w:r>
              <w:rPr>
                <w:rFonts w:ascii="Arial" w:hAnsi="Arial"/>
                <w:sz w:val="13"/>
              </w:rPr>
              <w:t xml:space="preserve">HSS 500 mg</w:t>
            </w:r>
          </w:p>
        </w:tc>
        <w:tc>
          <w:tcPr>
            <w:tcW w:type="dxa" w:w="682"/>
          </w:tcPr>
          <w:p>
            <w:pPr>
              <w:pStyle w:val="Compact"/>
              <w:spacing w:after="0" w:before="0" w:line="240" w:lineRule="auto"/>
              <w:jc w:val="left"/>
            </w:pPr>
            <w:r>
              <w:rPr>
                <w:rFonts w:ascii="Arial" w:hAnsi="Arial"/>
                <w:sz w:val="13"/>
              </w:rPr>
              <w:t xml:space="preserve">35.39</w:t>
            </w:r>
          </w:p>
        </w:tc>
        <w:tc>
          <w:tcPr>
            <w:tcW w:type="dxa" w:w="682"/>
          </w:tcPr>
          <w:p>
            <w:pPr>
              <w:pStyle w:val="Compact"/>
              <w:spacing w:after="0" w:before="0" w:line="240" w:lineRule="auto"/>
              <w:jc w:val="left"/>
            </w:pPr>
            <w:r>
              <w:rPr>
                <w:rFonts w:ascii="Arial" w:hAnsi="Arial"/>
                <w:sz w:val="13"/>
              </w:rPr>
              <w:t xml:space="preserve">62.16</w:t>
            </w:r>
          </w:p>
        </w:tc>
        <w:tc>
          <w:tcPr>
            <w:tcW w:type="dxa" w:w="682"/>
          </w:tcPr>
          <w:p>
            <w:pPr>
              <w:pStyle w:val="Compact"/>
              <w:spacing w:after="0" w:before="0" w:line="240" w:lineRule="auto"/>
              <w:jc w:val="left"/>
            </w:pPr>
            <w:r>
              <w:rPr>
                <w:rFonts w:ascii="Arial" w:hAnsi="Arial"/>
                <w:sz w:val="13"/>
              </w:rPr>
              <w:t xml:space="preserve">69.86</w:t>
            </w:r>
          </w:p>
        </w:tc>
        <w:tc>
          <w:tcPr>
            <w:tcW w:type="dxa" w:w="682"/>
          </w:tcPr>
          <w:p>
            <w:pPr>
              <w:pStyle w:val="Compact"/>
              <w:spacing w:after="0" w:before="0" w:line="240" w:lineRule="auto"/>
              <w:jc w:val="left"/>
            </w:pPr>
            <w:r>
              <w:rPr>
                <w:rFonts w:ascii="Arial" w:hAnsi="Arial"/>
                <w:sz w:val="13"/>
              </w:rPr>
              <w:t xml:space="preserve">84.17</w:t>
            </w:r>
          </w:p>
        </w:tc>
        <w:tc>
          <w:tcPr>
            <w:tcW w:type="dxa" w:w="795"/>
          </w:tcPr>
          <w:p>
            <w:pPr>
              <w:pStyle w:val="Compact"/>
              <w:spacing w:after="0" w:before="0" w:line="240" w:lineRule="auto"/>
              <w:jc w:val="left"/>
            </w:pPr>
            <w:r>
              <w:rPr>
                <w:rFonts w:ascii="Arial" w:hAnsi="Arial"/>
                <w:sz w:val="13"/>
              </w:rPr>
              <w:t xml:space="preserve">87.07</w:t>
            </w:r>
          </w:p>
        </w:tc>
        <w:tc>
          <w:tcPr>
            <w:tcW w:type="dxa" w:w="682"/>
          </w:tcPr>
          <w:p>
            <w:pPr>
              <w:pStyle w:val="Compact"/>
              <w:spacing w:after="0" w:before="0" w:line="240" w:lineRule="auto"/>
              <w:jc w:val="left"/>
            </w:pPr>
            <w:r>
              <w:rPr>
                <w:rFonts w:ascii="Arial" w:hAnsi="Arial"/>
                <w:sz w:val="13"/>
              </w:rPr>
              <w:t xml:space="preserve">100.53</w:t>
            </w:r>
          </w:p>
        </w:tc>
        <w:tc>
          <w:tcPr>
            <w:tcW w:type="dxa" w:w="682"/>
          </w:tcPr>
          <w:p>
            <w:pPr>
              <w:pStyle w:val="Compact"/>
              <w:spacing w:after="0" w:before="0" w:line="240" w:lineRule="auto"/>
              <w:jc w:val="left"/>
            </w:pPr>
            <w:r>
              <w:rPr>
                <w:rFonts w:ascii="Arial" w:hAnsi="Arial"/>
                <w:sz w:val="13"/>
              </w:rPr>
              <w:t xml:space="preserve">104.06</w:t>
            </w:r>
          </w:p>
        </w:tc>
        <w:tc>
          <w:tcPr>
            <w:tcW w:type="dxa" w:w="682"/>
          </w:tcPr>
          <w:p>
            <w:pPr>
              <w:pStyle w:val="Compact"/>
              <w:spacing w:after="0" w:before="0" w:line="240" w:lineRule="auto"/>
              <w:jc w:val="left"/>
            </w:pPr>
            <w:r>
              <w:rPr>
                <w:rFonts w:ascii="Arial" w:hAnsi="Arial"/>
                <w:sz w:val="13"/>
              </w:rPr>
              <w:t xml:space="preserve">104.44</w:t>
            </w:r>
          </w:p>
        </w:tc>
        <w:tc>
          <w:tcPr>
            <w:tcW w:type="dxa" w:w="682"/>
          </w:tcPr>
          <w:p>
            <w:pPr>
              <w:pStyle w:val="Compact"/>
              <w:spacing w:after="0" w:before="0" w:line="240" w:lineRule="auto"/>
              <w:jc w:val="left"/>
            </w:pPr>
            <w:r>
              <w:rPr>
                <w:rFonts w:ascii="Arial" w:hAnsi="Arial"/>
                <w:sz w:val="13"/>
              </w:rPr>
              <w:t xml:space="preserve">108.75</w:t>
            </w:r>
          </w:p>
        </w:tc>
        <w:tc>
          <w:tcPr>
            <w:tcW w:type="dxa" w:w="682"/>
          </w:tcPr>
          <w:p>
            <w:pPr>
              <w:pStyle w:val="Compact"/>
              <w:spacing w:after="0" w:before="0" w:line="240" w:lineRule="auto"/>
              <w:jc w:val="left"/>
            </w:pPr>
            <w:r>
              <w:rPr>
                <w:bCs/>
                <w:rFonts w:ascii="Arial" w:hAnsi="Arial"/>
                <w:b/>
                <w:sz w:val="13"/>
              </w:rPr>
              <w:t xml:space="preserve">109.19</w:t>
            </w:r>
          </w:p>
        </w:tc>
        <w:tc>
          <w:tcPr>
            <w:tcW w:type="dxa" w:w="795"/>
          </w:tcPr>
          <w:p>
            <w:pPr>
              <w:pStyle w:val="Compact"/>
              <w:spacing w:after="0" w:before="0" w:line="240" w:lineRule="auto"/>
              <w:jc w:val="left"/>
            </w:pPr>
            <w:r>
              <w:rPr>
                <w:rFonts w:ascii="Arial" w:hAnsi="Arial"/>
                <w:sz w:val="13"/>
              </w:rPr>
              <w:t xml:space="preserve">+8.6%</w:t>
            </w:r>
          </w:p>
        </w:tc>
        <w:tc>
          <w:tcPr>
            <w:tcW w:type="dxa" w:w="795"/>
          </w:tcPr>
          <w:p>
            <w:pPr>
              <w:pStyle w:val="Compact"/>
              <w:spacing w:after="0" w:before="0" w:line="240" w:lineRule="auto"/>
              <w:jc w:val="left"/>
            </w:pPr>
            <w:r>
              <w:rPr>
                <w:rFonts w:ascii="Arial" w:hAnsi="Arial"/>
                <w:sz w:val="13"/>
              </w:rPr>
              <w:t xml:space="preserve">+9.3%</w:t>
            </w:r>
          </w:p>
        </w:tc>
      </w:tr>
      <w:tr>
        <w:trPr>
          <w:cantSplit/>
        </w:trPr>
        <w:tc>
          <w:tcPr>
            <w:tcW w:type="dxa" w:w="1571"/>
          </w:tcPr>
          <w:p>
            <w:pPr>
              <w:pStyle w:val="Compact"/>
              <w:spacing w:after="0" w:before="0" w:line="240" w:lineRule="auto"/>
              <w:jc w:val="left"/>
            </w:pPr>
            <w:r>
              <w:rPr>
                <w:rFonts w:ascii="Arial" w:hAnsi="Arial"/>
                <w:sz w:val="13"/>
              </w:rPr>
              <w:t xml:space="preserve">HSS 1 g</w:t>
            </w:r>
          </w:p>
        </w:tc>
        <w:tc>
          <w:tcPr>
            <w:tcW w:type="dxa" w:w="682"/>
          </w:tcPr>
          <w:p>
            <w:pPr>
              <w:pStyle w:val="Compact"/>
              <w:spacing w:after="0" w:before="0" w:line="240" w:lineRule="auto"/>
              <w:jc w:val="left"/>
            </w:pPr>
            <w:r>
              <w:rPr>
                <w:rFonts w:ascii="Arial" w:hAnsi="Arial"/>
                <w:sz w:val="13"/>
              </w:rPr>
              <w:t xml:space="preserve">70.77</w:t>
            </w:r>
          </w:p>
        </w:tc>
        <w:tc>
          <w:tcPr>
            <w:tcW w:type="dxa" w:w="682"/>
          </w:tcPr>
          <w:p>
            <w:pPr>
              <w:pStyle w:val="Compact"/>
              <w:spacing w:after="0" w:before="0" w:line="240" w:lineRule="auto"/>
              <w:jc w:val="left"/>
            </w:pPr>
            <w:r>
              <w:rPr>
                <w:rFonts w:ascii="Arial" w:hAnsi="Arial"/>
                <w:sz w:val="13"/>
              </w:rPr>
              <w:t xml:space="preserve">124.31</w:t>
            </w:r>
          </w:p>
        </w:tc>
        <w:tc>
          <w:tcPr>
            <w:tcW w:type="dxa" w:w="682"/>
          </w:tcPr>
          <w:p>
            <w:pPr>
              <w:pStyle w:val="Compact"/>
              <w:spacing w:after="0" w:before="0" w:line="240" w:lineRule="auto"/>
              <w:jc w:val="left"/>
            </w:pPr>
            <w:r>
              <w:rPr>
                <w:rFonts w:ascii="Arial" w:hAnsi="Arial"/>
                <w:sz w:val="13"/>
              </w:rPr>
              <w:t xml:space="preserve">139.73</w:t>
            </w:r>
          </w:p>
        </w:tc>
        <w:tc>
          <w:tcPr>
            <w:tcW w:type="dxa" w:w="682"/>
          </w:tcPr>
          <w:p>
            <w:pPr>
              <w:pStyle w:val="Compact"/>
              <w:spacing w:after="0" w:before="0" w:line="240" w:lineRule="auto"/>
              <w:jc w:val="left"/>
            </w:pPr>
            <w:r>
              <w:rPr>
                <w:rFonts w:ascii="Arial" w:hAnsi="Arial"/>
                <w:sz w:val="13"/>
              </w:rPr>
              <w:t xml:space="preserve">168.35</w:t>
            </w:r>
          </w:p>
        </w:tc>
        <w:tc>
          <w:tcPr>
            <w:tcW w:type="dxa" w:w="795"/>
          </w:tcPr>
          <w:p>
            <w:pPr>
              <w:pStyle w:val="Compact"/>
              <w:spacing w:after="0" w:before="0" w:line="240" w:lineRule="auto"/>
              <w:jc w:val="left"/>
            </w:pPr>
            <w:r>
              <w:rPr>
                <w:rFonts w:ascii="Arial" w:hAnsi="Arial"/>
                <w:sz w:val="13"/>
              </w:rPr>
              <w:t xml:space="preserve">174.14</w:t>
            </w:r>
          </w:p>
        </w:tc>
        <w:tc>
          <w:tcPr>
            <w:tcW w:type="dxa" w:w="682"/>
          </w:tcPr>
          <w:p>
            <w:pPr>
              <w:pStyle w:val="Compact"/>
              <w:spacing w:after="0" w:before="0" w:line="240" w:lineRule="auto"/>
              <w:jc w:val="left"/>
            </w:pPr>
            <w:r>
              <w:rPr>
                <w:rFonts w:ascii="Arial" w:hAnsi="Arial"/>
                <w:sz w:val="13"/>
              </w:rPr>
              <w:t xml:space="preserve">201.06</w:t>
            </w:r>
          </w:p>
        </w:tc>
        <w:tc>
          <w:tcPr>
            <w:tcW w:type="dxa" w:w="682"/>
          </w:tcPr>
          <w:p>
            <w:pPr>
              <w:pStyle w:val="Compact"/>
              <w:spacing w:after="0" w:before="0" w:line="240" w:lineRule="auto"/>
              <w:jc w:val="left"/>
            </w:pPr>
            <w:r>
              <w:rPr>
                <w:rFonts w:ascii="Arial" w:hAnsi="Arial"/>
                <w:sz w:val="13"/>
              </w:rPr>
              <w:t xml:space="preserve">208.12</w:t>
            </w:r>
          </w:p>
        </w:tc>
        <w:tc>
          <w:tcPr>
            <w:tcW w:type="dxa" w:w="682"/>
          </w:tcPr>
          <w:p>
            <w:pPr>
              <w:pStyle w:val="Compact"/>
              <w:spacing w:after="0" w:before="0" w:line="240" w:lineRule="auto"/>
              <w:jc w:val="left"/>
            </w:pPr>
            <w:r>
              <w:rPr>
                <w:rFonts w:ascii="Arial" w:hAnsi="Arial"/>
                <w:sz w:val="13"/>
              </w:rPr>
              <w:t xml:space="preserve">208.88</w:t>
            </w:r>
          </w:p>
        </w:tc>
        <w:tc>
          <w:tcPr>
            <w:tcW w:type="dxa" w:w="682"/>
          </w:tcPr>
          <w:p>
            <w:pPr>
              <w:pStyle w:val="Compact"/>
              <w:spacing w:after="0" w:before="0" w:line="240" w:lineRule="auto"/>
              <w:jc w:val="left"/>
            </w:pPr>
            <w:r>
              <w:rPr>
                <w:rFonts w:ascii="Arial" w:hAnsi="Arial"/>
                <w:sz w:val="13"/>
              </w:rPr>
              <w:t xml:space="preserve">217.51</w:t>
            </w:r>
          </w:p>
        </w:tc>
        <w:tc>
          <w:tcPr>
            <w:tcW w:type="dxa" w:w="682"/>
          </w:tcPr>
          <w:p>
            <w:pPr>
              <w:pStyle w:val="Compact"/>
              <w:spacing w:after="0" w:before="0" w:line="240" w:lineRule="auto"/>
              <w:jc w:val="left"/>
            </w:pPr>
            <w:r>
              <w:rPr>
                <w:bCs/>
                <w:rFonts w:ascii="Arial" w:hAnsi="Arial"/>
                <w:b/>
                <w:sz w:val="13"/>
              </w:rPr>
              <w:t xml:space="preserve">218.39</w:t>
            </w:r>
          </w:p>
        </w:tc>
        <w:tc>
          <w:tcPr>
            <w:tcW w:type="dxa" w:w="795"/>
          </w:tcPr>
          <w:p>
            <w:pPr>
              <w:pStyle w:val="Compact"/>
              <w:spacing w:after="0" w:before="0" w:line="240" w:lineRule="auto"/>
              <w:jc w:val="left"/>
            </w:pPr>
            <w:r>
              <w:rPr>
                <w:rFonts w:ascii="Arial" w:hAnsi="Arial"/>
                <w:sz w:val="13"/>
              </w:rPr>
              <w:t xml:space="preserve">+8.6%</w:t>
            </w:r>
          </w:p>
        </w:tc>
        <w:tc>
          <w:tcPr>
            <w:tcW w:type="dxa" w:w="795"/>
          </w:tcPr>
          <w:p>
            <w:pPr>
              <w:pStyle w:val="Compact"/>
              <w:spacing w:after="0" w:before="0" w:line="240" w:lineRule="auto"/>
              <w:jc w:val="left"/>
            </w:pPr>
            <w:r>
              <w:rPr>
                <w:rFonts w:ascii="Arial" w:hAnsi="Arial"/>
                <w:sz w:val="13"/>
              </w:rPr>
              <w:t xml:space="preserve">+9.3%</w:t>
            </w:r>
          </w:p>
        </w:tc>
      </w:tr>
      <w:tr>
        <w:trPr>
          <w:cantSplit/>
        </w:trPr>
        <w:tc>
          <w:tcPr>
            <w:tcW w:type="dxa" w:w="1571"/>
          </w:tcPr>
          <w:p>
            <w:pPr>
              <w:pStyle w:val="Compact"/>
              <w:spacing w:after="0" w:before="0" w:line="240" w:lineRule="auto"/>
              <w:jc w:val="left"/>
            </w:pPr>
            <w:r>
              <w:rPr>
                <w:rFonts w:ascii="Arial" w:hAnsi="Arial"/>
                <w:sz w:val="13"/>
              </w:rPr>
              <w:t xml:space="preserve">MPA 40 mg/mL 1 mL</w:t>
            </w:r>
          </w:p>
        </w:tc>
        <w:tc>
          <w:tcPr>
            <w:tcW w:type="dxa" w:w="682"/>
          </w:tcPr>
          <w:p>
            <w:pPr>
              <w:pStyle w:val="Compact"/>
              <w:spacing w:after="0" w:before="0" w:line="240" w:lineRule="auto"/>
              <w:jc w:val="left"/>
            </w:pPr>
            <w:r>
              <w:rPr>
                <w:rFonts w:ascii="Arial" w:hAnsi="Arial"/>
                <w:sz w:val="13"/>
              </w:rPr>
              <w:t xml:space="preserve">4.06</w:t>
            </w:r>
          </w:p>
        </w:tc>
        <w:tc>
          <w:tcPr>
            <w:tcW w:type="dxa" w:w="682"/>
          </w:tcPr>
          <w:p>
            <w:pPr>
              <w:pStyle w:val="Compact"/>
              <w:spacing w:after="0" w:before="0" w:line="240" w:lineRule="auto"/>
              <w:jc w:val="left"/>
            </w:pPr>
            <w:r>
              <w:rPr>
                <w:rFonts w:ascii="Arial" w:hAnsi="Arial"/>
                <w:sz w:val="13"/>
              </w:rPr>
              <w:t xml:space="preserve">6.60</w:t>
            </w:r>
          </w:p>
        </w:tc>
        <w:tc>
          <w:tcPr>
            <w:tcW w:type="dxa" w:w="682"/>
          </w:tcPr>
          <w:p>
            <w:pPr>
              <w:pStyle w:val="Compact"/>
              <w:spacing w:after="0" w:before="0" w:line="240" w:lineRule="auto"/>
              <w:jc w:val="left"/>
            </w:pPr>
            <w:r>
              <w:rPr>
                <w:rFonts w:ascii="Arial" w:hAnsi="Arial"/>
                <w:sz w:val="13"/>
              </w:rPr>
              <w:t xml:space="preserve">5.31</w:t>
            </w:r>
          </w:p>
        </w:tc>
        <w:tc>
          <w:tcPr>
            <w:tcW w:type="dxa" w:w="682"/>
          </w:tcPr>
          <w:p>
            <w:pPr>
              <w:pStyle w:val="Compact"/>
              <w:spacing w:after="0" w:before="0" w:line="240" w:lineRule="auto"/>
              <w:jc w:val="left"/>
            </w:pPr>
            <w:r>
              <w:rPr>
                <w:rFonts w:ascii="Arial" w:hAnsi="Arial"/>
                <w:sz w:val="13"/>
              </w:rPr>
              <w:t xml:space="preserve">6.06</w:t>
            </w:r>
          </w:p>
        </w:tc>
        <w:tc>
          <w:tcPr>
            <w:tcW w:type="dxa" w:w="795"/>
          </w:tcPr>
          <w:p>
            <w:pPr>
              <w:pStyle w:val="Compact"/>
              <w:spacing w:after="0" w:before="0" w:line="240" w:lineRule="auto"/>
              <w:jc w:val="left"/>
            </w:pPr>
            <w:r>
              <w:rPr>
                <w:rFonts w:ascii="Arial" w:hAnsi="Arial"/>
                <w:sz w:val="13"/>
              </w:rPr>
              <w:t xml:space="preserve">5.06*</w:t>
            </w:r>
          </w:p>
        </w:tc>
        <w:tc>
          <w:tcPr>
            <w:tcW w:type="dxa" w:w="682"/>
          </w:tcPr>
          <w:p>
            <w:pPr>
              <w:pStyle w:val="Compact"/>
              <w:spacing w:after="0" w:before="0" w:line="240" w:lineRule="auto"/>
              <w:jc w:val="left"/>
            </w:pPr>
            <w:r>
              <w:rPr>
                <w:rFonts w:ascii="Arial" w:hAnsi="Arial"/>
                <w:sz w:val="13"/>
              </w:rPr>
              <w:t xml:space="preserve">4.49</w:t>
            </w:r>
          </w:p>
        </w:tc>
        <w:tc>
          <w:tcPr>
            <w:tcW w:type="dxa" w:w="682"/>
          </w:tcPr>
          <w:p>
            <w:pPr>
              <w:pStyle w:val="Compact"/>
              <w:spacing w:after="0" w:before="0" w:line="240" w:lineRule="auto"/>
              <w:jc w:val="left"/>
            </w:pPr>
            <w:r>
              <w:rPr>
                <w:rFonts w:ascii="Arial" w:hAnsi="Arial"/>
                <w:sz w:val="13"/>
              </w:rPr>
              <w:t xml:space="preserve">4.53</w:t>
            </w:r>
          </w:p>
        </w:tc>
        <w:tc>
          <w:tcPr>
            <w:tcW w:type="dxa" w:w="682"/>
          </w:tcPr>
          <w:p>
            <w:pPr>
              <w:pStyle w:val="Compact"/>
              <w:spacing w:after="0" w:before="0" w:line="240" w:lineRule="auto"/>
              <w:jc w:val="left"/>
            </w:pPr>
            <w:r>
              <w:rPr>
                <w:rFonts w:ascii="Arial" w:hAnsi="Arial"/>
                <w:sz w:val="13"/>
              </w:rPr>
              <w:t xml:space="preserve">4.23</w:t>
            </w:r>
          </w:p>
        </w:tc>
        <w:tc>
          <w:tcPr>
            <w:tcW w:type="dxa" w:w="682"/>
          </w:tcPr>
          <w:p>
            <w:pPr>
              <w:pStyle w:val="Compact"/>
              <w:spacing w:after="0" w:before="0" w:line="240" w:lineRule="auto"/>
              <w:jc w:val="left"/>
            </w:pPr>
            <w:r>
              <w:rPr>
                <w:rFonts w:ascii="Arial" w:hAnsi="Arial"/>
                <w:sz w:val="13"/>
              </w:rPr>
              <w:t xml:space="preserve">4.42</w:t>
            </w:r>
          </w:p>
        </w:tc>
        <w:tc>
          <w:tcPr>
            <w:tcW w:type="dxa" w:w="682"/>
          </w:tcPr>
          <w:p>
            <w:pPr>
              <w:pStyle w:val="Compact"/>
              <w:spacing w:after="0" w:before="0" w:line="240" w:lineRule="auto"/>
              <w:jc w:val="left"/>
            </w:pPr>
            <w:r>
              <w:rPr>
                <w:bCs/>
                <w:rFonts w:ascii="Arial" w:hAnsi="Arial"/>
                <w:b/>
                <w:sz w:val="13"/>
              </w:rPr>
              <w:t xml:space="preserve">4.64</w:t>
            </w:r>
          </w:p>
        </w:tc>
        <w:tc>
          <w:tcPr>
            <w:tcW w:type="dxa" w:w="795"/>
          </w:tcPr>
          <w:p>
            <w:pPr>
              <w:pStyle w:val="Compact"/>
              <w:spacing w:after="0" w:before="0" w:line="240" w:lineRule="auto"/>
              <w:jc w:val="left"/>
            </w:pPr>
            <w:r>
              <w:rPr>
                <w:rFonts w:ascii="Arial" w:hAnsi="Arial"/>
                <w:sz w:val="13"/>
              </w:rPr>
              <w:t xml:space="preserve">+3.3%</w:t>
            </w:r>
          </w:p>
        </w:tc>
        <w:tc>
          <w:tcPr>
            <w:tcW w:type="dxa" w:w="795"/>
          </w:tcPr>
          <w:p>
            <w:pPr>
              <w:pStyle w:val="Compact"/>
              <w:spacing w:after="0" w:before="0" w:line="240" w:lineRule="auto"/>
              <w:jc w:val="left"/>
            </w:pPr>
            <w:r>
              <w:rPr>
                <w:rFonts w:ascii="Arial" w:hAnsi="Arial"/>
                <w:sz w:val="13"/>
              </w:rPr>
              <w:t xml:space="preserve">−2.7%‡</w:t>
            </w:r>
          </w:p>
        </w:tc>
      </w:tr>
      <w:tr>
        <w:trPr>
          <w:cantSplit/>
        </w:trPr>
        <w:tc>
          <w:tcPr>
            <w:tcW w:type="dxa" w:w="1571"/>
          </w:tcPr>
          <w:p>
            <w:pPr>
              <w:pStyle w:val="Compact"/>
              <w:spacing w:after="0" w:before="0" w:line="240" w:lineRule="auto"/>
              <w:jc w:val="left"/>
            </w:pPr>
            <w:r>
              <w:rPr>
                <w:rFonts w:ascii="Arial" w:hAnsi="Arial"/>
                <w:sz w:val="13"/>
              </w:rPr>
              <w:t xml:space="preserve">MPA 80 mg/mL 1 mL</w:t>
            </w:r>
          </w:p>
        </w:tc>
        <w:tc>
          <w:tcPr>
            <w:tcW w:type="dxa" w:w="682"/>
          </w:tcPr>
          <w:p>
            <w:pPr>
              <w:pStyle w:val="Compact"/>
              <w:spacing w:after="0" w:before="0" w:line="240" w:lineRule="auto"/>
              <w:jc w:val="left"/>
            </w:pPr>
            <w:r>
              <w:rPr>
                <w:rFonts w:ascii="Arial" w:hAnsi="Arial"/>
                <w:sz w:val="13"/>
              </w:rPr>
              <w:t xml:space="preserve">7.86</w:t>
            </w:r>
          </w:p>
        </w:tc>
        <w:tc>
          <w:tcPr>
            <w:tcW w:type="dxa" w:w="682"/>
          </w:tcPr>
          <w:p>
            <w:pPr>
              <w:pStyle w:val="Compact"/>
              <w:spacing w:after="0" w:before="0" w:line="240" w:lineRule="auto"/>
              <w:jc w:val="left"/>
            </w:pPr>
            <w:r>
              <w:rPr>
                <w:rFonts w:ascii="Arial" w:hAnsi="Arial"/>
                <w:sz w:val="13"/>
              </w:rPr>
              <w:t xml:space="preserve">12.75</w:t>
            </w:r>
          </w:p>
        </w:tc>
        <w:tc>
          <w:tcPr>
            <w:tcW w:type="dxa" w:w="682"/>
          </w:tcPr>
          <w:p>
            <w:pPr>
              <w:pStyle w:val="Compact"/>
              <w:spacing w:after="0" w:before="0" w:line="240" w:lineRule="auto"/>
              <w:jc w:val="left"/>
            </w:pPr>
            <w:r>
              <w:rPr>
                <w:rFonts w:ascii="Arial" w:hAnsi="Arial"/>
                <w:sz w:val="13"/>
              </w:rPr>
              <w:t xml:space="preserve">10.07</w:t>
            </w:r>
          </w:p>
        </w:tc>
        <w:tc>
          <w:tcPr>
            <w:tcW w:type="dxa" w:w="682"/>
          </w:tcPr>
          <w:p>
            <w:pPr>
              <w:pStyle w:val="Compact"/>
              <w:spacing w:after="0" w:before="0" w:line="240" w:lineRule="auto"/>
              <w:jc w:val="left"/>
            </w:pPr>
            <w:r>
              <w:rPr>
                <w:rFonts w:ascii="Arial" w:hAnsi="Arial"/>
                <w:sz w:val="13"/>
              </w:rPr>
              <w:t xml:space="preserve">9.25</w:t>
            </w:r>
          </w:p>
        </w:tc>
        <w:tc>
          <w:tcPr>
            <w:tcW w:type="dxa" w:w="795"/>
          </w:tcPr>
          <w:p>
            <w:pPr>
              <w:pStyle w:val="Compact"/>
              <w:spacing w:after="0" w:before="0" w:line="240" w:lineRule="auto"/>
              <w:jc w:val="left"/>
            </w:pPr>
            <w:r>
              <w:rPr>
                <w:rFonts w:ascii="Arial" w:hAnsi="Arial"/>
                <w:sz w:val="13"/>
              </w:rPr>
              <w:t xml:space="preserve">10.11*</w:t>
            </w:r>
          </w:p>
        </w:tc>
        <w:tc>
          <w:tcPr>
            <w:tcW w:type="dxa" w:w="682"/>
          </w:tcPr>
          <w:p>
            <w:pPr>
              <w:pStyle w:val="Compact"/>
              <w:spacing w:after="0" w:before="0" w:line="240" w:lineRule="auto"/>
              <w:jc w:val="left"/>
            </w:pPr>
            <w:r>
              <w:rPr>
                <w:rFonts w:ascii="Arial" w:hAnsi="Arial"/>
                <w:sz w:val="13"/>
              </w:rPr>
              <w:t xml:space="preserve">8.98</w:t>
            </w:r>
          </w:p>
        </w:tc>
        <w:tc>
          <w:tcPr>
            <w:tcW w:type="dxa" w:w="682"/>
          </w:tcPr>
          <w:p>
            <w:pPr>
              <w:pStyle w:val="Compact"/>
              <w:spacing w:after="0" w:before="0" w:line="240" w:lineRule="auto"/>
              <w:jc w:val="left"/>
            </w:pPr>
            <w:r>
              <w:rPr>
                <w:rFonts w:ascii="Arial" w:hAnsi="Arial"/>
                <w:sz w:val="13"/>
              </w:rPr>
              <w:t xml:space="preserve">9.06</w:t>
            </w:r>
          </w:p>
        </w:tc>
        <w:tc>
          <w:tcPr>
            <w:tcW w:type="dxa" w:w="682"/>
          </w:tcPr>
          <w:p>
            <w:pPr>
              <w:pStyle w:val="Compact"/>
              <w:spacing w:after="0" w:before="0" w:line="240" w:lineRule="auto"/>
              <w:jc w:val="left"/>
            </w:pPr>
            <w:r>
              <w:rPr>
                <w:rFonts w:ascii="Arial" w:hAnsi="Arial"/>
                <w:sz w:val="13"/>
              </w:rPr>
              <w:t xml:space="preserve">8.45</w:t>
            </w:r>
          </w:p>
        </w:tc>
        <w:tc>
          <w:tcPr>
            <w:tcW w:type="dxa" w:w="682"/>
          </w:tcPr>
          <w:p>
            <w:pPr>
              <w:pStyle w:val="Compact"/>
              <w:spacing w:after="0" w:before="0" w:line="240" w:lineRule="auto"/>
              <w:jc w:val="left"/>
            </w:pPr>
            <w:r>
              <w:rPr>
                <w:rFonts w:ascii="Arial" w:hAnsi="Arial"/>
                <w:sz w:val="13"/>
              </w:rPr>
              <w:t xml:space="preserve">8.83</w:t>
            </w:r>
          </w:p>
        </w:tc>
        <w:tc>
          <w:tcPr>
            <w:tcW w:type="dxa" w:w="682"/>
          </w:tcPr>
          <w:p>
            <w:pPr>
              <w:pStyle w:val="Compact"/>
              <w:spacing w:after="0" w:before="0" w:line="240" w:lineRule="auto"/>
              <w:jc w:val="left"/>
            </w:pPr>
            <w:r>
              <w:rPr>
                <w:bCs/>
                <w:rFonts w:ascii="Arial" w:hAnsi="Arial"/>
                <w:b/>
                <w:sz w:val="13"/>
              </w:rPr>
              <w:t xml:space="preserve">9.28</w:t>
            </w:r>
          </w:p>
        </w:tc>
        <w:tc>
          <w:tcPr>
            <w:tcW w:type="dxa" w:w="795"/>
          </w:tcPr>
          <w:p>
            <w:pPr>
              <w:pStyle w:val="Compact"/>
              <w:spacing w:after="0" w:before="0" w:line="240" w:lineRule="auto"/>
              <w:jc w:val="left"/>
            </w:pPr>
            <w:r>
              <w:rPr>
                <w:rFonts w:ascii="Arial" w:hAnsi="Arial"/>
                <w:sz w:val="13"/>
              </w:rPr>
              <w:t xml:space="preserve">+3.3%</w:t>
            </w:r>
          </w:p>
        </w:tc>
        <w:tc>
          <w:tcPr>
            <w:tcW w:type="dxa" w:w="795"/>
          </w:tcPr>
          <w:p>
            <w:pPr>
              <w:pStyle w:val="Compact"/>
              <w:spacing w:after="0" w:before="0" w:line="240" w:lineRule="auto"/>
              <w:jc w:val="left"/>
            </w:pPr>
            <w:r>
              <w:rPr>
                <w:rFonts w:ascii="Arial" w:hAnsi="Arial"/>
                <w:sz w:val="13"/>
              </w:rPr>
              <w:t xml:space="preserve">−1.6%‡</w:t>
            </w:r>
          </w:p>
        </w:tc>
      </w:tr>
    </w:tbl>
    <w:p>
      <w:pPr>
        <w:pStyle w:val="BodyText"/>
        <w:spacing w:before="100"/>
      </w:pPr>
      <w:r>
        <w:rPr>
          <w:rFonts w:ascii="Arial" w:hAnsi="Arial"/>
        </w:rPr>
        <w:t xml:space="preserve">*Series break at the April 2024 recode. †Measured off the Q4 2025 trough (J2919 payment limit $0.210). On annual averages, J2919 ASP was flat: $0.233 in 2025 and $0.232 in 2026. ‡Window crosses the recode. Source: derived from</w:t>
      </w:r>
      <w:r>
        <w:rPr>
          <w:rFonts w:ascii="Arial" w:hAnsi="Arial"/>
        </w:rPr>
        <w:t xml:space="preserve"> </w:t>
      </w:r>
      <w:hyperlink r:id="rId26">
        <w:r>
          <w:rPr>
            <w:rStyle w:val="Hyperlink"/>
          </w:rPr>
          <w:t xml:space="preserve">CMS ASP files</w:t>
        </w:r>
      </w:hyperlink>
      <w:r>
        <w:rPr>
          <w:rFonts w:ascii="Arial" w:hAnsi="Arial"/>
        </w:rPr>
        <w:t xml:space="preserve"> </w:t>
      </w:r>
      <w:r>
        <w:rPr>
          <w:rFonts w:ascii="Arial" w:hAnsi="Arial"/>
        </w:rPr>
        <w:t xml:space="preserve">and</w:t>
      </w:r>
      <w:r>
        <w:rPr>
          <w:rFonts w:ascii="Arial" w:hAnsi="Arial"/>
        </w:rPr>
        <w:t xml:space="preserve"> </w:t>
      </w:r>
      <w:hyperlink r:id="rId22">
        <w:r>
          <w:rPr>
            <w:rStyle w:val="Hyperlink"/>
          </w:rPr>
          <w:t xml:space="preserve">crosswalk billing units</w:t>
        </w:r>
      </w:hyperlink>
      <w:r>
        <w:rPr>
          <w:rFonts w:ascii="Arial" w:hAnsi="Arial"/>
        </w:rPr>
        <w:t xml:space="preserve">.</w:t>
      </w:r>
    </w:p>
    <w:p>
      <w:pPr>
        <w:pStyle w:val="BodyText"/>
        <w:keepNext/>
      </w:pPr>
      <w:r>
        <w:rPr>
          <w:bCs/>
          <w:rFonts w:ascii="Arial" w:hAnsi="Arial"/>
          <w:b/>
        </w:rPr>
        <w:t xml:space="preserve">Annual-average implied ASP per vial (US$; mean of the four quarterly files ÷ 1.06)</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917"/>
        <w:gridCol w:w="917"/>
        <w:gridCol w:w="917"/>
        <w:gridCol w:w="917"/>
        <w:gridCol w:w="917"/>
        <w:gridCol w:w="917"/>
        <w:gridCol w:w="917"/>
        <w:gridCol w:w="917"/>
        <w:gridCol w:w="917"/>
        <w:gridCol w:w="917"/>
        <w:gridCol w:w="917"/>
      </w:tblGrid>
      <w:tr>
        <w:trPr>
          <w:tblHeader w:val="true"/>
          <w:tblHeader w:val="true"/>
          <w:cantSplit/>
        </w:trPr>
        <w:tc>
          <w:tcPr>
            <w:tcW w:type="dxa" w:w="917"/>
            <w:shd w:val="clear" w:color="auto" w:fill="1F3864"/>
          </w:tcPr>
          <w:p>
            <w:pPr>
              <w:pStyle w:val="Compact"/>
              <w:spacing w:after="0" w:before="0" w:line="240" w:lineRule="auto"/>
              <w:jc w:val="left"/>
            </w:pPr>
            <w:r>
              <w:rPr>
                <w:rFonts w:ascii="Arial" w:hAnsi="Arial"/>
                <w:b/>
                <w:color w:val="FFFFFF"/>
                <w:sz w:val="13"/>
              </w:rPr>
              <w:t xml:space="preserve">Year</w:t>
            </w:r>
          </w:p>
        </w:tc>
        <w:tc>
          <w:tcPr>
            <w:tcW w:type="dxa" w:w="917"/>
            <w:shd w:val="clear" w:color="auto" w:fill="1F3864"/>
          </w:tcPr>
          <w:p>
            <w:pPr>
              <w:pStyle w:val="Compact"/>
              <w:spacing w:after="0" w:before="0" w:line="240" w:lineRule="auto"/>
              <w:jc w:val="left"/>
            </w:pPr>
            <w:r>
              <w:rPr>
                <w:rFonts w:ascii="Arial" w:hAnsi="Arial"/>
                <w:b/>
                <w:color w:val="FFFFFF"/>
                <w:sz w:val="13"/>
              </w:rPr>
              <w:t xml:space="preserve">MPSS 40</w:t>
            </w:r>
          </w:p>
        </w:tc>
        <w:tc>
          <w:tcPr>
            <w:tcW w:type="dxa" w:w="917"/>
            <w:shd w:val="clear" w:color="auto" w:fill="1F3864"/>
          </w:tcPr>
          <w:p>
            <w:pPr>
              <w:pStyle w:val="Compact"/>
              <w:spacing w:after="0" w:before="0" w:line="240" w:lineRule="auto"/>
              <w:jc w:val="left"/>
            </w:pPr>
            <w:r>
              <w:rPr>
                <w:rFonts w:ascii="Arial" w:hAnsi="Arial"/>
                <w:b/>
                <w:color w:val="FFFFFF"/>
                <w:sz w:val="13"/>
              </w:rPr>
              <w:t xml:space="preserve">MPSS 125</w:t>
            </w:r>
          </w:p>
        </w:tc>
        <w:tc>
          <w:tcPr>
            <w:tcW w:type="dxa" w:w="917"/>
            <w:shd w:val="clear" w:color="auto" w:fill="1F3864"/>
          </w:tcPr>
          <w:p>
            <w:pPr>
              <w:pStyle w:val="Compact"/>
              <w:spacing w:after="0" w:before="0" w:line="240" w:lineRule="auto"/>
              <w:jc w:val="left"/>
            </w:pPr>
            <w:r>
              <w:rPr>
                <w:rFonts w:ascii="Arial" w:hAnsi="Arial"/>
                <w:b/>
                <w:color w:val="FFFFFF"/>
                <w:sz w:val="13"/>
              </w:rPr>
              <w:t xml:space="preserve">MPSS 500</w:t>
            </w:r>
          </w:p>
        </w:tc>
        <w:tc>
          <w:tcPr>
            <w:tcW w:type="dxa" w:w="917"/>
            <w:shd w:val="clear" w:color="auto" w:fill="1F3864"/>
          </w:tcPr>
          <w:p>
            <w:pPr>
              <w:pStyle w:val="Compact"/>
              <w:spacing w:after="0" w:before="0" w:line="240" w:lineRule="auto"/>
              <w:jc w:val="left"/>
            </w:pPr>
            <w:r>
              <w:rPr>
                <w:rFonts w:ascii="Arial" w:hAnsi="Arial"/>
                <w:b/>
                <w:color w:val="FFFFFF"/>
                <w:sz w:val="13"/>
              </w:rPr>
              <w:t xml:space="preserve">MPSS 1 g</w:t>
            </w:r>
          </w:p>
        </w:tc>
        <w:tc>
          <w:tcPr>
            <w:tcW w:type="dxa" w:w="917"/>
            <w:shd w:val="clear" w:color="auto" w:fill="1F3864"/>
          </w:tcPr>
          <w:p>
            <w:pPr>
              <w:pStyle w:val="Compact"/>
              <w:spacing w:after="0" w:before="0" w:line="240" w:lineRule="auto"/>
              <w:jc w:val="left"/>
            </w:pPr>
            <w:r>
              <w:rPr>
                <w:rFonts w:ascii="Arial" w:hAnsi="Arial"/>
                <w:b/>
                <w:color w:val="FFFFFF"/>
                <w:sz w:val="13"/>
              </w:rPr>
              <w:t xml:space="preserve">HSS 100</w:t>
            </w:r>
          </w:p>
        </w:tc>
        <w:tc>
          <w:tcPr>
            <w:tcW w:type="dxa" w:w="917"/>
            <w:shd w:val="clear" w:color="auto" w:fill="1F3864"/>
          </w:tcPr>
          <w:p>
            <w:pPr>
              <w:pStyle w:val="Compact"/>
              <w:spacing w:after="0" w:before="0" w:line="240" w:lineRule="auto"/>
              <w:jc w:val="left"/>
            </w:pPr>
            <w:r>
              <w:rPr>
                <w:rFonts w:ascii="Arial" w:hAnsi="Arial"/>
                <w:b/>
                <w:color w:val="FFFFFF"/>
                <w:sz w:val="13"/>
              </w:rPr>
              <w:t xml:space="preserve">HSS 250 (2.5u)</w:t>
            </w:r>
          </w:p>
        </w:tc>
        <w:tc>
          <w:tcPr>
            <w:tcW w:type="dxa" w:w="917"/>
            <w:shd w:val="clear" w:color="auto" w:fill="1F3864"/>
          </w:tcPr>
          <w:p>
            <w:pPr>
              <w:pStyle w:val="Compact"/>
              <w:spacing w:after="0" w:before="0" w:line="240" w:lineRule="auto"/>
              <w:jc w:val="left"/>
            </w:pPr>
            <w:r>
              <w:rPr>
                <w:rFonts w:ascii="Arial" w:hAnsi="Arial"/>
                <w:b/>
                <w:color w:val="FFFFFF"/>
                <w:sz w:val="13"/>
              </w:rPr>
              <w:t xml:space="preserve">HSS 500</w:t>
            </w:r>
          </w:p>
        </w:tc>
        <w:tc>
          <w:tcPr>
            <w:tcW w:type="dxa" w:w="917"/>
            <w:shd w:val="clear" w:color="auto" w:fill="1F3864"/>
          </w:tcPr>
          <w:p>
            <w:pPr>
              <w:pStyle w:val="Compact"/>
              <w:spacing w:after="0" w:before="0" w:line="240" w:lineRule="auto"/>
              <w:jc w:val="left"/>
            </w:pPr>
            <w:r>
              <w:rPr>
                <w:rFonts w:ascii="Arial" w:hAnsi="Arial"/>
                <w:b/>
                <w:color w:val="FFFFFF"/>
                <w:sz w:val="13"/>
              </w:rPr>
              <w:t xml:space="preserve">HSS 1 g</w:t>
            </w:r>
          </w:p>
        </w:tc>
        <w:tc>
          <w:tcPr>
            <w:tcW w:type="dxa" w:w="917"/>
            <w:shd w:val="clear" w:color="auto" w:fill="1F3864"/>
          </w:tcPr>
          <w:p>
            <w:pPr>
              <w:pStyle w:val="Compact"/>
              <w:spacing w:after="0" w:before="0" w:line="240" w:lineRule="auto"/>
              <w:jc w:val="left"/>
            </w:pPr>
            <w:r>
              <w:rPr>
                <w:rFonts w:ascii="Arial" w:hAnsi="Arial"/>
                <w:b/>
                <w:color w:val="FFFFFF"/>
                <w:sz w:val="13"/>
              </w:rPr>
              <w:t xml:space="preserve">MPA 40/1 mL</w:t>
            </w:r>
          </w:p>
        </w:tc>
        <w:tc>
          <w:tcPr>
            <w:tcW w:type="dxa" w:w="917"/>
            <w:shd w:val="clear" w:color="auto" w:fill="1F3864"/>
          </w:tcPr>
          <w:p>
            <w:pPr>
              <w:pStyle w:val="Compact"/>
              <w:spacing w:after="0" w:before="0" w:line="240" w:lineRule="auto"/>
              <w:jc w:val="left"/>
            </w:pPr>
            <w:r>
              <w:rPr>
                <w:rFonts w:ascii="Arial" w:hAnsi="Arial"/>
                <w:b/>
                <w:color w:val="FFFFFF"/>
                <w:sz w:val="13"/>
              </w:rPr>
              <w:t xml:space="preserve">MPA 80/1 mL</w:t>
            </w:r>
          </w:p>
        </w:tc>
      </w:tr>
      <w:tr>
        <w:trPr>
          <w:cantSplit/>
        </w:trPr>
        <w:tc>
          <w:tcPr>
            <w:tcW w:type="dxa" w:w="917"/>
          </w:tcPr>
          <w:p>
            <w:pPr>
              <w:pStyle w:val="Compact"/>
              <w:spacing w:after="0" w:before="0" w:line="240" w:lineRule="auto"/>
              <w:jc w:val="left"/>
            </w:pPr>
            <w:r>
              <w:rPr>
                <w:rFonts w:ascii="Arial" w:hAnsi="Arial"/>
                <w:sz w:val="13"/>
              </w:rPr>
              <w:t xml:space="preserve">2016</w:t>
            </w:r>
          </w:p>
        </w:tc>
        <w:tc>
          <w:tcPr>
            <w:tcW w:type="dxa" w:w="917"/>
          </w:tcPr>
          <w:p>
            <w:pPr>
              <w:pStyle w:val="Compact"/>
              <w:spacing w:after="0" w:before="0" w:line="240" w:lineRule="auto"/>
              <w:jc w:val="left"/>
            </w:pPr>
            <w:r>
              <w:rPr>
                <w:rFonts w:ascii="Arial" w:hAnsi="Arial"/>
                <w:sz w:val="13"/>
              </w:rPr>
              <w:t xml:space="preserve">3.04</w:t>
            </w:r>
          </w:p>
        </w:tc>
        <w:tc>
          <w:tcPr>
            <w:tcW w:type="dxa" w:w="917"/>
          </w:tcPr>
          <w:p>
            <w:pPr>
              <w:pStyle w:val="Compact"/>
              <w:spacing w:after="0" w:before="0" w:line="240" w:lineRule="auto"/>
              <w:jc w:val="left"/>
            </w:pPr>
            <w:r>
              <w:rPr>
                <w:rFonts w:ascii="Arial" w:hAnsi="Arial"/>
                <w:sz w:val="13"/>
              </w:rPr>
              <w:t xml:space="preserve">4.34</w:t>
            </w:r>
          </w:p>
        </w:tc>
        <w:tc>
          <w:tcPr>
            <w:tcW w:type="dxa" w:w="917"/>
          </w:tcPr>
          <w:p>
            <w:pPr>
              <w:pStyle w:val="Compact"/>
              <w:spacing w:after="0" w:before="0" w:line="240" w:lineRule="auto"/>
              <w:jc w:val="left"/>
            </w:pPr>
            <w:r>
              <w:rPr>
                <w:rFonts w:ascii="Arial" w:hAnsi="Arial"/>
                <w:sz w:val="13"/>
              </w:rPr>
              <w:t xml:space="preserve">17.37</w:t>
            </w:r>
          </w:p>
        </w:tc>
        <w:tc>
          <w:tcPr>
            <w:tcW w:type="dxa" w:w="917"/>
          </w:tcPr>
          <w:p>
            <w:pPr>
              <w:pStyle w:val="Compact"/>
              <w:spacing w:after="0" w:before="0" w:line="240" w:lineRule="auto"/>
              <w:jc w:val="left"/>
            </w:pPr>
            <w:r>
              <w:rPr>
                <w:rFonts w:ascii="Arial" w:hAnsi="Arial"/>
                <w:sz w:val="13"/>
              </w:rPr>
              <w:t xml:space="preserve">34.73</w:t>
            </w:r>
          </w:p>
        </w:tc>
        <w:tc>
          <w:tcPr>
            <w:tcW w:type="dxa" w:w="917"/>
          </w:tcPr>
          <w:p>
            <w:pPr>
              <w:pStyle w:val="Compact"/>
              <w:spacing w:after="0" w:before="0" w:line="240" w:lineRule="auto"/>
              <w:jc w:val="left"/>
            </w:pPr>
            <w:r>
              <w:rPr>
                <w:rFonts w:ascii="Arial" w:hAnsi="Arial"/>
                <w:sz w:val="13"/>
              </w:rPr>
              <w:t xml:space="preserve">7.47</w:t>
            </w:r>
          </w:p>
        </w:tc>
        <w:tc>
          <w:tcPr>
            <w:tcW w:type="dxa" w:w="917"/>
          </w:tcPr>
          <w:p>
            <w:pPr>
              <w:pStyle w:val="Compact"/>
              <w:spacing w:after="0" w:before="0" w:line="240" w:lineRule="auto"/>
              <w:jc w:val="left"/>
            </w:pPr>
            <w:r>
              <w:rPr>
                <w:rFonts w:ascii="Arial" w:hAnsi="Arial"/>
                <w:sz w:val="13"/>
              </w:rPr>
              <w:t xml:space="preserve">18.66</w:t>
            </w:r>
          </w:p>
        </w:tc>
        <w:tc>
          <w:tcPr>
            <w:tcW w:type="dxa" w:w="917"/>
          </w:tcPr>
          <w:p>
            <w:pPr>
              <w:pStyle w:val="Compact"/>
              <w:spacing w:after="0" w:before="0" w:line="240" w:lineRule="auto"/>
              <w:jc w:val="left"/>
            </w:pPr>
            <w:r>
              <w:rPr>
                <w:rFonts w:ascii="Arial" w:hAnsi="Arial"/>
                <w:sz w:val="13"/>
              </w:rPr>
              <w:t xml:space="preserve">37.33</w:t>
            </w:r>
          </w:p>
        </w:tc>
        <w:tc>
          <w:tcPr>
            <w:tcW w:type="dxa" w:w="917"/>
          </w:tcPr>
          <w:p>
            <w:pPr>
              <w:pStyle w:val="Compact"/>
              <w:spacing w:after="0" w:before="0" w:line="240" w:lineRule="auto"/>
              <w:jc w:val="left"/>
            </w:pPr>
            <w:r>
              <w:rPr>
                <w:rFonts w:ascii="Arial" w:hAnsi="Arial"/>
                <w:sz w:val="13"/>
              </w:rPr>
              <w:t xml:space="preserve">74.67</w:t>
            </w:r>
          </w:p>
        </w:tc>
        <w:tc>
          <w:tcPr>
            <w:tcW w:type="dxa" w:w="917"/>
          </w:tcPr>
          <w:p>
            <w:pPr>
              <w:pStyle w:val="Compact"/>
              <w:spacing w:after="0" w:before="0" w:line="240" w:lineRule="auto"/>
              <w:jc w:val="left"/>
            </w:pPr>
            <w:r>
              <w:rPr>
                <w:rFonts w:ascii="Arial" w:hAnsi="Arial"/>
                <w:sz w:val="13"/>
              </w:rPr>
              <w:t xml:space="preserve">4.47</w:t>
            </w:r>
          </w:p>
        </w:tc>
        <w:tc>
          <w:tcPr>
            <w:tcW w:type="dxa" w:w="917"/>
          </w:tcPr>
          <w:p>
            <w:pPr>
              <w:pStyle w:val="Compact"/>
              <w:spacing w:after="0" w:before="0" w:line="240" w:lineRule="auto"/>
              <w:jc w:val="left"/>
            </w:pPr>
            <w:r>
              <w:rPr>
                <w:rFonts w:ascii="Arial" w:hAnsi="Arial"/>
                <w:sz w:val="13"/>
              </w:rPr>
              <w:t xml:space="preserve">8.53</w:t>
            </w:r>
          </w:p>
        </w:tc>
      </w:tr>
      <w:tr>
        <w:trPr>
          <w:cantSplit/>
        </w:trPr>
        <w:tc>
          <w:tcPr>
            <w:tcW w:type="dxa" w:w="917"/>
          </w:tcPr>
          <w:p>
            <w:pPr>
              <w:pStyle w:val="Compact"/>
              <w:spacing w:after="0" w:before="0" w:line="240" w:lineRule="auto"/>
              <w:jc w:val="left"/>
            </w:pPr>
            <w:r>
              <w:rPr>
                <w:rFonts w:ascii="Arial" w:hAnsi="Arial"/>
                <w:sz w:val="13"/>
              </w:rPr>
              <w:t xml:space="preserve">2017</w:t>
            </w:r>
          </w:p>
        </w:tc>
        <w:tc>
          <w:tcPr>
            <w:tcW w:type="dxa" w:w="917"/>
          </w:tcPr>
          <w:p>
            <w:pPr>
              <w:pStyle w:val="Compact"/>
              <w:spacing w:after="0" w:before="0" w:line="240" w:lineRule="auto"/>
              <w:jc w:val="left"/>
            </w:pPr>
            <w:r>
              <w:rPr>
                <w:rFonts w:ascii="Arial" w:hAnsi="Arial"/>
                <w:sz w:val="13"/>
              </w:rPr>
              <w:t xml:space="preserve">3.95</w:t>
            </w:r>
          </w:p>
        </w:tc>
        <w:tc>
          <w:tcPr>
            <w:tcW w:type="dxa" w:w="917"/>
          </w:tcPr>
          <w:p>
            <w:pPr>
              <w:pStyle w:val="Compact"/>
              <w:spacing w:after="0" w:before="0" w:line="240" w:lineRule="auto"/>
              <w:jc w:val="left"/>
            </w:pPr>
            <w:r>
              <w:rPr>
                <w:rFonts w:ascii="Arial" w:hAnsi="Arial"/>
                <w:sz w:val="13"/>
              </w:rPr>
              <w:t xml:space="preserve">5.47</w:t>
            </w:r>
          </w:p>
        </w:tc>
        <w:tc>
          <w:tcPr>
            <w:tcW w:type="dxa" w:w="917"/>
          </w:tcPr>
          <w:p>
            <w:pPr>
              <w:pStyle w:val="Compact"/>
              <w:spacing w:after="0" w:before="0" w:line="240" w:lineRule="auto"/>
              <w:jc w:val="left"/>
            </w:pPr>
            <w:r>
              <w:rPr>
                <w:rFonts w:ascii="Arial" w:hAnsi="Arial"/>
                <w:sz w:val="13"/>
              </w:rPr>
              <w:t xml:space="preserve">21.88</w:t>
            </w:r>
          </w:p>
        </w:tc>
        <w:tc>
          <w:tcPr>
            <w:tcW w:type="dxa" w:w="917"/>
          </w:tcPr>
          <w:p>
            <w:pPr>
              <w:pStyle w:val="Compact"/>
              <w:spacing w:after="0" w:before="0" w:line="240" w:lineRule="auto"/>
              <w:jc w:val="left"/>
            </w:pPr>
            <w:r>
              <w:rPr>
                <w:rFonts w:ascii="Arial" w:hAnsi="Arial"/>
                <w:sz w:val="13"/>
              </w:rPr>
              <w:t xml:space="preserve">43.76</w:t>
            </w:r>
          </w:p>
        </w:tc>
        <w:tc>
          <w:tcPr>
            <w:tcW w:type="dxa" w:w="917"/>
          </w:tcPr>
          <w:p>
            <w:pPr>
              <w:pStyle w:val="Compact"/>
              <w:spacing w:after="0" w:before="0" w:line="240" w:lineRule="auto"/>
              <w:jc w:val="left"/>
            </w:pPr>
            <w:r>
              <w:rPr>
                <w:rFonts w:ascii="Arial" w:hAnsi="Arial"/>
                <w:sz w:val="13"/>
              </w:rPr>
              <w:t xml:space="preserve">9.50</w:t>
            </w:r>
          </w:p>
        </w:tc>
        <w:tc>
          <w:tcPr>
            <w:tcW w:type="dxa" w:w="917"/>
          </w:tcPr>
          <w:p>
            <w:pPr>
              <w:pStyle w:val="Compact"/>
              <w:spacing w:after="0" w:before="0" w:line="240" w:lineRule="auto"/>
              <w:jc w:val="left"/>
            </w:pPr>
            <w:r>
              <w:rPr>
                <w:rFonts w:ascii="Arial" w:hAnsi="Arial"/>
                <w:sz w:val="13"/>
              </w:rPr>
              <w:t xml:space="preserve">23.75</w:t>
            </w:r>
          </w:p>
        </w:tc>
        <w:tc>
          <w:tcPr>
            <w:tcW w:type="dxa" w:w="917"/>
          </w:tcPr>
          <w:p>
            <w:pPr>
              <w:pStyle w:val="Compact"/>
              <w:spacing w:after="0" w:before="0" w:line="240" w:lineRule="auto"/>
              <w:jc w:val="left"/>
            </w:pPr>
            <w:r>
              <w:rPr>
                <w:rFonts w:ascii="Arial" w:hAnsi="Arial"/>
                <w:sz w:val="13"/>
              </w:rPr>
              <w:t xml:space="preserve">47.50</w:t>
            </w:r>
          </w:p>
        </w:tc>
        <w:tc>
          <w:tcPr>
            <w:tcW w:type="dxa" w:w="917"/>
          </w:tcPr>
          <w:p>
            <w:pPr>
              <w:pStyle w:val="Compact"/>
              <w:spacing w:after="0" w:before="0" w:line="240" w:lineRule="auto"/>
              <w:jc w:val="left"/>
            </w:pPr>
            <w:r>
              <w:rPr>
                <w:rFonts w:ascii="Arial" w:hAnsi="Arial"/>
                <w:sz w:val="13"/>
              </w:rPr>
              <w:t xml:space="preserve">95.01</w:t>
            </w:r>
          </w:p>
        </w:tc>
        <w:tc>
          <w:tcPr>
            <w:tcW w:type="dxa" w:w="917"/>
          </w:tcPr>
          <w:p>
            <w:pPr>
              <w:pStyle w:val="Compact"/>
              <w:spacing w:after="0" w:before="0" w:line="240" w:lineRule="auto"/>
              <w:jc w:val="left"/>
            </w:pPr>
            <w:r>
              <w:rPr>
                <w:rFonts w:ascii="Arial" w:hAnsi="Arial"/>
                <w:sz w:val="13"/>
              </w:rPr>
              <w:t xml:space="preserve">5.52</w:t>
            </w:r>
          </w:p>
        </w:tc>
        <w:tc>
          <w:tcPr>
            <w:tcW w:type="dxa" w:w="917"/>
          </w:tcPr>
          <w:p>
            <w:pPr>
              <w:pStyle w:val="Compact"/>
              <w:spacing w:after="0" w:before="0" w:line="240" w:lineRule="auto"/>
              <w:jc w:val="left"/>
            </w:pPr>
            <w:r>
              <w:rPr>
                <w:rFonts w:ascii="Arial" w:hAnsi="Arial"/>
                <w:sz w:val="13"/>
              </w:rPr>
              <w:t xml:space="preserve">10.54</w:t>
            </w:r>
          </w:p>
        </w:tc>
      </w:tr>
      <w:tr>
        <w:trPr>
          <w:cantSplit/>
        </w:trPr>
        <w:tc>
          <w:tcPr>
            <w:tcW w:type="dxa" w:w="917"/>
          </w:tcPr>
          <w:p>
            <w:pPr>
              <w:pStyle w:val="Compact"/>
              <w:spacing w:after="0" w:before="0" w:line="240" w:lineRule="auto"/>
              <w:jc w:val="left"/>
            </w:pPr>
            <w:r>
              <w:rPr>
                <w:rFonts w:ascii="Arial" w:hAnsi="Arial"/>
                <w:sz w:val="13"/>
              </w:rPr>
              <w:t xml:space="preserve">2018</w:t>
            </w:r>
          </w:p>
        </w:tc>
        <w:tc>
          <w:tcPr>
            <w:tcW w:type="dxa" w:w="917"/>
          </w:tcPr>
          <w:p>
            <w:pPr>
              <w:pStyle w:val="Compact"/>
              <w:spacing w:after="0" w:before="0" w:line="240" w:lineRule="auto"/>
              <w:jc w:val="left"/>
            </w:pPr>
            <w:r>
              <w:rPr>
                <w:rFonts w:ascii="Arial" w:hAnsi="Arial"/>
                <w:sz w:val="13"/>
              </w:rPr>
              <w:t xml:space="preserve">4.34</w:t>
            </w:r>
          </w:p>
        </w:tc>
        <w:tc>
          <w:tcPr>
            <w:tcW w:type="dxa" w:w="917"/>
          </w:tcPr>
          <w:p>
            <w:pPr>
              <w:pStyle w:val="Compact"/>
              <w:spacing w:after="0" w:before="0" w:line="240" w:lineRule="auto"/>
              <w:jc w:val="left"/>
            </w:pPr>
            <w:r>
              <w:rPr>
                <w:rFonts w:ascii="Arial" w:hAnsi="Arial"/>
                <w:sz w:val="13"/>
              </w:rPr>
              <w:t xml:space="preserve">6.27</w:t>
            </w:r>
          </w:p>
        </w:tc>
        <w:tc>
          <w:tcPr>
            <w:tcW w:type="dxa" w:w="917"/>
          </w:tcPr>
          <w:p>
            <w:pPr>
              <w:pStyle w:val="Compact"/>
              <w:spacing w:after="0" w:before="0" w:line="240" w:lineRule="auto"/>
              <w:jc w:val="left"/>
            </w:pPr>
            <w:r>
              <w:rPr>
                <w:rFonts w:ascii="Arial" w:hAnsi="Arial"/>
                <w:sz w:val="13"/>
              </w:rPr>
              <w:t xml:space="preserve">25.06</w:t>
            </w:r>
          </w:p>
        </w:tc>
        <w:tc>
          <w:tcPr>
            <w:tcW w:type="dxa" w:w="917"/>
          </w:tcPr>
          <w:p>
            <w:pPr>
              <w:pStyle w:val="Compact"/>
              <w:spacing w:after="0" w:before="0" w:line="240" w:lineRule="auto"/>
              <w:jc w:val="left"/>
            </w:pPr>
            <w:r>
              <w:rPr>
                <w:rFonts w:ascii="Arial" w:hAnsi="Arial"/>
                <w:sz w:val="13"/>
              </w:rPr>
              <w:t xml:space="preserve">50.12</w:t>
            </w:r>
          </w:p>
        </w:tc>
        <w:tc>
          <w:tcPr>
            <w:tcW w:type="dxa" w:w="917"/>
          </w:tcPr>
          <w:p>
            <w:pPr>
              <w:pStyle w:val="Compact"/>
              <w:spacing w:after="0" w:before="0" w:line="240" w:lineRule="auto"/>
              <w:jc w:val="left"/>
            </w:pPr>
            <w:r>
              <w:rPr>
                <w:rFonts w:ascii="Arial" w:hAnsi="Arial"/>
                <w:sz w:val="13"/>
              </w:rPr>
              <w:t xml:space="preserve">11.84</w:t>
            </w:r>
          </w:p>
        </w:tc>
        <w:tc>
          <w:tcPr>
            <w:tcW w:type="dxa" w:w="917"/>
          </w:tcPr>
          <w:p>
            <w:pPr>
              <w:pStyle w:val="Compact"/>
              <w:spacing w:after="0" w:before="0" w:line="240" w:lineRule="auto"/>
              <w:jc w:val="left"/>
            </w:pPr>
            <w:r>
              <w:rPr>
                <w:rFonts w:ascii="Arial" w:hAnsi="Arial"/>
                <w:sz w:val="13"/>
              </w:rPr>
              <w:t xml:space="preserve">29.61</w:t>
            </w:r>
          </w:p>
        </w:tc>
        <w:tc>
          <w:tcPr>
            <w:tcW w:type="dxa" w:w="917"/>
          </w:tcPr>
          <w:p>
            <w:pPr>
              <w:pStyle w:val="Compact"/>
              <w:spacing w:after="0" w:before="0" w:line="240" w:lineRule="auto"/>
              <w:jc w:val="left"/>
            </w:pPr>
            <w:r>
              <w:rPr>
                <w:rFonts w:ascii="Arial" w:hAnsi="Arial"/>
                <w:sz w:val="13"/>
              </w:rPr>
              <w:t xml:space="preserve">59.21</w:t>
            </w:r>
          </w:p>
        </w:tc>
        <w:tc>
          <w:tcPr>
            <w:tcW w:type="dxa" w:w="917"/>
          </w:tcPr>
          <w:p>
            <w:pPr>
              <w:pStyle w:val="Compact"/>
              <w:spacing w:after="0" w:before="0" w:line="240" w:lineRule="auto"/>
              <w:jc w:val="left"/>
            </w:pPr>
            <w:r>
              <w:rPr>
                <w:rFonts w:ascii="Arial" w:hAnsi="Arial"/>
                <w:sz w:val="13"/>
              </w:rPr>
              <w:t xml:space="preserve">118.42</w:t>
            </w:r>
          </w:p>
        </w:tc>
        <w:tc>
          <w:tcPr>
            <w:tcW w:type="dxa" w:w="917"/>
          </w:tcPr>
          <w:p>
            <w:pPr>
              <w:pStyle w:val="Compact"/>
              <w:spacing w:after="0" w:before="0" w:line="240" w:lineRule="auto"/>
              <w:jc w:val="left"/>
            </w:pPr>
            <w:r>
              <w:rPr>
                <w:rFonts w:ascii="Arial" w:hAnsi="Arial"/>
                <w:sz w:val="13"/>
              </w:rPr>
              <w:t xml:space="preserve">6.39</w:t>
            </w:r>
          </w:p>
        </w:tc>
        <w:tc>
          <w:tcPr>
            <w:tcW w:type="dxa" w:w="917"/>
          </w:tcPr>
          <w:p>
            <w:pPr>
              <w:pStyle w:val="Compact"/>
              <w:spacing w:after="0" w:before="0" w:line="240" w:lineRule="auto"/>
              <w:jc w:val="left"/>
            </w:pPr>
            <w:r>
              <w:rPr>
                <w:rFonts w:ascii="Arial" w:hAnsi="Arial"/>
                <w:sz w:val="13"/>
              </w:rPr>
              <w:t xml:space="preserve">12.43</w:t>
            </w:r>
          </w:p>
        </w:tc>
      </w:tr>
      <w:tr>
        <w:trPr>
          <w:cantSplit/>
        </w:trPr>
        <w:tc>
          <w:tcPr>
            <w:tcW w:type="dxa" w:w="917"/>
          </w:tcPr>
          <w:p>
            <w:pPr>
              <w:pStyle w:val="Compact"/>
              <w:spacing w:after="0" w:before="0" w:line="240" w:lineRule="auto"/>
              <w:jc w:val="left"/>
            </w:pPr>
            <w:r>
              <w:rPr>
                <w:rFonts w:ascii="Arial" w:hAnsi="Arial"/>
                <w:sz w:val="13"/>
              </w:rPr>
              <w:t xml:space="preserve">2019</w:t>
            </w:r>
          </w:p>
        </w:tc>
        <w:tc>
          <w:tcPr>
            <w:tcW w:type="dxa" w:w="917"/>
          </w:tcPr>
          <w:p>
            <w:pPr>
              <w:pStyle w:val="Compact"/>
              <w:spacing w:after="0" w:before="0" w:line="240" w:lineRule="auto"/>
              <w:jc w:val="left"/>
            </w:pPr>
            <w:r>
              <w:rPr>
                <w:rFonts w:ascii="Arial" w:hAnsi="Arial"/>
                <w:sz w:val="13"/>
              </w:rPr>
              <w:t xml:space="preserve">4.32</w:t>
            </w:r>
          </w:p>
        </w:tc>
        <w:tc>
          <w:tcPr>
            <w:tcW w:type="dxa" w:w="917"/>
          </w:tcPr>
          <w:p>
            <w:pPr>
              <w:pStyle w:val="Compact"/>
              <w:spacing w:after="0" w:before="0" w:line="240" w:lineRule="auto"/>
              <w:jc w:val="left"/>
            </w:pPr>
            <w:r>
              <w:rPr>
                <w:rFonts w:ascii="Arial" w:hAnsi="Arial"/>
                <w:sz w:val="13"/>
              </w:rPr>
              <w:t xml:space="preserve">6.03</w:t>
            </w:r>
          </w:p>
        </w:tc>
        <w:tc>
          <w:tcPr>
            <w:tcW w:type="dxa" w:w="917"/>
          </w:tcPr>
          <w:p>
            <w:pPr>
              <w:pStyle w:val="Compact"/>
              <w:spacing w:after="0" w:before="0" w:line="240" w:lineRule="auto"/>
              <w:jc w:val="left"/>
            </w:pPr>
            <w:r>
              <w:rPr>
                <w:rFonts w:ascii="Arial" w:hAnsi="Arial"/>
                <w:sz w:val="13"/>
              </w:rPr>
              <w:t xml:space="preserve">24.13</w:t>
            </w:r>
          </w:p>
        </w:tc>
        <w:tc>
          <w:tcPr>
            <w:tcW w:type="dxa" w:w="917"/>
          </w:tcPr>
          <w:p>
            <w:pPr>
              <w:pStyle w:val="Compact"/>
              <w:spacing w:after="0" w:before="0" w:line="240" w:lineRule="auto"/>
              <w:jc w:val="left"/>
            </w:pPr>
            <w:r>
              <w:rPr>
                <w:rFonts w:ascii="Arial" w:hAnsi="Arial"/>
                <w:sz w:val="13"/>
              </w:rPr>
              <w:t xml:space="preserve">48.26</w:t>
            </w:r>
          </w:p>
        </w:tc>
        <w:tc>
          <w:tcPr>
            <w:tcW w:type="dxa" w:w="917"/>
          </w:tcPr>
          <w:p>
            <w:pPr>
              <w:pStyle w:val="Compact"/>
              <w:spacing w:after="0" w:before="0" w:line="240" w:lineRule="auto"/>
              <w:jc w:val="left"/>
            </w:pPr>
            <w:r>
              <w:rPr>
                <w:rFonts w:ascii="Arial" w:hAnsi="Arial"/>
                <w:sz w:val="13"/>
              </w:rPr>
              <w:t xml:space="preserve">12.26</w:t>
            </w:r>
          </w:p>
        </w:tc>
        <w:tc>
          <w:tcPr>
            <w:tcW w:type="dxa" w:w="917"/>
          </w:tcPr>
          <w:p>
            <w:pPr>
              <w:pStyle w:val="Compact"/>
              <w:spacing w:after="0" w:before="0" w:line="240" w:lineRule="auto"/>
              <w:jc w:val="left"/>
            </w:pPr>
            <w:r>
              <w:rPr>
                <w:rFonts w:ascii="Arial" w:hAnsi="Arial"/>
                <w:sz w:val="13"/>
              </w:rPr>
              <w:t xml:space="preserve">30.64</w:t>
            </w:r>
          </w:p>
        </w:tc>
        <w:tc>
          <w:tcPr>
            <w:tcW w:type="dxa" w:w="917"/>
          </w:tcPr>
          <w:p>
            <w:pPr>
              <w:pStyle w:val="Compact"/>
              <w:spacing w:after="0" w:before="0" w:line="240" w:lineRule="auto"/>
              <w:jc w:val="left"/>
            </w:pPr>
            <w:r>
              <w:rPr>
                <w:rFonts w:ascii="Arial" w:hAnsi="Arial"/>
                <w:sz w:val="13"/>
              </w:rPr>
              <w:t xml:space="preserve">61.29</w:t>
            </w:r>
          </w:p>
        </w:tc>
        <w:tc>
          <w:tcPr>
            <w:tcW w:type="dxa" w:w="917"/>
          </w:tcPr>
          <w:p>
            <w:pPr>
              <w:pStyle w:val="Compact"/>
              <w:spacing w:after="0" w:before="0" w:line="240" w:lineRule="auto"/>
              <w:jc w:val="left"/>
            </w:pPr>
            <w:r>
              <w:rPr>
                <w:rFonts w:ascii="Arial" w:hAnsi="Arial"/>
                <w:sz w:val="13"/>
              </w:rPr>
              <w:t xml:space="preserve">122.59</w:t>
            </w:r>
          </w:p>
        </w:tc>
        <w:tc>
          <w:tcPr>
            <w:tcW w:type="dxa" w:w="917"/>
          </w:tcPr>
          <w:p>
            <w:pPr>
              <w:pStyle w:val="Compact"/>
              <w:spacing w:after="0" w:before="0" w:line="240" w:lineRule="auto"/>
              <w:jc w:val="left"/>
            </w:pPr>
            <w:r>
              <w:rPr>
                <w:rFonts w:ascii="Arial" w:hAnsi="Arial"/>
                <w:sz w:val="13"/>
              </w:rPr>
              <w:t xml:space="preserve">6.03</w:t>
            </w:r>
          </w:p>
        </w:tc>
        <w:tc>
          <w:tcPr>
            <w:tcW w:type="dxa" w:w="917"/>
          </w:tcPr>
          <w:p>
            <w:pPr>
              <w:pStyle w:val="Compact"/>
              <w:spacing w:after="0" w:before="0" w:line="240" w:lineRule="auto"/>
              <w:jc w:val="left"/>
            </w:pPr>
            <w:r>
              <w:rPr>
                <w:rFonts w:ascii="Arial" w:hAnsi="Arial"/>
                <w:sz w:val="13"/>
              </w:rPr>
              <w:t xml:space="preserve">11.63</w:t>
            </w:r>
          </w:p>
        </w:tc>
      </w:tr>
      <w:tr>
        <w:trPr>
          <w:cantSplit/>
        </w:trPr>
        <w:tc>
          <w:tcPr>
            <w:tcW w:type="dxa" w:w="917"/>
          </w:tcPr>
          <w:p>
            <w:pPr>
              <w:pStyle w:val="Compact"/>
              <w:spacing w:after="0" w:before="0" w:line="240" w:lineRule="auto"/>
              <w:jc w:val="left"/>
            </w:pPr>
            <w:r>
              <w:rPr>
                <w:rFonts w:ascii="Arial" w:hAnsi="Arial"/>
                <w:sz w:val="13"/>
              </w:rPr>
              <w:t xml:space="preserve">2020</w:t>
            </w:r>
          </w:p>
        </w:tc>
        <w:tc>
          <w:tcPr>
            <w:tcW w:type="dxa" w:w="917"/>
          </w:tcPr>
          <w:p>
            <w:pPr>
              <w:pStyle w:val="Compact"/>
              <w:spacing w:after="0" w:before="0" w:line="240" w:lineRule="auto"/>
              <w:jc w:val="left"/>
            </w:pPr>
            <w:r>
              <w:rPr>
                <w:rFonts w:ascii="Arial" w:hAnsi="Arial"/>
                <w:sz w:val="13"/>
              </w:rPr>
              <w:t xml:space="preserve">4.18</w:t>
            </w:r>
          </w:p>
        </w:tc>
        <w:tc>
          <w:tcPr>
            <w:tcW w:type="dxa" w:w="917"/>
          </w:tcPr>
          <w:p>
            <w:pPr>
              <w:pStyle w:val="Compact"/>
              <w:spacing w:after="0" w:before="0" w:line="240" w:lineRule="auto"/>
              <w:jc w:val="left"/>
            </w:pPr>
            <w:r>
              <w:rPr>
                <w:rFonts w:ascii="Arial" w:hAnsi="Arial"/>
                <w:sz w:val="13"/>
              </w:rPr>
              <w:t xml:space="preserve">5.91</w:t>
            </w:r>
          </w:p>
        </w:tc>
        <w:tc>
          <w:tcPr>
            <w:tcW w:type="dxa" w:w="917"/>
          </w:tcPr>
          <w:p>
            <w:pPr>
              <w:pStyle w:val="Compact"/>
              <w:spacing w:after="0" w:before="0" w:line="240" w:lineRule="auto"/>
              <w:jc w:val="left"/>
            </w:pPr>
            <w:r>
              <w:rPr>
                <w:rFonts w:ascii="Arial" w:hAnsi="Arial"/>
                <w:sz w:val="13"/>
              </w:rPr>
              <w:t xml:space="preserve">23.64</w:t>
            </w:r>
          </w:p>
        </w:tc>
        <w:tc>
          <w:tcPr>
            <w:tcW w:type="dxa" w:w="917"/>
          </w:tcPr>
          <w:p>
            <w:pPr>
              <w:pStyle w:val="Compact"/>
              <w:spacing w:after="0" w:before="0" w:line="240" w:lineRule="auto"/>
              <w:jc w:val="left"/>
            </w:pPr>
            <w:r>
              <w:rPr>
                <w:rFonts w:ascii="Arial" w:hAnsi="Arial"/>
                <w:sz w:val="13"/>
              </w:rPr>
              <w:t xml:space="preserve">47.29</w:t>
            </w:r>
          </w:p>
        </w:tc>
        <w:tc>
          <w:tcPr>
            <w:tcW w:type="dxa" w:w="917"/>
          </w:tcPr>
          <w:p>
            <w:pPr>
              <w:pStyle w:val="Compact"/>
              <w:spacing w:after="0" w:before="0" w:line="240" w:lineRule="auto"/>
              <w:jc w:val="left"/>
            </w:pPr>
            <w:r>
              <w:rPr>
                <w:rFonts w:ascii="Arial" w:hAnsi="Arial"/>
                <w:sz w:val="13"/>
              </w:rPr>
              <w:t xml:space="preserve">12.79</w:t>
            </w:r>
          </w:p>
        </w:tc>
        <w:tc>
          <w:tcPr>
            <w:tcW w:type="dxa" w:w="917"/>
          </w:tcPr>
          <w:p>
            <w:pPr>
              <w:pStyle w:val="Compact"/>
              <w:spacing w:after="0" w:before="0" w:line="240" w:lineRule="auto"/>
              <w:jc w:val="left"/>
            </w:pPr>
            <w:r>
              <w:rPr>
                <w:rFonts w:ascii="Arial" w:hAnsi="Arial"/>
                <w:sz w:val="13"/>
              </w:rPr>
              <w:t xml:space="preserve">31.98</w:t>
            </w:r>
          </w:p>
        </w:tc>
        <w:tc>
          <w:tcPr>
            <w:tcW w:type="dxa" w:w="917"/>
          </w:tcPr>
          <w:p>
            <w:pPr>
              <w:pStyle w:val="Compact"/>
              <w:spacing w:after="0" w:before="0" w:line="240" w:lineRule="auto"/>
              <w:jc w:val="left"/>
            </w:pPr>
            <w:r>
              <w:rPr>
                <w:rFonts w:ascii="Arial" w:hAnsi="Arial"/>
                <w:sz w:val="13"/>
              </w:rPr>
              <w:t xml:space="preserve">63.96</w:t>
            </w:r>
          </w:p>
        </w:tc>
        <w:tc>
          <w:tcPr>
            <w:tcW w:type="dxa" w:w="917"/>
          </w:tcPr>
          <w:p>
            <w:pPr>
              <w:pStyle w:val="Compact"/>
              <w:spacing w:after="0" w:before="0" w:line="240" w:lineRule="auto"/>
              <w:jc w:val="left"/>
            </w:pPr>
            <w:r>
              <w:rPr>
                <w:rFonts w:ascii="Arial" w:hAnsi="Arial"/>
                <w:sz w:val="13"/>
              </w:rPr>
              <w:t xml:space="preserve">127.92</w:t>
            </w:r>
          </w:p>
        </w:tc>
        <w:tc>
          <w:tcPr>
            <w:tcW w:type="dxa" w:w="917"/>
          </w:tcPr>
          <w:p>
            <w:pPr>
              <w:pStyle w:val="Compact"/>
              <w:spacing w:after="0" w:before="0" w:line="240" w:lineRule="auto"/>
              <w:jc w:val="left"/>
            </w:pPr>
            <w:r>
              <w:rPr>
                <w:rFonts w:ascii="Arial" w:hAnsi="Arial"/>
                <w:sz w:val="13"/>
              </w:rPr>
              <w:t xml:space="preserve">5.73</w:t>
            </w:r>
          </w:p>
        </w:tc>
        <w:tc>
          <w:tcPr>
            <w:tcW w:type="dxa" w:w="917"/>
          </w:tcPr>
          <w:p>
            <w:pPr>
              <w:pStyle w:val="Compact"/>
              <w:spacing w:after="0" w:before="0" w:line="240" w:lineRule="auto"/>
              <w:jc w:val="left"/>
            </w:pPr>
            <w:r>
              <w:rPr>
                <w:rFonts w:ascii="Arial" w:hAnsi="Arial"/>
                <w:sz w:val="13"/>
              </w:rPr>
              <w:t xml:space="preserve">10.95</w:t>
            </w:r>
          </w:p>
        </w:tc>
      </w:tr>
      <w:tr>
        <w:trPr>
          <w:cantSplit/>
        </w:trPr>
        <w:tc>
          <w:tcPr>
            <w:tcW w:type="dxa" w:w="917"/>
          </w:tcPr>
          <w:p>
            <w:pPr>
              <w:pStyle w:val="Compact"/>
              <w:spacing w:after="0" w:before="0" w:line="240" w:lineRule="auto"/>
              <w:jc w:val="left"/>
            </w:pPr>
            <w:r>
              <w:rPr>
                <w:rFonts w:ascii="Arial" w:hAnsi="Arial"/>
                <w:sz w:val="13"/>
              </w:rPr>
              <w:t xml:space="preserve">2021</w:t>
            </w:r>
          </w:p>
        </w:tc>
        <w:tc>
          <w:tcPr>
            <w:tcW w:type="dxa" w:w="917"/>
          </w:tcPr>
          <w:p>
            <w:pPr>
              <w:pStyle w:val="Compact"/>
              <w:spacing w:after="0" w:before="0" w:line="240" w:lineRule="auto"/>
              <w:jc w:val="left"/>
            </w:pPr>
            <w:r>
              <w:rPr>
                <w:rFonts w:ascii="Arial" w:hAnsi="Arial"/>
                <w:sz w:val="13"/>
              </w:rPr>
              <w:t xml:space="preserve">3.96</w:t>
            </w:r>
          </w:p>
        </w:tc>
        <w:tc>
          <w:tcPr>
            <w:tcW w:type="dxa" w:w="917"/>
          </w:tcPr>
          <w:p>
            <w:pPr>
              <w:pStyle w:val="Compact"/>
              <w:spacing w:after="0" w:before="0" w:line="240" w:lineRule="auto"/>
              <w:jc w:val="left"/>
            </w:pPr>
            <w:r>
              <w:rPr>
                <w:rFonts w:ascii="Arial" w:hAnsi="Arial"/>
                <w:sz w:val="13"/>
              </w:rPr>
              <w:t xml:space="preserve">5.26</w:t>
            </w:r>
          </w:p>
        </w:tc>
        <w:tc>
          <w:tcPr>
            <w:tcW w:type="dxa" w:w="917"/>
          </w:tcPr>
          <w:p>
            <w:pPr>
              <w:pStyle w:val="Compact"/>
              <w:spacing w:after="0" w:before="0" w:line="240" w:lineRule="auto"/>
              <w:jc w:val="left"/>
            </w:pPr>
            <w:r>
              <w:rPr>
                <w:rFonts w:ascii="Arial" w:hAnsi="Arial"/>
                <w:sz w:val="13"/>
              </w:rPr>
              <w:t xml:space="preserve">21.04</w:t>
            </w:r>
          </w:p>
        </w:tc>
        <w:tc>
          <w:tcPr>
            <w:tcW w:type="dxa" w:w="917"/>
          </w:tcPr>
          <w:p>
            <w:pPr>
              <w:pStyle w:val="Compact"/>
              <w:spacing w:after="0" w:before="0" w:line="240" w:lineRule="auto"/>
              <w:jc w:val="left"/>
            </w:pPr>
            <w:r>
              <w:rPr>
                <w:rFonts w:ascii="Arial" w:hAnsi="Arial"/>
                <w:sz w:val="13"/>
              </w:rPr>
              <w:t xml:space="preserve">42.08</w:t>
            </w:r>
          </w:p>
        </w:tc>
        <w:tc>
          <w:tcPr>
            <w:tcW w:type="dxa" w:w="917"/>
          </w:tcPr>
          <w:p>
            <w:pPr>
              <w:pStyle w:val="Compact"/>
              <w:spacing w:after="0" w:before="0" w:line="240" w:lineRule="auto"/>
              <w:jc w:val="left"/>
            </w:pPr>
            <w:r>
              <w:rPr>
                <w:rFonts w:ascii="Arial" w:hAnsi="Arial"/>
                <w:sz w:val="13"/>
              </w:rPr>
              <w:t xml:space="preserve">13.66</w:t>
            </w:r>
          </w:p>
        </w:tc>
        <w:tc>
          <w:tcPr>
            <w:tcW w:type="dxa" w:w="917"/>
          </w:tcPr>
          <w:p>
            <w:pPr>
              <w:pStyle w:val="Compact"/>
              <w:spacing w:after="0" w:before="0" w:line="240" w:lineRule="auto"/>
              <w:jc w:val="left"/>
            </w:pPr>
            <w:r>
              <w:rPr>
                <w:rFonts w:ascii="Arial" w:hAnsi="Arial"/>
                <w:sz w:val="13"/>
              </w:rPr>
              <w:t xml:space="preserve">34.16</w:t>
            </w:r>
          </w:p>
        </w:tc>
        <w:tc>
          <w:tcPr>
            <w:tcW w:type="dxa" w:w="917"/>
          </w:tcPr>
          <w:p>
            <w:pPr>
              <w:pStyle w:val="Compact"/>
              <w:spacing w:after="0" w:before="0" w:line="240" w:lineRule="auto"/>
              <w:jc w:val="left"/>
            </w:pPr>
            <w:r>
              <w:rPr>
                <w:rFonts w:ascii="Arial" w:hAnsi="Arial"/>
                <w:sz w:val="13"/>
              </w:rPr>
              <w:t xml:space="preserve">68.33</w:t>
            </w:r>
          </w:p>
        </w:tc>
        <w:tc>
          <w:tcPr>
            <w:tcW w:type="dxa" w:w="917"/>
          </w:tcPr>
          <w:p>
            <w:pPr>
              <w:pStyle w:val="Compact"/>
              <w:spacing w:after="0" w:before="0" w:line="240" w:lineRule="auto"/>
              <w:jc w:val="left"/>
            </w:pPr>
            <w:r>
              <w:rPr>
                <w:rFonts w:ascii="Arial" w:hAnsi="Arial"/>
                <w:sz w:val="13"/>
              </w:rPr>
              <w:t xml:space="preserve">136.67</w:t>
            </w:r>
          </w:p>
        </w:tc>
        <w:tc>
          <w:tcPr>
            <w:tcW w:type="dxa" w:w="917"/>
          </w:tcPr>
          <w:p>
            <w:pPr>
              <w:pStyle w:val="Compact"/>
              <w:spacing w:after="0" w:before="0" w:line="240" w:lineRule="auto"/>
              <w:jc w:val="left"/>
            </w:pPr>
            <w:r>
              <w:rPr>
                <w:rFonts w:ascii="Arial" w:hAnsi="Arial"/>
                <w:sz w:val="13"/>
              </w:rPr>
              <w:t xml:space="preserve">5.36</w:t>
            </w:r>
          </w:p>
        </w:tc>
        <w:tc>
          <w:tcPr>
            <w:tcW w:type="dxa" w:w="917"/>
          </w:tcPr>
          <w:p>
            <w:pPr>
              <w:pStyle w:val="Compact"/>
              <w:spacing w:after="0" w:before="0" w:line="240" w:lineRule="auto"/>
              <w:jc w:val="left"/>
            </w:pPr>
            <w:r>
              <w:rPr>
                <w:rFonts w:ascii="Arial" w:hAnsi="Arial"/>
                <w:sz w:val="13"/>
              </w:rPr>
              <w:t xml:space="preserve">10.04</w:t>
            </w:r>
          </w:p>
        </w:tc>
      </w:tr>
      <w:tr>
        <w:trPr>
          <w:cantSplit/>
        </w:trPr>
        <w:tc>
          <w:tcPr>
            <w:tcW w:type="dxa" w:w="917"/>
          </w:tcPr>
          <w:p>
            <w:pPr>
              <w:pStyle w:val="Compact"/>
              <w:spacing w:after="0" w:before="0" w:line="240" w:lineRule="auto"/>
              <w:jc w:val="left"/>
            </w:pPr>
            <w:r>
              <w:rPr>
                <w:rFonts w:ascii="Arial" w:hAnsi="Arial"/>
                <w:sz w:val="13"/>
              </w:rPr>
              <w:t xml:space="preserve">2022</w:t>
            </w:r>
          </w:p>
        </w:tc>
        <w:tc>
          <w:tcPr>
            <w:tcW w:type="dxa" w:w="917"/>
          </w:tcPr>
          <w:p>
            <w:pPr>
              <w:pStyle w:val="Compact"/>
              <w:spacing w:after="0" w:before="0" w:line="240" w:lineRule="auto"/>
              <w:jc w:val="left"/>
            </w:pPr>
            <w:r>
              <w:rPr>
                <w:rFonts w:ascii="Arial" w:hAnsi="Arial"/>
                <w:sz w:val="13"/>
              </w:rPr>
              <w:t xml:space="preserve">3.99</w:t>
            </w:r>
          </w:p>
        </w:tc>
        <w:tc>
          <w:tcPr>
            <w:tcW w:type="dxa" w:w="917"/>
          </w:tcPr>
          <w:p>
            <w:pPr>
              <w:pStyle w:val="Compact"/>
              <w:spacing w:after="0" w:before="0" w:line="240" w:lineRule="auto"/>
              <w:jc w:val="left"/>
            </w:pPr>
            <w:r>
              <w:rPr>
                <w:rFonts w:ascii="Arial" w:hAnsi="Arial"/>
                <w:sz w:val="13"/>
              </w:rPr>
              <w:t xml:space="preserve">5.49</w:t>
            </w:r>
          </w:p>
        </w:tc>
        <w:tc>
          <w:tcPr>
            <w:tcW w:type="dxa" w:w="917"/>
          </w:tcPr>
          <w:p>
            <w:pPr>
              <w:pStyle w:val="Compact"/>
              <w:spacing w:after="0" w:before="0" w:line="240" w:lineRule="auto"/>
              <w:jc w:val="left"/>
            </w:pPr>
            <w:r>
              <w:rPr>
                <w:rFonts w:ascii="Arial" w:hAnsi="Arial"/>
                <w:sz w:val="13"/>
              </w:rPr>
              <w:t xml:space="preserve">21.96</w:t>
            </w:r>
          </w:p>
        </w:tc>
        <w:tc>
          <w:tcPr>
            <w:tcW w:type="dxa" w:w="917"/>
          </w:tcPr>
          <w:p>
            <w:pPr>
              <w:pStyle w:val="Compact"/>
              <w:spacing w:after="0" w:before="0" w:line="240" w:lineRule="auto"/>
              <w:jc w:val="left"/>
            </w:pPr>
            <w:r>
              <w:rPr>
                <w:rFonts w:ascii="Arial" w:hAnsi="Arial"/>
                <w:sz w:val="13"/>
              </w:rPr>
              <w:t xml:space="preserve">43.92</w:t>
            </w:r>
          </w:p>
        </w:tc>
        <w:tc>
          <w:tcPr>
            <w:tcW w:type="dxa" w:w="917"/>
          </w:tcPr>
          <w:p>
            <w:pPr>
              <w:pStyle w:val="Compact"/>
              <w:spacing w:after="0" w:before="0" w:line="240" w:lineRule="auto"/>
              <w:jc w:val="left"/>
            </w:pPr>
            <w:r>
              <w:rPr>
                <w:rFonts w:ascii="Arial" w:hAnsi="Arial"/>
                <w:sz w:val="13"/>
              </w:rPr>
              <w:t xml:space="preserve">15.32</w:t>
            </w:r>
          </w:p>
        </w:tc>
        <w:tc>
          <w:tcPr>
            <w:tcW w:type="dxa" w:w="917"/>
          </w:tcPr>
          <w:p>
            <w:pPr>
              <w:pStyle w:val="Compact"/>
              <w:spacing w:after="0" w:before="0" w:line="240" w:lineRule="auto"/>
              <w:jc w:val="left"/>
            </w:pPr>
            <w:r>
              <w:rPr>
                <w:rFonts w:ascii="Arial" w:hAnsi="Arial"/>
                <w:sz w:val="13"/>
              </w:rPr>
              <w:t xml:space="preserve">38.30</w:t>
            </w:r>
          </w:p>
        </w:tc>
        <w:tc>
          <w:tcPr>
            <w:tcW w:type="dxa" w:w="917"/>
          </w:tcPr>
          <w:p>
            <w:pPr>
              <w:pStyle w:val="Compact"/>
              <w:spacing w:after="0" w:before="0" w:line="240" w:lineRule="auto"/>
              <w:jc w:val="left"/>
            </w:pPr>
            <w:r>
              <w:rPr>
                <w:rFonts w:ascii="Arial" w:hAnsi="Arial"/>
                <w:sz w:val="13"/>
              </w:rPr>
              <w:t xml:space="preserve">76.59</w:t>
            </w:r>
          </w:p>
        </w:tc>
        <w:tc>
          <w:tcPr>
            <w:tcW w:type="dxa" w:w="917"/>
          </w:tcPr>
          <w:p>
            <w:pPr>
              <w:pStyle w:val="Compact"/>
              <w:spacing w:after="0" w:before="0" w:line="240" w:lineRule="auto"/>
              <w:jc w:val="left"/>
            </w:pPr>
            <w:r>
              <w:rPr>
                <w:rFonts w:ascii="Arial" w:hAnsi="Arial"/>
                <w:sz w:val="13"/>
              </w:rPr>
              <w:t xml:space="preserve">153.19</w:t>
            </w:r>
          </w:p>
        </w:tc>
        <w:tc>
          <w:tcPr>
            <w:tcW w:type="dxa" w:w="917"/>
          </w:tcPr>
          <w:p>
            <w:pPr>
              <w:pStyle w:val="Compact"/>
              <w:spacing w:after="0" w:before="0" w:line="240" w:lineRule="auto"/>
              <w:jc w:val="left"/>
            </w:pPr>
            <w:r>
              <w:rPr>
                <w:rFonts w:ascii="Arial" w:hAnsi="Arial"/>
                <w:sz w:val="13"/>
              </w:rPr>
              <w:t xml:space="preserve">6.13</w:t>
            </w:r>
          </w:p>
        </w:tc>
        <w:tc>
          <w:tcPr>
            <w:tcW w:type="dxa" w:w="917"/>
          </w:tcPr>
          <w:p>
            <w:pPr>
              <w:pStyle w:val="Compact"/>
              <w:spacing w:after="0" w:before="0" w:line="240" w:lineRule="auto"/>
              <w:jc w:val="left"/>
            </w:pPr>
            <w:r>
              <w:rPr>
                <w:rFonts w:ascii="Arial" w:hAnsi="Arial"/>
                <w:sz w:val="13"/>
              </w:rPr>
              <w:t xml:space="preserve">10.46</w:t>
            </w:r>
          </w:p>
        </w:tc>
      </w:tr>
      <w:tr>
        <w:trPr>
          <w:cantSplit/>
        </w:trPr>
        <w:tc>
          <w:tcPr>
            <w:tcW w:type="dxa" w:w="917"/>
          </w:tcPr>
          <w:p>
            <w:pPr>
              <w:pStyle w:val="Compact"/>
              <w:spacing w:after="0" w:before="0" w:line="240" w:lineRule="auto"/>
              <w:jc w:val="left"/>
            </w:pPr>
            <w:r>
              <w:rPr>
                <w:rFonts w:ascii="Arial" w:hAnsi="Arial"/>
                <w:sz w:val="13"/>
              </w:rPr>
              <w:t xml:space="preserve">2023</w:t>
            </w:r>
          </w:p>
        </w:tc>
        <w:tc>
          <w:tcPr>
            <w:tcW w:type="dxa" w:w="917"/>
          </w:tcPr>
          <w:p>
            <w:pPr>
              <w:pStyle w:val="Compact"/>
              <w:spacing w:after="0" w:before="0" w:line="240" w:lineRule="auto"/>
              <w:jc w:val="left"/>
            </w:pPr>
            <w:r>
              <w:rPr>
                <w:rFonts w:ascii="Arial" w:hAnsi="Arial"/>
                <w:sz w:val="13"/>
              </w:rPr>
              <w:t xml:space="preserve">3.75</w:t>
            </w:r>
          </w:p>
        </w:tc>
        <w:tc>
          <w:tcPr>
            <w:tcW w:type="dxa" w:w="917"/>
          </w:tcPr>
          <w:p>
            <w:pPr>
              <w:pStyle w:val="Compact"/>
              <w:spacing w:after="0" w:before="0" w:line="240" w:lineRule="auto"/>
              <w:jc w:val="left"/>
            </w:pPr>
            <w:r>
              <w:rPr>
                <w:rFonts w:ascii="Arial" w:hAnsi="Arial"/>
                <w:sz w:val="13"/>
              </w:rPr>
              <w:t xml:space="preserve">5.22</w:t>
            </w:r>
          </w:p>
        </w:tc>
        <w:tc>
          <w:tcPr>
            <w:tcW w:type="dxa" w:w="917"/>
          </w:tcPr>
          <w:p>
            <w:pPr>
              <w:pStyle w:val="Compact"/>
              <w:spacing w:after="0" w:before="0" w:line="240" w:lineRule="auto"/>
              <w:jc w:val="left"/>
            </w:pPr>
            <w:r>
              <w:rPr>
                <w:rFonts w:ascii="Arial" w:hAnsi="Arial"/>
                <w:sz w:val="13"/>
              </w:rPr>
              <w:t xml:space="preserve">20.87</w:t>
            </w:r>
          </w:p>
        </w:tc>
        <w:tc>
          <w:tcPr>
            <w:tcW w:type="dxa" w:w="917"/>
          </w:tcPr>
          <w:p>
            <w:pPr>
              <w:pStyle w:val="Compact"/>
              <w:spacing w:after="0" w:before="0" w:line="240" w:lineRule="auto"/>
              <w:jc w:val="left"/>
            </w:pPr>
            <w:r>
              <w:rPr>
                <w:rFonts w:ascii="Arial" w:hAnsi="Arial"/>
                <w:sz w:val="13"/>
              </w:rPr>
              <w:t xml:space="preserve">41.75</w:t>
            </w:r>
          </w:p>
        </w:tc>
        <w:tc>
          <w:tcPr>
            <w:tcW w:type="dxa" w:w="917"/>
          </w:tcPr>
          <w:p>
            <w:pPr>
              <w:pStyle w:val="Compact"/>
              <w:spacing w:after="0" w:before="0" w:line="240" w:lineRule="auto"/>
              <w:jc w:val="left"/>
            </w:pPr>
            <w:r>
              <w:rPr>
                <w:rFonts w:ascii="Arial" w:hAnsi="Arial"/>
                <w:sz w:val="13"/>
              </w:rPr>
              <w:t xml:space="preserve">16.74</w:t>
            </w:r>
          </w:p>
        </w:tc>
        <w:tc>
          <w:tcPr>
            <w:tcW w:type="dxa" w:w="917"/>
          </w:tcPr>
          <w:p>
            <w:pPr>
              <w:pStyle w:val="Compact"/>
              <w:spacing w:after="0" w:before="0" w:line="240" w:lineRule="auto"/>
              <w:jc w:val="left"/>
            </w:pPr>
            <w:r>
              <w:rPr>
                <w:rFonts w:ascii="Arial" w:hAnsi="Arial"/>
                <w:sz w:val="13"/>
              </w:rPr>
              <w:t xml:space="preserve">41.85</w:t>
            </w:r>
          </w:p>
        </w:tc>
        <w:tc>
          <w:tcPr>
            <w:tcW w:type="dxa" w:w="917"/>
          </w:tcPr>
          <w:p>
            <w:pPr>
              <w:pStyle w:val="Compact"/>
              <w:spacing w:after="0" w:before="0" w:line="240" w:lineRule="auto"/>
              <w:jc w:val="left"/>
            </w:pPr>
            <w:r>
              <w:rPr>
                <w:rFonts w:ascii="Arial" w:hAnsi="Arial"/>
                <w:sz w:val="13"/>
              </w:rPr>
              <w:t xml:space="preserve">83.70</w:t>
            </w:r>
          </w:p>
        </w:tc>
        <w:tc>
          <w:tcPr>
            <w:tcW w:type="dxa" w:w="917"/>
          </w:tcPr>
          <w:p>
            <w:pPr>
              <w:pStyle w:val="Compact"/>
              <w:spacing w:after="0" w:before="0" w:line="240" w:lineRule="auto"/>
              <w:jc w:val="left"/>
            </w:pPr>
            <w:r>
              <w:rPr>
                <w:rFonts w:ascii="Arial" w:hAnsi="Arial"/>
                <w:sz w:val="13"/>
              </w:rPr>
              <w:t xml:space="preserve">167.40</w:t>
            </w:r>
          </w:p>
        </w:tc>
        <w:tc>
          <w:tcPr>
            <w:tcW w:type="dxa" w:w="917"/>
          </w:tcPr>
          <w:p>
            <w:pPr>
              <w:pStyle w:val="Compact"/>
              <w:spacing w:after="0" w:before="0" w:line="240" w:lineRule="auto"/>
              <w:jc w:val="left"/>
            </w:pPr>
            <w:r>
              <w:rPr>
                <w:rFonts w:ascii="Arial" w:hAnsi="Arial"/>
                <w:sz w:val="13"/>
              </w:rPr>
              <w:t xml:space="preserve">7.30</w:t>
            </w:r>
          </w:p>
        </w:tc>
        <w:tc>
          <w:tcPr>
            <w:tcW w:type="dxa" w:w="917"/>
          </w:tcPr>
          <w:p>
            <w:pPr>
              <w:pStyle w:val="Compact"/>
              <w:spacing w:after="0" w:before="0" w:line="240" w:lineRule="auto"/>
              <w:jc w:val="left"/>
            </w:pPr>
            <w:r>
              <w:rPr>
                <w:rFonts w:ascii="Arial" w:hAnsi="Arial"/>
                <w:sz w:val="13"/>
              </w:rPr>
              <w:t xml:space="preserve">11.24</w:t>
            </w:r>
          </w:p>
        </w:tc>
      </w:tr>
      <w:tr>
        <w:trPr>
          <w:cantSplit/>
        </w:trPr>
        <w:tc>
          <w:tcPr>
            <w:tcW w:type="dxa" w:w="917"/>
          </w:tcPr>
          <w:p>
            <w:pPr>
              <w:pStyle w:val="Compact"/>
              <w:spacing w:after="0" w:before="0" w:line="240" w:lineRule="auto"/>
              <w:jc w:val="left"/>
            </w:pPr>
            <w:r>
              <w:rPr>
                <w:rFonts w:ascii="Arial" w:hAnsi="Arial"/>
                <w:sz w:val="13"/>
              </w:rPr>
              <w:t xml:space="preserve">2024</w:t>
            </w:r>
          </w:p>
        </w:tc>
        <w:tc>
          <w:tcPr>
            <w:tcW w:type="dxa" w:w="917"/>
          </w:tcPr>
          <w:p>
            <w:pPr>
              <w:pStyle w:val="Compact"/>
              <w:spacing w:after="0" w:before="0" w:line="240" w:lineRule="auto"/>
              <w:jc w:val="left"/>
            </w:pPr>
            <w:r>
              <w:rPr>
                <w:rFonts w:ascii="Arial" w:hAnsi="Arial"/>
                <w:sz w:val="13"/>
              </w:rPr>
              <w:t xml:space="preserve">2.63*</w:t>
            </w:r>
          </w:p>
        </w:tc>
        <w:tc>
          <w:tcPr>
            <w:tcW w:type="dxa" w:w="917"/>
          </w:tcPr>
          <w:p>
            <w:pPr>
              <w:pStyle w:val="Compact"/>
              <w:spacing w:after="0" w:before="0" w:line="240" w:lineRule="auto"/>
              <w:jc w:val="left"/>
            </w:pPr>
            <w:r>
              <w:rPr>
                <w:rFonts w:ascii="Arial" w:hAnsi="Arial"/>
                <w:sz w:val="13"/>
              </w:rPr>
              <w:t xml:space="preserve">6.53*</w:t>
            </w:r>
          </w:p>
        </w:tc>
        <w:tc>
          <w:tcPr>
            <w:tcW w:type="dxa" w:w="917"/>
          </w:tcPr>
          <w:p>
            <w:pPr>
              <w:pStyle w:val="Compact"/>
              <w:spacing w:after="0" w:before="0" w:line="240" w:lineRule="auto"/>
              <w:jc w:val="left"/>
            </w:pPr>
            <w:r>
              <w:rPr>
                <w:rFonts w:ascii="Arial" w:hAnsi="Arial"/>
                <w:sz w:val="13"/>
              </w:rPr>
              <w:t xml:space="preserve">26.11*</w:t>
            </w:r>
          </w:p>
        </w:tc>
        <w:tc>
          <w:tcPr>
            <w:tcW w:type="dxa" w:w="917"/>
          </w:tcPr>
          <w:p>
            <w:pPr>
              <w:pStyle w:val="Compact"/>
              <w:spacing w:after="0" w:before="0" w:line="240" w:lineRule="auto"/>
              <w:jc w:val="left"/>
            </w:pPr>
            <w:r>
              <w:rPr>
                <w:rFonts w:ascii="Arial" w:hAnsi="Arial"/>
                <w:sz w:val="13"/>
              </w:rPr>
              <w:t xml:space="preserve">52.23*</w:t>
            </w:r>
          </w:p>
        </w:tc>
        <w:tc>
          <w:tcPr>
            <w:tcW w:type="dxa" w:w="917"/>
          </w:tcPr>
          <w:p>
            <w:pPr>
              <w:pStyle w:val="Compact"/>
              <w:spacing w:after="0" w:before="0" w:line="240" w:lineRule="auto"/>
              <w:jc w:val="left"/>
            </w:pPr>
            <w:r>
              <w:rPr>
                <w:rFonts w:ascii="Arial" w:hAnsi="Arial"/>
                <w:sz w:val="13"/>
              </w:rPr>
              <w:t xml:space="preserve">17.82</w:t>
            </w:r>
          </w:p>
        </w:tc>
        <w:tc>
          <w:tcPr>
            <w:tcW w:type="dxa" w:w="917"/>
          </w:tcPr>
          <w:p>
            <w:pPr>
              <w:pStyle w:val="Compact"/>
              <w:spacing w:after="0" w:before="0" w:line="240" w:lineRule="auto"/>
              <w:jc w:val="left"/>
            </w:pPr>
            <w:r>
              <w:rPr>
                <w:rFonts w:ascii="Arial" w:hAnsi="Arial"/>
                <w:sz w:val="13"/>
              </w:rPr>
              <w:t xml:space="preserve">44.55</w:t>
            </w:r>
          </w:p>
        </w:tc>
        <w:tc>
          <w:tcPr>
            <w:tcW w:type="dxa" w:w="917"/>
          </w:tcPr>
          <w:p>
            <w:pPr>
              <w:pStyle w:val="Compact"/>
              <w:spacing w:after="0" w:before="0" w:line="240" w:lineRule="auto"/>
              <w:jc w:val="left"/>
            </w:pPr>
            <w:r>
              <w:rPr>
                <w:rFonts w:ascii="Arial" w:hAnsi="Arial"/>
                <w:sz w:val="13"/>
              </w:rPr>
              <w:t xml:space="preserve">89.10</w:t>
            </w:r>
          </w:p>
        </w:tc>
        <w:tc>
          <w:tcPr>
            <w:tcW w:type="dxa" w:w="917"/>
          </w:tcPr>
          <w:p>
            <w:pPr>
              <w:pStyle w:val="Compact"/>
              <w:spacing w:after="0" w:before="0" w:line="240" w:lineRule="auto"/>
              <w:jc w:val="left"/>
            </w:pPr>
            <w:r>
              <w:rPr>
                <w:rFonts w:ascii="Arial" w:hAnsi="Arial"/>
                <w:sz w:val="13"/>
              </w:rPr>
              <w:t xml:space="preserve">178.19</w:t>
            </w:r>
          </w:p>
        </w:tc>
        <w:tc>
          <w:tcPr>
            <w:tcW w:type="dxa" w:w="917"/>
          </w:tcPr>
          <w:p>
            <w:pPr>
              <w:pStyle w:val="Compact"/>
              <w:spacing w:after="0" w:before="0" w:line="240" w:lineRule="auto"/>
              <w:jc w:val="left"/>
            </w:pPr>
            <w:r>
              <w:rPr>
                <w:rFonts w:ascii="Arial" w:hAnsi="Arial"/>
                <w:sz w:val="13"/>
              </w:rPr>
              <w:t xml:space="preserve">5.21*</w:t>
            </w:r>
          </w:p>
        </w:tc>
        <w:tc>
          <w:tcPr>
            <w:tcW w:type="dxa" w:w="917"/>
          </w:tcPr>
          <w:p>
            <w:pPr>
              <w:pStyle w:val="Compact"/>
              <w:spacing w:after="0" w:before="0" w:line="240" w:lineRule="auto"/>
              <w:jc w:val="left"/>
            </w:pPr>
            <w:r>
              <w:rPr>
                <w:rFonts w:ascii="Arial" w:hAnsi="Arial"/>
                <w:sz w:val="13"/>
              </w:rPr>
              <w:t xml:space="preserve">9.69*</w:t>
            </w:r>
          </w:p>
        </w:tc>
      </w:tr>
      <w:tr>
        <w:trPr>
          <w:cantSplit/>
        </w:trPr>
        <w:tc>
          <w:tcPr>
            <w:tcW w:type="dxa" w:w="917"/>
          </w:tcPr>
          <w:p>
            <w:pPr>
              <w:pStyle w:val="Compact"/>
              <w:spacing w:after="0" w:before="0" w:line="240" w:lineRule="auto"/>
              <w:jc w:val="left"/>
            </w:pPr>
            <w:r>
              <w:rPr>
                <w:rFonts w:ascii="Arial" w:hAnsi="Arial"/>
                <w:sz w:val="13"/>
              </w:rPr>
              <w:t xml:space="preserve">2025</w:t>
            </w:r>
          </w:p>
        </w:tc>
        <w:tc>
          <w:tcPr>
            <w:tcW w:type="dxa" w:w="917"/>
          </w:tcPr>
          <w:p>
            <w:pPr>
              <w:pStyle w:val="Compact"/>
              <w:spacing w:after="0" w:before="0" w:line="240" w:lineRule="auto"/>
              <w:jc w:val="left"/>
            </w:pPr>
            <w:r>
              <w:rPr>
                <w:rFonts w:ascii="Arial" w:hAnsi="Arial"/>
                <w:sz w:val="13"/>
              </w:rPr>
              <w:t xml:space="preserve">1.86</w:t>
            </w:r>
          </w:p>
        </w:tc>
        <w:tc>
          <w:tcPr>
            <w:tcW w:type="dxa" w:w="917"/>
          </w:tcPr>
          <w:p>
            <w:pPr>
              <w:pStyle w:val="Compact"/>
              <w:spacing w:after="0" w:before="0" w:line="240" w:lineRule="auto"/>
              <w:jc w:val="left"/>
            </w:pPr>
            <w:r>
              <w:rPr>
                <w:rFonts w:ascii="Arial" w:hAnsi="Arial"/>
                <w:sz w:val="13"/>
              </w:rPr>
              <w:t xml:space="preserve">5.83</w:t>
            </w:r>
          </w:p>
        </w:tc>
        <w:tc>
          <w:tcPr>
            <w:tcW w:type="dxa" w:w="917"/>
          </w:tcPr>
          <w:p>
            <w:pPr>
              <w:pStyle w:val="Compact"/>
              <w:spacing w:after="0" w:before="0" w:line="240" w:lineRule="auto"/>
              <w:jc w:val="left"/>
            </w:pPr>
            <w:r>
              <w:rPr>
                <w:rFonts w:ascii="Arial" w:hAnsi="Arial"/>
                <w:sz w:val="13"/>
              </w:rPr>
              <w:t xml:space="preserve">23.30</w:t>
            </w:r>
          </w:p>
        </w:tc>
        <w:tc>
          <w:tcPr>
            <w:tcW w:type="dxa" w:w="917"/>
          </w:tcPr>
          <w:p>
            <w:pPr>
              <w:pStyle w:val="Compact"/>
              <w:spacing w:after="0" w:before="0" w:line="240" w:lineRule="auto"/>
              <w:jc w:val="left"/>
            </w:pPr>
            <w:r>
              <w:rPr>
                <w:rFonts w:ascii="Arial" w:hAnsi="Arial"/>
                <w:sz w:val="13"/>
              </w:rPr>
              <w:t xml:space="preserve">46.60</w:t>
            </w:r>
          </w:p>
        </w:tc>
        <w:tc>
          <w:tcPr>
            <w:tcW w:type="dxa" w:w="917"/>
          </w:tcPr>
          <w:p>
            <w:pPr>
              <w:pStyle w:val="Compact"/>
              <w:spacing w:after="0" w:before="0" w:line="240" w:lineRule="auto"/>
              <w:jc w:val="left"/>
            </w:pPr>
            <w:r>
              <w:rPr>
                <w:rFonts w:ascii="Arial" w:hAnsi="Arial"/>
                <w:sz w:val="13"/>
              </w:rPr>
              <w:t xml:space="preserve">19.82</w:t>
            </w:r>
          </w:p>
        </w:tc>
        <w:tc>
          <w:tcPr>
            <w:tcW w:type="dxa" w:w="917"/>
          </w:tcPr>
          <w:p>
            <w:pPr>
              <w:pStyle w:val="Compact"/>
              <w:spacing w:after="0" w:before="0" w:line="240" w:lineRule="auto"/>
              <w:jc w:val="left"/>
            </w:pPr>
            <w:r>
              <w:rPr>
                <w:rFonts w:ascii="Arial" w:hAnsi="Arial"/>
                <w:sz w:val="13"/>
              </w:rPr>
              <w:t xml:space="preserve">49.55</w:t>
            </w:r>
          </w:p>
        </w:tc>
        <w:tc>
          <w:tcPr>
            <w:tcW w:type="dxa" w:w="917"/>
          </w:tcPr>
          <w:p>
            <w:pPr>
              <w:pStyle w:val="Compact"/>
              <w:spacing w:after="0" w:before="0" w:line="240" w:lineRule="auto"/>
              <w:jc w:val="left"/>
            </w:pPr>
            <w:r>
              <w:rPr>
                <w:rFonts w:ascii="Arial" w:hAnsi="Arial"/>
                <w:sz w:val="13"/>
              </w:rPr>
              <w:t xml:space="preserve">99.09</w:t>
            </w:r>
          </w:p>
        </w:tc>
        <w:tc>
          <w:tcPr>
            <w:tcW w:type="dxa" w:w="917"/>
          </w:tcPr>
          <w:p>
            <w:pPr>
              <w:pStyle w:val="Compact"/>
              <w:spacing w:after="0" w:before="0" w:line="240" w:lineRule="auto"/>
              <w:jc w:val="left"/>
            </w:pPr>
            <w:r>
              <w:rPr>
                <w:rFonts w:ascii="Arial" w:hAnsi="Arial"/>
                <w:sz w:val="13"/>
              </w:rPr>
              <w:t xml:space="preserve">198.19</w:t>
            </w:r>
          </w:p>
        </w:tc>
        <w:tc>
          <w:tcPr>
            <w:tcW w:type="dxa" w:w="917"/>
          </w:tcPr>
          <w:p>
            <w:pPr>
              <w:pStyle w:val="Compact"/>
              <w:spacing w:after="0" w:before="0" w:line="240" w:lineRule="auto"/>
              <w:jc w:val="left"/>
            </w:pPr>
            <w:r>
              <w:rPr>
                <w:rFonts w:ascii="Arial" w:hAnsi="Arial"/>
                <w:sz w:val="13"/>
              </w:rPr>
              <w:t xml:space="preserve">4.40</w:t>
            </w:r>
          </w:p>
        </w:tc>
        <w:tc>
          <w:tcPr>
            <w:tcW w:type="dxa" w:w="917"/>
          </w:tcPr>
          <w:p>
            <w:pPr>
              <w:pStyle w:val="Compact"/>
              <w:spacing w:after="0" w:before="0" w:line="240" w:lineRule="auto"/>
              <w:jc w:val="left"/>
            </w:pPr>
            <w:r>
              <w:rPr>
                <w:rFonts w:ascii="Arial" w:hAnsi="Arial"/>
                <w:sz w:val="13"/>
              </w:rPr>
              <w:t xml:space="preserve">8.79</w:t>
            </w:r>
          </w:p>
        </w:tc>
      </w:tr>
      <w:tr>
        <w:trPr>
          <w:cantSplit/>
        </w:trPr>
        <w:tc>
          <w:tcPr>
            <w:tcW w:type="dxa" w:w="917"/>
          </w:tcPr>
          <w:p>
            <w:pPr>
              <w:pStyle w:val="Compact"/>
              <w:spacing w:after="0" w:before="0" w:line="240" w:lineRule="auto"/>
              <w:jc w:val="left"/>
            </w:pPr>
            <w:r>
              <w:rPr>
                <w:rFonts w:ascii="Arial" w:hAnsi="Arial"/>
                <w:sz w:val="13"/>
              </w:rPr>
              <w:t xml:space="preserve">2026</w:t>
            </w:r>
          </w:p>
        </w:tc>
        <w:tc>
          <w:tcPr>
            <w:tcW w:type="dxa" w:w="917"/>
          </w:tcPr>
          <w:p>
            <w:pPr>
              <w:pStyle w:val="Compact"/>
              <w:spacing w:after="0" w:before="0" w:line="240" w:lineRule="auto"/>
              <w:jc w:val="left"/>
            </w:pPr>
            <w:r>
              <w:rPr>
                <w:rFonts w:ascii="Arial" w:hAnsi="Arial"/>
                <w:sz w:val="13"/>
              </w:rPr>
              <w:t xml:space="preserve">1.85</w:t>
            </w:r>
          </w:p>
        </w:tc>
        <w:tc>
          <w:tcPr>
            <w:tcW w:type="dxa" w:w="917"/>
          </w:tcPr>
          <w:p>
            <w:pPr>
              <w:pStyle w:val="Compact"/>
              <w:spacing w:after="0" w:before="0" w:line="240" w:lineRule="auto"/>
              <w:jc w:val="left"/>
            </w:pPr>
            <w:r>
              <w:rPr>
                <w:rFonts w:ascii="Arial" w:hAnsi="Arial"/>
                <w:sz w:val="13"/>
              </w:rPr>
              <w:t xml:space="preserve">5.80</w:t>
            </w:r>
          </w:p>
        </w:tc>
        <w:tc>
          <w:tcPr>
            <w:tcW w:type="dxa" w:w="917"/>
          </w:tcPr>
          <w:p>
            <w:pPr>
              <w:pStyle w:val="Compact"/>
              <w:spacing w:after="0" w:before="0" w:line="240" w:lineRule="auto"/>
              <w:jc w:val="left"/>
            </w:pPr>
            <w:r>
              <w:rPr>
                <w:rFonts w:ascii="Arial" w:hAnsi="Arial"/>
                <w:sz w:val="13"/>
              </w:rPr>
              <w:t xml:space="preserve">23.21</w:t>
            </w:r>
          </w:p>
        </w:tc>
        <w:tc>
          <w:tcPr>
            <w:tcW w:type="dxa" w:w="917"/>
          </w:tcPr>
          <w:p>
            <w:pPr>
              <w:pStyle w:val="Compact"/>
              <w:spacing w:after="0" w:before="0" w:line="240" w:lineRule="auto"/>
              <w:jc w:val="left"/>
            </w:pPr>
            <w:r>
              <w:rPr>
                <w:rFonts w:ascii="Arial" w:hAnsi="Arial"/>
                <w:sz w:val="13"/>
              </w:rPr>
              <w:t xml:space="preserve">46.41</w:t>
            </w:r>
          </w:p>
        </w:tc>
        <w:tc>
          <w:tcPr>
            <w:tcW w:type="dxa" w:w="917"/>
          </w:tcPr>
          <w:p>
            <w:pPr>
              <w:pStyle w:val="Compact"/>
              <w:spacing w:after="0" w:before="0" w:line="240" w:lineRule="auto"/>
              <w:jc w:val="left"/>
            </w:pPr>
            <w:r>
              <w:rPr>
                <w:rFonts w:ascii="Arial" w:hAnsi="Arial"/>
                <w:sz w:val="13"/>
              </w:rPr>
              <w:t xml:space="preserve">21.32</w:t>
            </w:r>
          </w:p>
        </w:tc>
        <w:tc>
          <w:tcPr>
            <w:tcW w:type="dxa" w:w="917"/>
          </w:tcPr>
          <w:p>
            <w:pPr>
              <w:pStyle w:val="Compact"/>
              <w:spacing w:after="0" w:before="0" w:line="240" w:lineRule="auto"/>
              <w:jc w:val="left"/>
            </w:pPr>
            <w:r>
              <w:rPr>
                <w:rFonts w:ascii="Arial" w:hAnsi="Arial"/>
                <w:sz w:val="13"/>
              </w:rPr>
              <w:t xml:space="preserve">53.31</w:t>
            </w:r>
          </w:p>
        </w:tc>
        <w:tc>
          <w:tcPr>
            <w:tcW w:type="dxa" w:w="917"/>
          </w:tcPr>
          <w:p>
            <w:pPr>
              <w:pStyle w:val="Compact"/>
              <w:spacing w:after="0" w:before="0" w:line="240" w:lineRule="auto"/>
              <w:jc w:val="left"/>
            </w:pPr>
            <w:r>
              <w:rPr>
                <w:rFonts w:ascii="Arial" w:hAnsi="Arial"/>
                <w:sz w:val="13"/>
              </w:rPr>
              <w:t xml:space="preserve">106.61</w:t>
            </w:r>
          </w:p>
        </w:tc>
        <w:tc>
          <w:tcPr>
            <w:tcW w:type="dxa" w:w="917"/>
          </w:tcPr>
          <w:p>
            <w:pPr>
              <w:pStyle w:val="Compact"/>
              <w:spacing w:after="0" w:before="0" w:line="240" w:lineRule="auto"/>
              <w:jc w:val="left"/>
            </w:pPr>
            <w:r>
              <w:rPr>
                <w:rFonts w:ascii="Arial" w:hAnsi="Arial"/>
                <w:sz w:val="13"/>
              </w:rPr>
              <w:t xml:space="preserve">213.22</w:t>
            </w:r>
          </w:p>
        </w:tc>
        <w:tc>
          <w:tcPr>
            <w:tcW w:type="dxa" w:w="917"/>
          </w:tcPr>
          <w:p>
            <w:pPr>
              <w:pStyle w:val="Compact"/>
              <w:spacing w:after="0" w:before="0" w:line="240" w:lineRule="auto"/>
              <w:jc w:val="left"/>
            </w:pPr>
            <w:r>
              <w:rPr>
                <w:rFonts w:ascii="Arial" w:hAnsi="Arial"/>
                <w:sz w:val="13"/>
              </w:rPr>
              <w:t xml:space="preserve">4.46</w:t>
            </w:r>
          </w:p>
        </w:tc>
        <w:tc>
          <w:tcPr>
            <w:tcW w:type="dxa" w:w="917"/>
          </w:tcPr>
          <w:p>
            <w:pPr>
              <w:pStyle w:val="Compact"/>
              <w:spacing w:after="0" w:before="0" w:line="240" w:lineRule="auto"/>
              <w:jc w:val="left"/>
            </w:pPr>
            <w:r>
              <w:rPr>
                <w:rFonts w:ascii="Arial" w:hAnsi="Arial"/>
                <w:sz w:val="13"/>
              </w:rPr>
              <w:t xml:space="preserve">8.90</w:t>
            </w:r>
          </w:p>
        </w:tc>
      </w:tr>
    </w:tbl>
    <w:p>
      <w:pPr>
        <w:pStyle w:val="BodyText"/>
        <w:spacing w:before="100"/>
      </w:pPr>
      <w:r>
        <w:rPr>
          <w:rFonts w:ascii="Arial" w:hAnsi="Arial"/>
        </w:rPr>
        <w:t xml:space="preserve">*2024 blends Q1 (old codes) with Q2–Q4 (new codes). 2026 averages the four files effective in 2026 (Q1–Q4). Source: our calculation from the 44 quarterly</w:t>
      </w:r>
      <w:r>
        <w:rPr>
          <w:rFonts w:ascii="Arial" w:hAnsi="Arial"/>
        </w:rPr>
        <w:t xml:space="preserve"> </w:t>
      </w:r>
      <w:hyperlink r:id="rId26">
        <w:r>
          <w:rPr>
            <w:rStyle w:val="Hyperlink"/>
          </w:rPr>
          <w:t xml:space="preserve">CMS payment limit files</w:t>
        </w:r>
      </w:hyperlink>
      <w:r>
        <w:rPr>
          <w:rFonts w:ascii="Arial" w:hAnsi="Arial"/>
        </w:rPr>
        <w:t xml:space="preserve"> </w:t>
      </w:r>
      <w:r>
        <w:rPr>
          <w:rFonts w:ascii="Arial" w:hAnsi="Arial"/>
        </w:rPr>
        <w:t xml:space="preserve">and the billing units in the</w:t>
      </w:r>
      <w:r>
        <w:rPr>
          <w:rFonts w:ascii="Arial" w:hAnsi="Arial"/>
        </w:rPr>
        <w:t xml:space="preserve"> </w:t>
      </w:r>
      <w:hyperlink r:id="rId22">
        <w:r>
          <w:rPr>
            <w:rStyle w:val="Hyperlink"/>
          </w:rPr>
          <w:t xml:space="preserve">crosswalk</w:t>
        </w:r>
      </w:hyperlink>
      <w:r>
        <w:rPr>
          <w:rFonts w:ascii="Arial" w:hAnsi="Arial"/>
        </w:rPr>
        <w:t xml:space="preserve">.</w:t>
      </w:r>
    </w:p>
    <w:bookmarkStart w:id="66" w:name="hss-steady-sole-source-price-increases"/>
    <w:p>
      <w:pPr>
        <w:pStyle w:val="Heading3"/>
      </w:pPr>
      <w:r>
        <w:rPr>
          <w:rFonts w:ascii="Arial" w:hAnsi="Arial"/>
        </w:rPr>
        <w:t xml:space="preserve">HSS: steady sole-source price increases</w:t>
      </w:r>
    </w:p>
    <w:p>
      <w:pPr>
        <w:pStyle w:val="FirstParagraph"/>
      </w:pPr>
      <w:r>
        <w:rPr>
          <w:bCs/>
          <w:rFonts w:ascii="Arial" w:hAnsi="Arial"/>
          <w:b/>
        </w:rPr>
        <w:t xml:space="preserve">HSS is a steady sole-source price-taker.</w:t>
      </w:r>
      <w:r>
        <w:rPr>
          <w:rFonts w:ascii="Arial" w:hAnsi="Arial"/>
        </w:rPr>
        <w:t xml:space="preserve"> </w:t>
      </w:r>
      <w:r>
        <w:rPr>
          <w:rFonts w:ascii="Arial" w:hAnsi="Arial"/>
        </w:rPr>
        <w:t xml:space="preserve">J1720 rose in almost every quarter; its largest quarterly fall was 2.3%. Its two step-ups, +20.1% in Q3 2017 and +19.2% in Q3 2022, held (our calculation from</w:t>
      </w:r>
      <w:r>
        <w:rPr>
          <w:rFonts w:ascii="Arial" w:hAnsi="Arial"/>
        </w:rPr>
        <w:t xml:space="preserve"> </w:t>
      </w:r>
      <w:hyperlink r:id="rId26">
        <w:r>
          <w:rPr>
            <w:rStyle w:val="Hyperlink"/>
          </w:rPr>
          <w:t xml:space="preserve">CMS ASP files</w:t>
        </w:r>
      </w:hyperlink>
      <w:r>
        <w:rPr>
          <w:rFonts w:ascii="Arial" w:hAnsi="Arial"/>
        </w:rPr>
        <w:t xml:space="preserve">). That looks like list-price increases rather than shortage spikes (inference). The Medicare Part B dashboard confirms the series: average spend per J1720 unit went from</w:t>
      </w:r>
      <w:r>
        <w:rPr>
          <w:rFonts w:ascii="Arial" w:hAnsi="Arial"/>
        </w:rPr>
        <w:t xml:space="preserve"> </w:t>
      </w:r>
      <w:r>
        <w:rPr>
          <w:bCs/>
          <w:rFonts w:ascii="Arial" w:hAnsi="Arial"/>
          <w:b/>
        </w:rPr>
        <w:t xml:space="preserve">$7.51 (2016) to $17.99 (2024)</w:t>
      </w:r>
      <w:r>
        <w:rPr>
          <w:rFonts w:ascii="Arial" w:hAnsi="Arial"/>
        </w:rPr>
        <w:t xml:space="preserve"> </w:t>
      </w:r>
      <w:r>
        <w:rPr>
          <w:rFonts w:ascii="Arial" w:hAnsi="Arial"/>
        </w:rPr>
        <w:t xml:space="preserve">while units roughly halved, from 54.7k to 26.7k (</w:t>
      </w:r>
      <w:hyperlink r:id="rId65">
        <w:r>
          <w:rPr>
            <w:rStyle w:val="Hyperlink"/>
          </w:rPr>
          <w:t xml:space="preserve">Part B Spending by Drug</w:t>
        </w:r>
      </w:hyperlink>
      <w:r>
        <w:rPr>
          <w:rFonts w:ascii="Arial" w:hAnsi="Arial"/>
        </w:rPr>
        <w:t xml:space="preserve">).</w:t>
      </w:r>
    </w:p>
    <w:bookmarkEnd w:id="66"/>
    <w:bookmarkStart w:id="67" w:name="mpss-a-201819-peak-then-erosion"/>
    <w:p>
      <w:pPr>
        <w:pStyle w:val="Heading3"/>
      </w:pPr>
      <w:r>
        <w:rPr>
          <w:rFonts w:ascii="Arial" w:hAnsi="Arial"/>
        </w:rPr>
        <w:t xml:space="preserve">MPSS: a 2018–19 peak, then erosion</w:t>
      </w:r>
    </w:p>
    <w:p>
      <w:pPr>
        <w:pStyle w:val="FirstParagraph"/>
      </w:pPr>
      <w:r>
        <w:rPr>
          <w:bCs/>
          <w:rFonts w:ascii="Arial" w:hAnsi="Arial"/>
          <w:b/>
        </w:rPr>
        <w:t xml:space="preserve">MPSS</w:t>
      </w:r>
      <w:r>
        <w:rPr>
          <w:rFonts w:ascii="Arial" w:hAnsi="Arial"/>
        </w:rPr>
        <w:t xml:space="preserve"> </w:t>
      </w:r>
      <w:r>
        <w:rPr>
          <w:rFonts w:ascii="Arial" w:hAnsi="Arial"/>
        </w:rPr>
        <w:t xml:space="preserve">rose about 66–70% between Q1 2016 and Q3 2018 (40 mg +66%, 125 mg +70%). Fresenius Kabi was the only generic labeler in the crosswalk until Amneal and Sagent were added in Q3–Q4 2017. Prices then eroded as Hikma (2020) and Dr. Reddy's (2022) arrived (our calculation from the</w:t>
      </w:r>
      <w:r>
        <w:rPr>
          <w:rFonts w:ascii="Arial" w:hAnsi="Arial"/>
        </w:rPr>
        <w:t xml:space="preserve"> </w:t>
      </w:r>
      <w:hyperlink r:id="rId26">
        <w:r>
          <w:rPr>
            <w:rStyle w:val="Hyperlink"/>
          </w:rPr>
          <w:t xml:space="preserve">CMS ASP files and crosswalks</w:t>
        </w:r>
      </w:hyperlink>
      <w:r>
        <w:rPr>
          <w:rFonts w:ascii="Arial" w:hAnsi="Arial"/>
        </w:rPr>
        <w:t xml:space="preserve">; labeler entry and exit dates are in the research data file asp_crosswalk_labelers.csv). Within the J2919 code, ASP is</w:t>
      </w:r>
      <w:r>
        <w:rPr>
          <w:rFonts w:ascii="Arial" w:hAnsi="Arial"/>
        </w:rPr>
        <w:t xml:space="preserve"> </w:t>
      </w:r>
      <w:r>
        <w:rPr>
          <w:bCs/>
          <w:rFonts w:ascii="Arial" w:hAnsi="Arial"/>
          <w:b/>
        </w:rPr>
        <w:t xml:space="preserve">−6.6% from Q2 2024 to Q4 2026</w:t>
      </w:r>
      <w:r>
        <w:rPr>
          <w:rFonts w:ascii="Arial" w:hAnsi="Arial"/>
        </w:rPr>
        <w:t xml:space="preserve">, with violent quarters: −18.9% in Q4 2025, then +25.7% in Q1 2026. That volatility looks like a blend shifting between brand and generic NDCs, not a list-price signal (</w:t>
      </w:r>
      <w:hyperlink r:id="rId26">
        <w:r>
          <w:rPr>
            <w:rStyle w:val="Hyperlink"/>
          </w:rPr>
          <w:t xml:space="preserve">CMS ASP files</w:t>
        </w:r>
      </w:hyperlink>
      <w:r>
        <w:rPr>
          <w:rFonts w:ascii="Arial" w:hAnsi="Arial"/>
        </w:rPr>
        <w:t xml:space="preserve">). On the new code the 125 mg equivalent peaked at US$7.17 in Q4 2024 and has since fallen 16% to US$6.01 (our calculation).</w:t>
      </w:r>
    </w:p>
    <w:p>
      <w:pPr>
        <w:pStyle w:val="BodyText"/>
        <w:keepNext/>
      </w:pPr>
      <w:r>
        <w:rPr>
          <w:bCs/>
          <w:rFonts w:ascii="Arial" w:hAnsi="Arial"/>
          <w:b/>
        </w:rPr>
        <w:t xml:space="preserve">WAC and NADAC cross-check, latest (US$ per vial)</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1588"/>
        <w:gridCol w:w="1513"/>
        <w:gridCol w:w="3457"/>
        <w:gridCol w:w="1009"/>
        <w:gridCol w:w="1177"/>
        <w:gridCol w:w="1345"/>
      </w:tblGrid>
      <w:tr>
        <w:trPr>
          <w:tblHeader w:val="true"/>
          <w:tblHeader w:val="true"/>
          <w:cantSplit/>
        </w:trPr>
        <w:tc>
          <w:tcPr>
            <w:tcW w:type="dxa" w:w="1588"/>
            <w:shd w:val="clear" w:color="auto" w:fill="1F3864"/>
          </w:tcPr>
          <w:p>
            <w:pPr>
              <w:pStyle w:val="Compact"/>
              <w:spacing w:after="0" w:before="0" w:line="240" w:lineRule="auto"/>
              <w:jc w:val="left"/>
            </w:pPr>
            <w:r>
              <w:rPr>
                <w:rFonts w:ascii="Arial" w:hAnsi="Arial"/>
                <w:b/>
                <w:color w:val="FFFFFF"/>
                <w:sz w:val="14"/>
              </w:rPr>
              <w:t xml:space="preserve">Vial</w:t>
            </w:r>
          </w:p>
        </w:tc>
        <w:tc>
          <w:tcPr>
            <w:tcW w:type="dxa" w:w="1514"/>
            <w:shd w:val="clear" w:color="auto" w:fill="1F3864"/>
          </w:tcPr>
          <w:p>
            <w:pPr>
              <w:pStyle w:val="Compact"/>
              <w:spacing w:after="0" w:before="0" w:line="240" w:lineRule="auto"/>
              <w:jc w:val="left"/>
            </w:pPr>
            <w:r>
              <w:rPr>
                <w:rFonts w:ascii="Arial" w:hAnsi="Arial"/>
                <w:b/>
                <w:color w:val="FFFFFF"/>
                <w:sz w:val="14"/>
              </w:rPr>
              <w:t xml:space="preserve">Implied ASP Q4'26</w:t>
            </w:r>
          </w:p>
        </w:tc>
        <w:tc>
          <w:tcPr>
            <w:tcW w:type="dxa" w:w="3457"/>
            <w:shd w:val="clear" w:color="auto" w:fill="1F3864"/>
          </w:tcPr>
          <w:p>
            <w:pPr>
              <w:pStyle w:val="Compact"/>
              <w:spacing w:after="0" w:before="0" w:line="240" w:lineRule="auto"/>
              <w:jc w:val="left"/>
            </w:pPr>
            <w:r>
              <w:rPr>
                <w:rFonts w:ascii="Arial" w:hAnsi="Arial"/>
                <w:b/>
                <w:color w:val="FFFFFF"/>
                <w:sz w:val="14"/>
              </w:rPr>
              <w:t xml:space="preserve">Pfizer WAC, 6 Jul 2026</w:t>
            </w:r>
          </w:p>
        </w:tc>
        <w:tc>
          <w:tcPr>
            <w:tcW w:type="dxa" w:w="1009"/>
            <w:shd w:val="clear" w:color="auto" w:fill="1F3864"/>
          </w:tcPr>
          <w:p>
            <w:pPr>
              <w:pStyle w:val="Compact"/>
              <w:spacing w:after="0" w:before="0" w:line="240" w:lineRule="auto"/>
              <w:jc w:val="left"/>
            </w:pPr>
            <w:r>
              <w:rPr>
                <w:rFonts w:ascii="Arial" w:hAnsi="Arial"/>
                <w:b/>
                <w:color w:val="FFFFFF"/>
                <w:sz w:val="14"/>
              </w:rPr>
              <w:t xml:space="preserve">NADAC brand (Oct 2026)</w:t>
            </w:r>
          </w:p>
        </w:tc>
        <w:tc>
          <w:tcPr>
            <w:tcW w:type="dxa" w:w="1177"/>
            <w:shd w:val="clear" w:color="auto" w:fill="1F3864"/>
          </w:tcPr>
          <w:p>
            <w:pPr>
              <w:pStyle w:val="Compact"/>
              <w:spacing w:after="0" w:before="0" w:line="240" w:lineRule="auto"/>
              <w:jc w:val="left"/>
            </w:pPr>
            <w:r>
              <w:rPr>
                <w:rFonts w:ascii="Arial" w:hAnsi="Arial"/>
                <w:b/>
                <w:color w:val="FFFFFF"/>
                <w:sz w:val="14"/>
              </w:rPr>
              <w:t xml:space="preserve">NADAC generic (Oct 2026)</w:t>
            </w:r>
          </w:p>
        </w:tc>
        <w:tc>
          <w:tcPr>
            <w:tcW w:type="dxa" w:w="1346"/>
            <w:shd w:val="clear" w:color="auto" w:fill="1F3864"/>
          </w:tcPr>
          <w:p>
            <w:pPr>
              <w:pStyle w:val="Compact"/>
              <w:spacing w:after="0" w:before="0" w:line="240" w:lineRule="auto"/>
              <w:jc w:val="left"/>
            </w:pPr>
            <w:r>
              <w:rPr>
                <w:rFonts w:ascii="Arial" w:hAnsi="Arial"/>
                <w:b/>
                <w:color w:val="FFFFFF"/>
                <w:sz w:val="14"/>
              </w:rPr>
              <w:t xml:space="preserve">Medicaid cleaned $/vial, brand / generic (2025)</w:t>
            </w:r>
          </w:p>
        </w:tc>
      </w:tr>
      <w:tr>
        <w:trPr>
          <w:cantSplit/>
        </w:trPr>
        <w:tc>
          <w:tcPr>
            <w:tcW w:type="dxa" w:w="1588"/>
          </w:tcPr>
          <w:p>
            <w:pPr>
              <w:pStyle w:val="Compact"/>
              <w:spacing w:after="0" w:before="0" w:line="240" w:lineRule="auto"/>
              <w:jc w:val="left"/>
            </w:pPr>
            <w:r>
              <w:rPr>
                <w:rFonts w:ascii="Arial" w:hAnsi="Arial"/>
                <w:sz w:val="14"/>
              </w:rPr>
              <w:t xml:space="preserve">MPSS 40 mg</w:t>
            </w:r>
          </w:p>
        </w:tc>
        <w:tc>
          <w:tcPr>
            <w:tcW w:type="dxa" w:w="1514"/>
          </w:tcPr>
          <w:p>
            <w:pPr>
              <w:pStyle w:val="Compact"/>
              <w:spacing w:after="0" w:before="0" w:line="240" w:lineRule="auto"/>
              <w:jc w:val="left"/>
            </w:pPr>
            <w:r>
              <w:rPr>
                <w:rFonts w:ascii="Arial" w:hAnsi="Arial"/>
                <w:sz w:val="14"/>
              </w:rPr>
              <w:t xml:space="preserve">1.92 (blend artefact)</w:t>
            </w:r>
          </w:p>
        </w:tc>
        <w:tc>
          <w:tcPr>
            <w:tcW w:type="dxa" w:w="3457"/>
          </w:tcPr>
          <w:p>
            <w:pPr>
              <w:pStyle w:val="Compact"/>
              <w:spacing w:after="0" w:before="0" w:line="240" w:lineRule="auto"/>
              <w:jc w:val="left"/>
            </w:pPr>
            <w:r>
              <w:rPr>
                <w:rFonts w:ascii="Arial" w:hAnsi="Arial"/>
                <w:sz w:val="14"/>
              </w:rPr>
              <w:t xml:space="preserve">5.11 / 5.37 / 6.47 (three NDCs)</w:t>
            </w:r>
          </w:p>
        </w:tc>
        <w:tc>
          <w:tcPr>
            <w:tcW w:type="dxa" w:w="1009"/>
          </w:tcPr>
          <w:p>
            <w:pPr>
              <w:pStyle w:val="Compact"/>
              <w:spacing w:after="0" w:before="0" w:line="240" w:lineRule="auto"/>
              <w:jc w:val="left"/>
            </w:pPr>
            <w:r>
              <w:rPr>
                <w:rFonts w:ascii="Arial" w:hAnsi="Arial"/>
                <w:sz w:val="14"/>
              </w:rPr>
              <w:t xml:space="preserve">6.28</w:t>
            </w:r>
          </w:p>
        </w:tc>
        <w:tc>
          <w:tcPr>
            <w:tcW w:type="dxa" w:w="1177"/>
          </w:tcPr>
          <w:p>
            <w:pPr>
              <w:pStyle w:val="Compact"/>
              <w:spacing w:after="0" w:before="0" w:line="240" w:lineRule="auto"/>
              <w:jc w:val="left"/>
            </w:pPr>
            <w:r>
              <w:rPr>
                <w:rFonts w:ascii="Arial" w:hAnsi="Arial"/>
                <w:sz w:val="14"/>
              </w:rPr>
              <w:t xml:space="preserve">n/a</w:t>
            </w:r>
          </w:p>
        </w:tc>
        <w:tc>
          <w:tcPr>
            <w:tcW w:type="dxa" w:w="1346"/>
          </w:tcPr>
          <w:p>
            <w:pPr>
              <w:pStyle w:val="Compact"/>
              <w:spacing w:after="0" w:before="0" w:line="240" w:lineRule="auto"/>
              <w:jc w:val="left"/>
            </w:pPr>
            <w:r>
              <w:rPr>
                <w:rFonts w:ascii="Arial" w:hAnsi="Arial"/>
                <w:sz w:val="14"/>
              </w:rPr>
              <w:t xml:space="preserve">3.75 / 5.91</w:t>
            </w:r>
          </w:p>
        </w:tc>
      </w:tr>
      <w:tr>
        <w:trPr>
          <w:cantSplit/>
        </w:trPr>
        <w:tc>
          <w:tcPr>
            <w:tcW w:type="dxa" w:w="1588"/>
          </w:tcPr>
          <w:p>
            <w:pPr>
              <w:pStyle w:val="Compact"/>
              <w:spacing w:after="0" w:before="0" w:line="240" w:lineRule="auto"/>
              <w:jc w:val="left"/>
            </w:pPr>
            <w:r>
              <w:rPr>
                <w:rFonts w:ascii="Arial" w:hAnsi="Arial"/>
                <w:sz w:val="14"/>
              </w:rPr>
              <w:t xml:space="preserve">MPSS 125 mg</w:t>
            </w:r>
          </w:p>
        </w:tc>
        <w:tc>
          <w:tcPr>
            <w:tcW w:type="dxa" w:w="1514"/>
          </w:tcPr>
          <w:p>
            <w:pPr>
              <w:pStyle w:val="Compact"/>
              <w:spacing w:after="0" w:before="0" w:line="240" w:lineRule="auto"/>
              <w:jc w:val="left"/>
            </w:pPr>
            <w:r>
              <w:rPr>
                <w:rFonts w:ascii="Arial" w:hAnsi="Arial"/>
                <w:sz w:val="14"/>
              </w:rPr>
              <w:t xml:space="preserve">6.01</w:t>
            </w:r>
          </w:p>
        </w:tc>
        <w:tc>
          <w:tcPr>
            <w:tcW w:type="dxa" w:w="3457"/>
          </w:tcPr>
          <w:p>
            <w:pPr>
              <w:pStyle w:val="Compact"/>
              <w:spacing w:after="0" w:before="0" w:line="240" w:lineRule="auto"/>
              <w:jc w:val="left"/>
            </w:pPr>
            <w:r>
              <w:rPr>
                <w:rFonts w:ascii="Arial" w:hAnsi="Arial"/>
                <w:sz w:val="14"/>
              </w:rPr>
              <w:t xml:space="preserve">8.14 / 8.54 / 10.42</w:t>
            </w:r>
          </w:p>
        </w:tc>
        <w:tc>
          <w:tcPr>
            <w:tcW w:type="dxa" w:w="1009"/>
          </w:tcPr>
          <w:p>
            <w:pPr>
              <w:pStyle w:val="Compact"/>
              <w:spacing w:after="0" w:before="0" w:line="240" w:lineRule="auto"/>
              <w:jc w:val="left"/>
            </w:pPr>
            <w:r>
              <w:rPr>
                <w:rFonts w:ascii="Arial" w:hAnsi="Arial"/>
                <w:sz w:val="14"/>
              </w:rPr>
              <w:t xml:space="preserve">10.04</w:t>
            </w:r>
          </w:p>
        </w:tc>
        <w:tc>
          <w:tcPr>
            <w:tcW w:type="dxa" w:w="1177"/>
          </w:tcPr>
          <w:p>
            <w:pPr>
              <w:pStyle w:val="Compact"/>
              <w:spacing w:after="0" w:before="0" w:line="240" w:lineRule="auto"/>
              <w:jc w:val="left"/>
            </w:pPr>
            <w:r>
              <w:rPr>
                <w:bCs/>
                <w:rFonts w:ascii="Arial" w:hAnsi="Arial"/>
                <w:b/>
                <w:sz w:val="14"/>
              </w:rPr>
              <w:t xml:space="preserve">3.27</w:t>
            </w:r>
          </w:p>
        </w:tc>
        <w:tc>
          <w:tcPr>
            <w:tcW w:type="dxa" w:w="1346"/>
          </w:tcPr>
          <w:p>
            <w:pPr>
              <w:pStyle w:val="Compact"/>
              <w:spacing w:after="0" w:before="0" w:line="240" w:lineRule="auto"/>
              <w:jc w:val="left"/>
            </w:pPr>
            <w:r>
              <w:rPr>
                <w:rFonts w:ascii="Arial" w:hAnsi="Arial"/>
                <w:sz w:val="14"/>
              </w:rPr>
              <w:t xml:space="preserve">6.28 / 7.30</w:t>
            </w:r>
          </w:p>
        </w:tc>
      </w:tr>
      <w:tr>
        <w:trPr>
          <w:cantSplit/>
        </w:trPr>
        <w:tc>
          <w:tcPr>
            <w:tcW w:type="dxa" w:w="1588"/>
          </w:tcPr>
          <w:p>
            <w:pPr>
              <w:pStyle w:val="Compact"/>
              <w:spacing w:after="0" w:before="0" w:line="240" w:lineRule="auto"/>
              <w:jc w:val="left"/>
            </w:pPr>
            <w:r>
              <w:rPr>
                <w:rFonts w:ascii="Arial" w:hAnsi="Arial"/>
                <w:sz w:val="14"/>
              </w:rPr>
              <w:t xml:space="preserve">MPSS 500 mg</w:t>
            </w:r>
          </w:p>
        </w:tc>
        <w:tc>
          <w:tcPr>
            <w:tcW w:type="dxa" w:w="1514"/>
          </w:tcPr>
          <w:p>
            <w:pPr>
              <w:pStyle w:val="Compact"/>
              <w:spacing w:after="0" w:before="0" w:line="240" w:lineRule="auto"/>
              <w:jc w:val="left"/>
            </w:pPr>
            <w:r>
              <w:rPr>
                <w:rFonts w:ascii="Arial" w:hAnsi="Arial"/>
                <w:sz w:val="14"/>
              </w:rPr>
              <w:t xml:space="preserve">24.06</w:t>
            </w:r>
          </w:p>
        </w:tc>
        <w:tc>
          <w:tcPr>
            <w:tcW w:type="dxa" w:w="3457"/>
          </w:tcPr>
          <w:p>
            <w:pPr>
              <w:pStyle w:val="Compact"/>
              <w:spacing w:after="0" w:before="0" w:line="240" w:lineRule="auto"/>
              <w:jc w:val="left"/>
            </w:pPr>
            <w:r>
              <w:rPr>
                <w:rFonts w:ascii="Arial" w:hAnsi="Arial"/>
                <w:sz w:val="14"/>
              </w:rPr>
              <w:t xml:space="preserve">AOV 47.38; MDV 24.28</w:t>
            </w:r>
          </w:p>
        </w:tc>
        <w:tc>
          <w:tcPr>
            <w:tcW w:type="dxa" w:w="1009"/>
          </w:tcPr>
          <w:p>
            <w:pPr>
              <w:pStyle w:val="Compact"/>
              <w:spacing w:after="0" w:before="0" w:line="240" w:lineRule="auto"/>
              <w:jc w:val="left"/>
            </w:pPr>
            <w:r>
              <w:rPr>
                <w:rFonts w:ascii="Arial" w:hAnsi="Arial"/>
                <w:sz w:val="14"/>
              </w:rPr>
              <w:t xml:space="preserve">–</w:t>
            </w:r>
          </w:p>
        </w:tc>
        <w:tc>
          <w:tcPr>
            <w:tcW w:type="dxa" w:w="1177"/>
          </w:tcPr>
          <w:p>
            <w:pPr>
              <w:pStyle w:val="Compact"/>
              <w:spacing w:after="0" w:before="0" w:line="240" w:lineRule="auto"/>
              <w:jc w:val="left"/>
            </w:pPr>
            <w:r>
              <w:rPr>
                <w:rFonts w:ascii="Arial" w:hAnsi="Arial"/>
                <w:sz w:val="14"/>
              </w:rPr>
              <w:t xml:space="preserve">–</w:t>
            </w:r>
          </w:p>
        </w:tc>
        <w:tc>
          <w:tcPr>
            <w:tcW w:type="dxa" w:w="1346"/>
          </w:tcPr>
          <w:p>
            <w:pPr>
              <w:pStyle w:val="Compact"/>
              <w:spacing w:after="0" w:before="0" w:line="240" w:lineRule="auto"/>
              <w:jc w:val="left"/>
            </w:pPr>
            <w:r>
              <w:rPr>
                <w:rFonts w:ascii="Arial" w:hAnsi="Arial"/>
                <w:sz w:val="14"/>
              </w:rPr>
              <w:t xml:space="preserve">35.84 / –</w:t>
            </w:r>
          </w:p>
        </w:tc>
      </w:tr>
      <w:tr>
        <w:trPr>
          <w:cantSplit/>
        </w:trPr>
        <w:tc>
          <w:tcPr>
            <w:tcW w:type="dxa" w:w="1588"/>
          </w:tcPr>
          <w:p>
            <w:pPr>
              <w:pStyle w:val="Compact"/>
              <w:spacing w:after="0" w:before="0" w:line="240" w:lineRule="auto"/>
              <w:jc w:val="left"/>
            </w:pPr>
            <w:r>
              <w:rPr>
                <w:rFonts w:ascii="Arial" w:hAnsi="Arial"/>
                <w:sz w:val="14"/>
              </w:rPr>
              <w:t xml:space="preserve">MPSS 1 g</w:t>
            </w:r>
          </w:p>
        </w:tc>
        <w:tc>
          <w:tcPr>
            <w:tcW w:type="dxa" w:w="1514"/>
          </w:tcPr>
          <w:p>
            <w:pPr>
              <w:pStyle w:val="Compact"/>
              <w:spacing w:after="0" w:before="0" w:line="240" w:lineRule="auto"/>
              <w:jc w:val="left"/>
            </w:pPr>
            <w:r>
              <w:rPr>
                <w:rFonts w:ascii="Arial" w:hAnsi="Arial"/>
                <w:sz w:val="14"/>
              </w:rPr>
              <w:t xml:space="preserve">48.11</w:t>
            </w:r>
          </w:p>
        </w:tc>
        <w:tc>
          <w:tcPr>
            <w:tcW w:type="dxa" w:w="3457"/>
          </w:tcPr>
          <w:p>
            <w:pPr>
              <w:pStyle w:val="Compact"/>
              <w:spacing w:after="0" w:before="0" w:line="240" w:lineRule="auto"/>
              <w:jc w:val="left"/>
            </w:pPr>
            <w:r>
              <w:rPr>
                <w:rFonts w:ascii="Arial" w:hAnsi="Arial"/>
                <w:sz w:val="14"/>
              </w:rPr>
              <w:t xml:space="preserve">AOV 68.92; vial 43.98; MDV 25.35</w:t>
            </w:r>
          </w:p>
        </w:tc>
        <w:tc>
          <w:tcPr>
            <w:tcW w:type="dxa" w:w="1009"/>
          </w:tcPr>
          <w:p>
            <w:pPr>
              <w:pStyle w:val="Compact"/>
              <w:spacing w:after="0" w:before="0" w:line="240" w:lineRule="auto"/>
              <w:jc w:val="left"/>
            </w:pPr>
            <w:r>
              <w:rPr>
                <w:rFonts w:ascii="Arial" w:hAnsi="Arial"/>
                <w:sz w:val="14"/>
              </w:rPr>
              <w:t xml:space="preserve">–</w:t>
            </w:r>
          </w:p>
        </w:tc>
        <w:tc>
          <w:tcPr>
            <w:tcW w:type="dxa" w:w="1177"/>
          </w:tcPr>
          <w:p>
            <w:pPr>
              <w:pStyle w:val="Compact"/>
              <w:spacing w:after="0" w:before="0" w:line="240" w:lineRule="auto"/>
              <w:jc w:val="left"/>
            </w:pPr>
            <w:r>
              <w:rPr>
                <w:rFonts w:ascii="Arial" w:hAnsi="Arial"/>
                <w:sz w:val="14"/>
              </w:rPr>
              <w:t xml:space="preserve">–</w:t>
            </w:r>
          </w:p>
        </w:tc>
        <w:tc>
          <w:tcPr>
            <w:tcW w:type="dxa" w:w="1346"/>
          </w:tcPr>
          <w:p>
            <w:pPr>
              <w:pStyle w:val="Compact"/>
              <w:spacing w:after="0" w:before="0" w:line="240" w:lineRule="auto"/>
              <w:jc w:val="left"/>
            </w:pPr>
            <w:r>
              <w:rPr>
                <w:rFonts w:ascii="Arial" w:hAnsi="Arial"/>
                <w:sz w:val="14"/>
              </w:rPr>
              <w:t xml:space="preserve">54.01 / 40.97</w:t>
            </w:r>
          </w:p>
        </w:tc>
      </w:tr>
      <w:tr>
        <w:trPr>
          <w:cantSplit/>
        </w:trPr>
        <w:tc>
          <w:tcPr>
            <w:tcW w:type="dxa" w:w="1588"/>
          </w:tcPr>
          <w:p>
            <w:pPr>
              <w:pStyle w:val="Compact"/>
              <w:spacing w:after="0" w:before="0" w:line="240" w:lineRule="auto"/>
              <w:jc w:val="left"/>
            </w:pPr>
            <w:r>
              <w:rPr>
                <w:rFonts w:ascii="Arial" w:hAnsi="Arial"/>
                <w:sz w:val="14"/>
              </w:rPr>
              <w:t xml:space="preserve">MPSS 2 g</w:t>
            </w:r>
          </w:p>
        </w:tc>
        <w:tc>
          <w:tcPr>
            <w:tcW w:type="dxa" w:w="1514"/>
          </w:tcPr>
          <w:p>
            <w:pPr>
              <w:pStyle w:val="Compact"/>
              <w:spacing w:after="0" w:before="0" w:line="240" w:lineRule="auto"/>
              <w:jc w:val="left"/>
            </w:pPr>
            <w:r>
              <w:rPr>
                <w:rFonts w:ascii="Arial" w:hAnsi="Arial"/>
                <w:sz w:val="14"/>
              </w:rPr>
              <w:t xml:space="preserve">96.23</w:t>
            </w:r>
          </w:p>
        </w:tc>
        <w:tc>
          <w:tcPr>
            <w:tcW w:type="dxa" w:w="3457"/>
          </w:tcPr>
          <w:p>
            <w:pPr>
              <w:pStyle w:val="Compact"/>
              <w:spacing w:after="0" w:before="0" w:line="240" w:lineRule="auto"/>
              <w:jc w:val="left"/>
            </w:pPr>
            <w:r>
              <w:rPr>
                <w:rFonts w:ascii="Arial" w:hAnsi="Arial"/>
                <w:sz w:val="14"/>
              </w:rPr>
              <w:t xml:space="preserve">108.86</w:t>
            </w:r>
          </w:p>
        </w:tc>
        <w:tc>
          <w:tcPr>
            <w:tcW w:type="dxa" w:w="1009"/>
          </w:tcPr>
          <w:p>
            <w:pPr>
              <w:pStyle w:val="Compact"/>
              <w:spacing w:after="0" w:before="0" w:line="240" w:lineRule="auto"/>
              <w:jc w:val="left"/>
            </w:pPr>
            <w:r>
              <w:rPr>
                <w:rFonts w:ascii="Arial" w:hAnsi="Arial"/>
                <w:sz w:val="14"/>
              </w:rPr>
              <w:t xml:space="preserve">–</w:t>
            </w:r>
          </w:p>
        </w:tc>
        <w:tc>
          <w:tcPr>
            <w:tcW w:type="dxa" w:w="1177"/>
          </w:tcPr>
          <w:p>
            <w:pPr>
              <w:pStyle w:val="Compact"/>
              <w:spacing w:after="0" w:before="0" w:line="240" w:lineRule="auto"/>
              <w:jc w:val="left"/>
            </w:pPr>
            <w:r>
              <w:rPr>
                <w:rFonts w:ascii="Arial" w:hAnsi="Arial"/>
                <w:sz w:val="14"/>
              </w:rPr>
              <w:t xml:space="preserve">–</w:t>
            </w:r>
          </w:p>
        </w:tc>
        <w:tc>
          <w:tcPr>
            <w:tcW w:type="dxa" w:w="1346"/>
          </w:tcPr>
          <w:p>
            <w:pPr>
              <w:pStyle w:val="Compact"/>
              <w:spacing w:after="0" w:before="0" w:line="240" w:lineRule="auto"/>
              <w:jc w:val="left"/>
            </w:pPr>
            <w:r>
              <w:rPr>
                <w:rFonts w:ascii="Arial" w:hAnsi="Arial"/>
                <w:sz w:val="14"/>
              </w:rPr>
              <w:t xml:space="preserve">–</w:t>
            </w:r>
          </w:p>
        </w:tc>
      </w:tr>
      <w:tr>
        <w:trPr>
          <w:cantSplit/>
        </w:trPr>
        <w:tc>
          <w:tcPr>
            <w:tcW w:type="dxa" w:w="1588"/>
          </w:tcPr>
          <w:p>
            <w:pPr>
              <w:pStyle w:val="Compact"/>
              <w:spacing w:after="0" w:before="0" w:line="240" w:lineRule="auto"/>
              <w:jc w:val="left"/>
            </w:pPr>
            <w:r>
              <w:rPr>
                <w:rFonts w:ascii="Arial" w:hAnsi="Arial"/>
                <w:sz w:val="14"/>
              </w:rPr>
              <w:t xml:space="preserve">HSS 100 mg</w:t>
            </w:r>
          </w:p>
        </w:tc>
        <w:tc>
          <w:tcPr>
            <w:tcW w:type="dxa" w:w="1514"/>
          </w:tcPr>
          <w:p>
            <w:pPr>
              <w:pStyle w:val="Compact"/>
              <w:spacing w:after="0" w:before="0" w:line="240" w:lineRule="auto"/>
              <w:jc w:val="left"/>
            </w:pPr>
            <w:r>
              <w:rPr>
                <w:rFonts w:ascii="Arial" w:hAnsi="Arial"/>
                <w:sz w:val="14"/>
              </w:rPr>
              <w:t xml:space="preserve">21.84</w:t>
            </w:r>
          </w:p>
        </w:tc>
        <w:tc>
          <w:tcPr>
            <w:tcW w:type="dxa" w:w="3457"/>
          </w:tcPr>
          <w:p>
            <w:pPr>
              <w:pStyle w:val="Compact"/>
              <w:spacing w:after="0" w:before="0" w:line="240" w:lineRule="auto"/>
              <w:jc w:val="left"/>
            </w:pPr>
            <w:r>
              <w:rPr>
                <w:rFonts w:ascii="Arial" w:hAnsi="Arial"/>
                <w:sz w:val="14"/>
              </w:rPr>
              <w:t xml:space="preserve">plain 20.11; AOV 25.27 (24.81 in 25-pack)</w:t>
            </w:r>
          </w:p>
        </w:tc>
        <w:tc>
          <w:tcPr>
            <w:tcW w:type="dxa" w:w="1009"/>
          </w:tcPr>
          <w:p>
            <w:pPr>
              <w:pStyle w:val="Compact"/>
              <w:spacing w:after="0" w:before="0" w:line="240" w:lineRule="auto"/>
              <w:jc w:val="left"/>
            </w:pPr>
            <w:r>
              <w:rPr>
                <w:rFonts w:ascii="Arial" w:hAnsi="Arial"/>
                <w:sz w:val="14"/>
              </w:rPr>
              <w:t xml:space="preserve">plain 25.73; AOV 25.53 / 24.68</w:t>
            </w:r>
          </w:p>
        </w:tc>
        <w:tc>
          <w:tcPr>
            <w:tcW w:type="dxa" w:w="1177"/>
          </w:tcPr>
          <w:p>
            <w:pPr>
              <w:pStyle w:val="Compact"/>
              <w:spacing w:after="0" w:before="0" w:line="240" w:lineRule="auto"/>
              <w:jc w:val="left"/>
            </w:pPr>
            <w:r>
              <w:rPr>
                <w:bCs/>
                <w:rFonts w:ascii="Arial" w:hAnsi="Arial"/>
                <w:b/>
                <w:sz w:val="14"/>
              </w:rPr>
              <w:t xml:space="preserve">14.46</w:t>
            </w:r>
            <w:r>
              <w:rPr>
                <w:rFonts w:ascii="Arial" w:hAnsi="Arial"/>
                <w:sz w:val="14"/>
              </w:rPr>
              <w:t xml:space="preserve"> </w:t>
            </w:r>
            <w:r>
              <w:rPr>
                <w:rFonts w:ascii="Arial" w:hAnsi="Arial"/>
                <w:sz w:val="14"/>
              </w:rPr>
              <w:t xml:space="preserve">(Cipla, Apotex, Zydus)</w:t>
            </w:r>
          </w:p>
        </w:tc>
        <w:tc>
          <w:tcPr>
            <w:tcW w:type="dxa" w:w="1346"/>
          </w:tcPr>
          <w:p>
            <w:pPr>
              <w:pStyle w:val="Compact"/>
              <w:spacing w:after="0" w:before="0" w:line="240" w:lineRule="auto"/>
              <w:jc w:val="left"/>
            </w:pPr>
            <w:r>
              <w:rPr>
                <w:rFonts w:ascii="Arial" w:hAnsi="Arial"/>
                <w:sz w:val="14"/>
              </w:rPr>
              <w:t xml:space="preserve">23.05 / 16.52 (Cipla)</w:t>
            </w:r>
          </w:p>
        </w:tc>
      </w:tr>
      <w:tr>
        <w:trPr>
          <w:cantSplit/>
        </w:trPr>
        <w:tc>
          <w:tcPr>
            <w:tcW w:type="dxa" w:w="1588"/>
          </w:tcPr>
          <w:p>
            <w:pPr>
              <w:pStyle w:val="Compact"/>
              <w:spacing w:after="0" w:before="0" w:line="240" w:lineRule="auto"/>
              <w:jc w:val="left"/>
            </w:pPr>
            <w:r>
              <w:rPr>
                <w:rFonts w:ascii="Arial" w:hAnsi="Arial"/>
                <w:sz w:val="14"/>
              </w:rPr>
              <w:t xml:space="preserve">HSS 250 mg</w:t>
            </w:r>
          </w:p>
        </w:tc>
        <w:tc>
          <w:tcPr>
            <w:tcW w:type="dxa" w:w="1514"/>
          </w:tcPr>
          <w:p>
            <w:pPr>
              <w:pStyle w:val="Compact"/>
              <w:spacing w:after="0" w:before="0" w:line="240" w:lineRule="auto"/>
              <w:jc w:val="left"/>
            </w:pPr>
            <w:r>
              <w:rPr>
                <w:rFonts w:ascii="Arial" w:hAnsi="Arial"/>
                <w:sz w:val="14"/>
              </w:rPr>
              <w:t xml:space="preserve">54.60 / 65.52</w:t>
            </w:r>
          </w:p>
        </w:tc>
        <w:tc>
          <w:tcPr>
            <w:tcW w:type="dxa" w:w="3457"/>
          </w:tcPr>
          <w:p>
            <w:pPr>
              <w:pStyle w:val="Compact"/>
              <w:spacing w:after="0" w:before="0" w:line="240" w:lineRule="auto"/>
              <w:jc w:val="left"/>
            </w:pPr>
            <w:r>
              <w:rPr>
                <w:rFonts w:ascii="Arial" w:hAnsi="Arial"/>
                <w:sz w:val="14"/>
              </w:rPr>
              <w:t xml:space="preserve">51.21 (48.07 in 25-pack)</w:t>
            </w:r>
          </w:p>
        </w:tc>
        <w:tc>
          <w:tcPr>
            <w:tcW w:type="dxa" w:w="1009"/>
          </w:tcPr>
          <w:p>
            <w:pPr>
              <w:pStyle w:val="Compact"/>
              <w:spacing w:after="0" w:before="0" w:line="240" w:lineRule="auto"/>
              <w:jc w:val="left"/>
            </w:pPr>
            <w:r>
              <w:rPr>
                <w:rFonts w:ascii="Arial" w:hAnsi="Arial"/>
                <w:sz w:val="14"/>
              </w:rPr>
              <w:t xml:space="preserve">51.43</w:t>
            </w:r>
          </w:p>
        </w:tc>
        <w:tc>
          <w:tcPr>
            <w:tcW w:type="dxa" w:w="1177"/>
          </w:tcPr>
          <w:p>
            <w:pPr>
              <w:pStyle w:val="Compact"/>
              <w:spacing w:after="0" w:before="0" w:line="240" w:lineRule="auto"/>
              <w:jc w:val="left"/>
            </w:pPr>
            <w:r>
              <w:rPr>
                <w:rFonts w:ascii="Arial" w:hAnsi="Arial"/>
                <w:sz w:val="14"/>
              </w:rPr>
              <w:t xml:space="preserve">–</w:t>
            </w:r>
          </w:p>
        </w:tc>
        <w:tc>
          <w:tcPr>
            <w:tcW w:type="dxa" w:w="1346"/>
          </w:tcPr>
          <w:p>
            <w:pPr>
              <w:pStyle w:val="Compact"/>
              <w:spacing w:after="0" w:before="0" w:line="240" w:lineRule="auto"/>
              <w:jc w:val="left"/>
            </w:pPr>
            <w:r>
              <w:rPr>
                <w:rFonts w:ascii="Arial" w:hAnsi="Arial"/>
                <w:sz w:val="14"/>
              </w:rPr>
              <w:t xml:space="preserve">–</w:t>
            </w:r>
          </w:p>
        </w:tc>
      </w:tr>
      <w:tr>
        <w:trPr>
          <w:cantSplit/>
        </w:trPr>
        <w:tc>
          <w:tcPr>
            <w:tcW w:type="dxa" w:w="1588"/>
          </w:tcPr>
          <w:p>
            <w:pPr>
              <w:pStyle w:val="Compact"/>
              <w:spacing w:after="0" w:before="0" w:line="240" w:lineRule="auto"/>
              <w:jc w:val="left"/>
            </w:pPr>
            <w:r>
              <w:rPr>
                <w:rFonts w:ascii="Arial" w:hAnsi="Arial"/>
                <w:sz w:val="14"/>
              </w:rPr>
              <w:t xml:space="preserve">HSS 500 mg</w:t>
            </w:r>
          </w:p>
        </w:tc>
        <w:tc>
          <w:tcPr>
            <w:tcW w:type="dxa" w:w="1514"/>
          </w:tcPr>
          <w:p>
            <w:pPr>
              <w:pStyle w:val="Compact"/>
              <w:spacing w:after="0" w:before="0" w:line="240" w:lineRule="auto"/>
              <w:jc w:val="left"/>
            </w:pPr>
            <w:r>
              <w:rPr>
                <w:rFonts w:ascii="Arial" w:hAnsi="Arial"/>
                <w:sz w:val="14"/>
              </w:rPr>
              <w:t xml:space="preserve">109.19</w:t>
            </w:r>
          </w:p>
        </w:tc>
        <w:tc>
          <w:tcPr>
            <w:tcW w:type="dxa" w:w="3457"/>
          </w:tcPr>
          <w:p>
            <w:pPr>
              <w:pStyle w:val="Compact"/>
              <w:spacing w:after="0" w:before="0" w:line="240" w:lineRule="auto"/>
              <w:jc w:val="left"/>
            </w:pPr>
            <w:r>
              <w:rPr>
                <w:rFonts w:ascii="Arial" w:hAnsi="Arial"/>
                <w:sz w:val="14"/>
              </w:rPr>
              <w:t xml:space="preserve">100.56</w:t>
            </w:r>
          </w:p>
        </w:tc>
        <w:tc>
          <w:tcPr>
            <w:tcW w:type="dxa" w:w="1009"/>
          </w:tcPr>
          <w:p>
            <w:pPr>
              <w:pStyle w:val="Compact"/>
              <w:spacing w:after="0" w:before="0" w:line="240" w:lineRule="auto"/>
              <w:jc w:val="left"/>
            </w:pPr>
            <w:r>
              <w:rPr>
                <w:rFonts w:ascii="Arial" w:hAnsi="Arial"/>
                <w:sz w:val="14"/>
              </w:rPr>
              <w:t xml:space="preserve">–</w:t>
            </w:r>
          </w:p>
        </w:tc>
        <w:tc>
          <w:tcPr>
            <w:tcW w:type="dxa" w:w="1177"/>
          </w:tcPr>
          <w:p>
            <w:pPr>
              <w:pStyle w:val="Compact"/>
              <w:spacing w:after="0" w:before="0" w:line="240" w:lineRule="auto"/>
              <w:jc w:val="left"/>
            </w:pPr>
            <w:r>
              <w:rPr>
                <w:rFonts w:ascii="Arial" w:hAnsi="Arial"/>
                <w:sz w:val="14"/>
              </w:rPr>
              <w:t xml:space="preserve">–</w:t>
            </w:r>
          </w:p>
        </w:tc>
        <w:tc>
          <w:tcPr>
            <w:tcW w:type="dxa" w:w="1346"/>
          </w:tcPr>
          <w:p>
            <w:pPr>
              <w:pStyle w:val="Compact"/>
              <w:spacing w:after="0" w:before="0" w:line="240" w:lineRule="auto"/>
              <w:jc w:val="left"/>
            </w:pPr>
            <w:r>
              <w:rPr>
                <w:rFonts w:ascii="Arial" w:hAnsi="Arial"/>
                <w:sz w:val="14"/>
              </w:rPr>
              <w:t xml:space="preserve">–</w:t>
            </w:r>
          </w:p>
        </w:tc>
      </w:tr>
      <w:tr>
        <w:trPr>
          <w:cantSplit/>
        </w:trPr>
        <w:tc>
          <w:tcPr>
            <w:tcW w:type="dxa" w:w="1588"/>
          </w:tcPr>
          <w:p>
            <w:pPr>
              <w:pStyle w:val="Compact"/>
              <w:spacing w:after="0" w:before="0" w:line="240" w:lineRule="auto"/>
              <w:jc w:val="left"/>
            </w:pPr>
            <w:r>
              <w:rPr>
                <w:rFonts w:ascii="Arial" w:hAnsi="Arial"/>
                <w:sz w:val="14"/>
              </w:rPr>
              <w:t xml:space="preserve">HSS 1 g</w:t>
            </w:r>
          </w:p>
        </w:tc>
        <w:tc>
          <w:tcPr>
            <w:tcW w:type="dxa" w:w="1514"/>
          </w:tcPr>
          <w:p>
            <w:pPr>
              <w:pStyle w:val="Compact"/>
              <w:spacing w:after="0" w:before="0" w:line="240" w:lineRule="auto"/>
              <w:jc w:val="left"/>
            </w:pPr>
            <w:r>
              <w:rPr>
                <w:rFonts w:ascii="Arial" w:hAnsi="Arial"/>
                <w:sz w:val="14"/>
              </w:rPr>
              <w:t xml:space="preserve">218.39</w:t>
            </w:r>
          </w:p>
        </w:tc>
        <w:tc>
          <w:tcPr>
            <w:tcW w:type="dxa" w:w="3457"/>
          </w:tcPr>
          <w:p>
            <w:pPr>
              <w:pStyle w:val="Compact"/>
              <w:spacing w:after="0" w:before="0" w:line="240" w:lineRule="auto"/>
              <w:jc w:val="left"/>
            </w:pPr>
            <w:r>
              <w:rPr>
                <w:rFonts w:ascii="Arial" w:hAnsi="Arial"/>
                <w:sz w:val="14"/>
              </w:rPr>
              <w:t xml:space="preserve">201.05</w:t>
            </w:r>
          </w:p>
        </w:tc>
        <w:tc>
          <w:tcPr>
            <w:tcW w:type="dxa" w:w="1009"/>
          </w:tcPr>
          <w:p>
            <w:pPr>
              <w:pStyle w:val="Compact"/>
              <w:spacing w:after="0" w:before="0" w:line="240" w:lineRule="auto"/>
              <w:jc w:val="left"/>
            </w:pPr>
            <w:r>
              <w:rPr>
                <w:rFonts w:ascii="Arial" w:hAnsi="Arial"/>
                <w:sz w:val="14"/>
              </w:rPr>
              <w:t xml:space="preserve">–</w:t>
            </w:r>
          </w:p>
        </w:tc>
        <w:tc>
          <w:tcPr>
            <w:tcW w:type="dxa" w:w="1177"/>
          </w:tcPr>
          <w:p>
            <w:pPr>
              <w:pStyle w:val="Compact"/>
              <w:spacing w:after="0" w:before="0" w:line="240" w:lineRule="auto"/>
              <w:jc w:val="left"/>
            </w:pPr>
            <w:r>
              <w:rPr>
                <w:rFonts w:ascii="Arial" w:hAnsi="Arial"/>
                <w:sz w:val="14"/>
              </w:rPr>
              <w:t xml:space="preserve">–</w:t>
            </w:r>
          </w:p>
        </w:tc>
        <w:tc>
          <w:tcPr>
            <w:tcW w:type="dxa" w:w="1346"/>
          </w:tcPr>
          <w:p>
            <w:pPr>
              <w:pStyle w:val="Compact"/>
              <w:spacing w:after="0" w:before="0" w:line="240" w:lineRule="auto"/>
              <w:jc w:val="left"/>
            </w:pPr>
            <w:r>
              <w:rPr>
                <w:rFonts w:ascii="Arial" w:hAnsi="Arial"/>
                <w:sz w:val="14"/>
              </w:rPr>
              <w:t xml:space="preserve">–</w:t>
            </w:r>
          </w:p>
        </w:tc>
      </w:tr>
    </w:tbl>
    <w:p>
      <w:pPr>
        <w:pStyle w:val="BodyText"/>
        <w:spacing w:before="100"/>
      </w:pPr>
      <w:r>
        <w:rPr>
          <w:rFonts w:ascii="Arial" w:hAnsi="Arial"/>
        </w:rPr>
        <w:t xml:space="preserve">Sources:</w:t>
      </w:r>
      <w:r>
        <w:rPr>
          <w:rFonts w:ascii="Arial" w:hAnsi="Arial"/>
        </w:rPr>
        <w:t xml:space="preserve"> </w:t>
      </w:r>
      <w:hyperlink r:id="rId37">
        <w:r>
          <w:rPr>
            <w:rStyle w:val="Hyperlink"/>
          </w:rPr>
          <w:t xml:space="preserve">Pfizer Solu-Cortef CT disclosure, 6 Jul 2026</w:t>
        </w:r>
      </w:hyperlink>
      <w:r>
        <w:rPr>
          <w:rFonts w:ascii="Arial" w:hAnsi="Arial"/>
        </w:rPr>
        <w:t xml:space="preserve">;</w:t>
      </w:r>
      <w:r>
        <w:rPr>
          <w:rFonts w:ascii="Arial" w:hAnsi="Arial"/>
        </w:rPr>
        <w:t xml:space="preserve"> </w:t>
      </w:r>
      <w:hyperlink r:id="rId38">
        <w:r>
          <w:rPr>
            <w:rStyle w:val="Hyperlink"/>
          </w:rPr>
          <w:t xml:space="preserve">Pfizer Solu-Medrol CT disclosure, 6 Jul 2026</w:t>
        </w:r>
      </w:hyperlink>
      <w:r>
        <w:rPr>
          <w:rFonts w:ascii="Arial" w:hAnsi="Arial"/>
        </w:rPr>
        <w:t xml:space="preserve">;</w:t>
      </w:r>
      <w:r>
        <w:rPr>
          <w:rFonts w:ascii="Arial" w:hAnsi="Arial"/>
        </w:rPr>
        <w:t xml:space="preserve"> </w:t>
      </w:r>
      <w:hyperlink r:id="rId27">
        <w:r>
          <w:rPr>
            <w:rStyle w:val="Hyperlink"/>
          </w:rPr>
          <w:t xml:space="preserve">NADAC 2026</w:t>
        </w:r>
      </w:hyperlink>
      <w:r>
        <w:rPr>
          <w:rFonts w:ascii="Arial" w:hAnsi="Arial"/>
        </w:rPr>
        <w:t xml:space="preserve">; cleaned SDUD per-vial medians from</w:t>
      </w:r>
      <w:r>
        <w:rPr>
          <w:rFonts w:ascii="Arial" w:hAnsi="Arial"/>
        </w:rPr>
        <w:t xml:space="preserve"> </w:t>
      </w:r>
      <w:hyperlink r:id="rId35">
        <w:r>
          <w:rPr>
            <w:rStyle w:val="Hyperlink"/>
          </w:rPr>
          <w:t xml:space="preserve">SDUD 2025</w:t>
        </w:r>
      </w:hyperlink>
      <w:r>
        <w:rPr>
          <w:rFonts w:ascii="Arial" w:hAnsi="Arial"/>
        </w:rPr>
        <w:t xml:space="preserve">.</w:t>
      </w:r>
    </w:p>
    <w:bookmarkEnd w:id="67"/>
    <w:bookmarkStart w:id="72" w:name="what-the-price-points-say"/>
    <w:p>
      <w:pPr>
        <w:pStyle w:val="Heading3"/>
      </w:pPr>
      <w:r>
        <w:rPr>
          <w:rFonts w:ascii="Arial" w:hAnsi="Arial"/>
        </w:rPr>
        <w:t xml:space="preserve">What the price points say</w:t>
      </w:r>
    </w:p>
    <w:p>
      <w:pPr>
        <w:pStyle w:val="FirstParagraph"/>
        <w:keepNext/>
      </w:pPr>
      <w:r>
        <w:rPr>
          <w:bCs/>
          <w:rFonts w:ascii="Arial" w:hAnsi="Arial"/>
          <w:b/>
        </w:rPr>
        <w:t xml:space="preserve">The price trajectories split cleanly.</w:t>
      </w:r>
      <w:r>
        <w:rPr>
          <w:rFonts w:ascii="Arial" w:hAnsi="Arial"/>
        </w:rPr>
        <w:t xml:space="preserve"> </w:t>
      </w:r>
      <w:r>
        <w:rPr>
          <w:rFonts w:ascii="Arial" w:hAnsi="Arial"/>
        </w:rPr>
        <w:t xml:space="preserve">From July 2024 to July 2026, Pfizer raised Solu-Cortef WAC</w:t>
      </w:r>
      <w:r>
        <w:rPr>
          <w:rFonts w:ascii="Arial" w:hAnsi="Arial"/>
        </w:rPr>
        <w:t xml:space="preserve"> </w:t>
      </w:r>
      <w:r>
        <w:rPr>
          <w:bCs/>
          <w:rFonts w:ascii="Arial" w:hAnsi="Arial"/>
          <w:b/>
        </w:rPr>
        <w:t xml:space="preserve">18–29% on every single-vial presentation</w:t>
      </w:r>
      <w:r>
        <w:rPr>
          <w:rFonts w:ascii="Arial" w:hAnsi="Arial"/>
        </w:rPr>
        <w:t xml:space="preserve">. The 100 mg and 250 mg 25-pack lines rose about 16% and 21% per vial, assuming the second 100 mg and 250 mg entries in the 2024 disclosure are those packs.</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4523"/>
        <w:gridCol w:w="1948"/>
        <w:gridCol w:w="1948"/>
        <w:gridCol w:w="1670"/>
      </w:tblGrid>
      <w:tr>
        <w:trPr>
          <w:tblHeader w:val="true"/>
          <w:tblHeader w:val="true"/>
          <w:cantSplit/>
        </w:trPr>
        <w:tc>
          <w:tcPr>
            <w:tcW w:type="dxa" w:w="4524"/>
            <w:shd w:val="clear" w:color="auto" w:fill="1F3864"/>
          </w:tcPr>
          <w:p>
            <w:pPr>
              <w:pStyle w:val="Compact"/>
              <w:spacing w:after="0" w:before="0" w:line="240" w:lineRule="auto"/>
              <w:jc w:val="left"/>
            </w:pPr>
            <w:r>
              <w:rPr>
                <w:rFonts w:ascii="Arial" w:hAnsi="Arial"/>
                <w:b/>
                <w:color w:val="FFFFFF"/>
                <w:sz w:val="16"/>
              </w:rPr>
              <w:t xml:space="preserve">Solu-Cortef presentation</w:t>
            </w:r>
          </w:p>
        </w:tc>
        <w:tc>
          <w:tcPr>
            <w:tcW w:type="dxa" w:w="1949"/>
            <w:shd w:val="clear" w:color="auto" w:fill="1F3864"/>
          </w:tcPr>
          <w:p>
            <w:pPr>
              <w:pStyle w:val="Compact"/>
              <w:spacing w:after="0" w:before="0" w:line="240" w:lineRule="auto"/>
              <w:jc w:val="left"/>
            </w:pPr>
            <w:r>
              <w:rPr>
                <w:rFonts w:ascii="Arial" w:hAnsi="Arial"/>
                <w:b/>
                <w:color w:val="FFFFFF"/>
                <w:sz w:val="16"/>
              </w:rPr>
              <w:t xml:space="preserve">WAC Jul 2024</w:t>
            </w:r>
          </w:p>
        </w:tc>
        <w:tc>
          <w:tcPr>
            <w:tcW w:type="dxa" w:w="1949"/>
            <w:shd w:val="clear" w:color="auto" w:fill="1F3864"/>
          </w:tcPr>
          <w:p>
            <w:pPr>
              <w:pStyle w:val="Compact"/>
              <w:spacing w:after="0" w:before="0" w:line="240" w:lineRule="auto"/>
              <w:jc w:val="left"/>
            </w:pPr>
            <w:r>
              <w:rPr>
                <w:rFonts w:ascii="Arial" w:hAnsi="Arial"/>
                <w:b/>
                <w:color w:val="FFFFFF"/>
                <w:sz w:val="16"/>
              </w:rPr>
              <w:t xml:space="preserve">WAC Jul 2026</w:t>
            </w:r>
          </w:p>
        </w:tc>
        <w:tc>
          <w:tcPr>
            <w:tcW w:type="dxa" w:w="1670"/>
            <w:shd w:val="clear" w:color="auto" w:fill="1F3864"/>
          </w:tcPr>
          <w:p>
            <w:pPr>
              <w:pStyle w:val="Compact"/>
              <w:spacing w:after="0" w:before="0" w:line="240" w:lineRule="auto"/>
              <w:jc w:val="left"/>
            </w:pPr>
            <w:r>
              <w:rPr>
                <w:rFonts w:ascii="Arial" w:hAnsi="Arial"/>
                <w:b/>
                <w:color w:val="FFFFFF"/>
                <w:sz w:val="16"/>
              </w:rPr>
              <w:t xml:space="preserve">Change</w:t>
            </w:r>
          </w:p>
        </w:tc>
      </w:tr>
      <w:tr>
        <w:trPr>
          <w:cantSplit/>
        </w:trPr>
        <w:tc>
          <w:tcPr>
            <w:tcW w:type="dxa" w:w="4524"/>
          </w:tcPr>
          <w:p>
            <w:pPr>
              <w:pStyle w:val="Compact"/>
              <w:spacing w:after="0" w:before="0" w:line="240" w:lineRule="auto"/>
              <w:jc w:val="left"/>
            </w:pPr>
            <w:r>
              <w:rPr>
                <w:rFonts w:ascii="Arial" w:hAnsi="Arial"/>
                <w:sz w:val="16"/>
              </w:rPr>
              <w:t xml:space="preserve">100 mg plain vial</w:t>
            </w:r>
          </w:p>
        </w:tc>
        <w:tc>
          <w:tcPr>
            <w:tcW w:type="dxa" w:w="1949"/>
          </w:tcPr>
          <w:p>
            <w:pPr>
              <w:pStyle w:val="Compact"/>
              <w:spacing w:after="0" w:before="0" w:line="240" w:lineRule="auto"/>
              <w:jc w:val="left"/>
            </w:pPr>
            <w:r>
              <w:rPr>
                <w:rFonts w:ascii="Arial" w:hAnsi="Arial"/>
                <w:sz w:val="16"/>
              </w:rPr>
              <w:t xml:space="preserve">$15.86</w:t>
            </w:r>
          </w:p>
        </w:tc>
        <w:tc>
          <w:tcPr>
            <w:tcW w:type="dxa" w:w="1949"/>
          </w:tcPr>
          <w:p>
            <w:pPr>
              <w:pStyle w:val="Compact"/>
              <w:spacing w:after="0" w:before="0" w:line="240" w:lineRule="auto"/>
              <w:jc w:val="left"/>
            </w:pPr>
            <w:r>
              <w:rPr>
                <w:rFonts w:ascii="Arial" w:hAnsi="Arial"/>
                <w:sz w:val="16"/>
              </w:rPr>
              <w:t xml:space="preserve">$20.11</w:t>
            </w:r>
          </w:p>
        </w:tc>
        <w:tc>
          <w:tcPr>
            <w:tcW w:type="dxa" w:w="1670"/>
          </w:tcPr>
          <w:p>
            <w:pPr>
              <w:pStyle w:val="Compact"/>
              <w:spacing w:after="0" w:before="0" w:line="240" w:lineRule="auto"/>
              <w:jc w:val="left"/>
            </w:pPr>
            <w:r>
              <w:rPr>
                <w:rFonts w:ascii="Arial" w:hAnsi="Arial"/>
                <w:sz w:val="16"/>
              </w:rPr>
              <w:t xml:space="preserve">+26.8%</w:t>
            </w:r>
          </w:p>
        </w:tc>
      </w:tr>
      <w:tr>
        <w:trPr>
          <w:cantSplit/>
        </w:trPr>
        <w:tc>
          <w:tcPr>
            <w:tcW w:type="dxa" w:w="4524"/>
          </w:tcPr>
          <w:p>
            <w:pPr>
              <w:pStyle w:val="Compact"/>
              <w:spacing w:after="0" w:before="0" w:line="240" w:lineRule="auto"/>
              <w:jc w:val="left"/>
            </w:pPr>
            <w:r>
              <w:rPr>
                <w:rFonts w:ascii="Arial" w:hAnsi="Arial"/>
                <w:sz w:val="16"/>
              </w:rPr>
              <w:t xml:space="preserve">100 mg Act-O-Vial</w:t>
            </w:r>
          </w:p>
        </w:tc>
        <w:tc>
          <w:tcPr>
            <w:tcW w:type="dxa" w:w="1949"/>
          </w:tcPr>
          <w:p>
            <w:pPr>
              <w:pStyle w:val="Compact"/>
              <w:spacing w:after="0" w:before="0" w:line="240" w:lineRule="auto"/>
              <w:jc w:val="left"/>
            </w:pPr>
            <w:r>
              <w:rPr>
                <w:rFonts w:ascii="Arial" w:hAnsi="Arial"/>
                <w:sz w:val="16"/>
              </w:rPr>
              <w:t xml:space="preserve">$21.42</w:t>
            </w:r>
          </w:p>
        </w:tc>
        <w:tc>
          <w:tcPr>
            <w:tcW w:type="dxa" w:w="1949"/>
          </w:tcPr>
          <w:p>
            <w:pPr>
              <w:pStyle w:val="Compact"/>
              <w:spacing w:after="0" w:before="0" w:line="240" w:lineRule="auto"/>
              <w:jc w:val="left"/>
            </w:pPr>
            <w:r>
              <w:rPr>
                <w:rFonts w:ascii="Arial" w:hAnsi="Arial"/>
                <w:sz w:val="16"/>
              </w:rPr>
              <w:t xml:space="preserve">$25.27</w:t>
            </w:r>
          </w:p>
        </w:tc>
        <w:tc>
          <w:tcPr>
            <w:tcW w:type="dxa" w:w="1670"/>
          </w:tcPr>
          <w:p>
            <w:pPr>
              <w:pStyle w:val="Compact"/>
              <w:spacing w:after="0" w:before="0" w:line="240" w:lineRule="auto"/>
              <w:jc w:val="left"/>
            </w:pPr>
            <w:r>
              <w:rPr>
                <w:rFonts w:ascii="Arial" w:hAnsi="Arial"/>
                <w:sz w:val="16"/>
              </w:rPr>
              <w:t xml:space="preserve">+18.0%</w:t>
            </w:r>
          </w:p>
        </w:tc>
      </w:tr>
      <w:tr>
        <w:trPr>
          <w:cantSplit/>
        </w:trPr>
        <w:tc>
          <w:tcPr>
            <w:tcW w:type="dxa" w:w="4524"/>
          </w:tcPr>
          <w:p>
            <w:pPr>
              <w:pStyle w:val="Compact"/>
              <w:spacing w:after="0" w:before="0" w:line="240" w:lineRule="auto"/>
              <w:jc w:val="left"/>
            </w:pPr>
            <w:r>
              <w:rPr>
                <w:rFonts w:ascii="Arial" w:hAnsi="Arial"/>
                <w:sz w:val="16"/>
              </w:rPr>
              <w:t xml:space="preserve">250 mg Act-O-Vial</w:t>
            </w:r>
          </w:p>
        </w:tc>
        <w:tc>
          <w:tcPr>
            <w:tcW w:type="dxa" w:w="1949"/>
          </w:tcPr>
          <w:p>
            <w:pPr>
              <w:pStyle w:val="Compact"/>
              <w:spacing w:after="0" w:before="0" w:line="240" w:lineRule="auto"/>
              <w:jc w:val="left"/>
            </w:pPr>
            <w:r>
              <w:rPr>
                <w:rFonts w:ascii="Arial" w:hAnsi="Arial"/>
                <w:sz w:val="16"/>
              </w:rPr>
              <w:t xml:space="preserve">$39.64</w:t>
            </w:r>
          </w:p>
        </w:tc>
        <w:tc>
          <w:tcPr>
            <w:tcW w:type="dxa" w:w="1949"/>
          </w:tcPr>
          <w:p>
            <w:pPr>
              <w:pStyle w:val="Compact"/>
              <w:spacing w:after="0" w:before="0" w:line="240" w:lineRule="auto"/>
              <w:jc w:val="left"/>
            </w:pPr>
            <w:r>
              <w:rPr>
                <w:rFonts w:ascii="Arial" w:hAnsi="Arial"/>
                <w:sz w:val="16"/>
              </w:rPr>
              <w:t xml:space="preserve">$51.21</w:t>
            </w:r>
          </w:p>
        </w:tc>
        <w:tc>
          <w:tcPr>
            <w:tcW w:type="dxa" w:w="1670"/>
          </w:tcPr>
          <w:p>
            <w:pPr>
              <w:pStyle w:val="Compact"/>
              <w:spacing w:after="0" w:before="0" w:line="240" w:lineRule="auto"/>
              <w:jc w:val="left"/>
            </w:pPr>
            <w:r>
              <w:rPr>
                <w:rFonts w:ascii="Arial" w:hAnsi="Arial"/>
                <w:sz w:val="16"/>
              </w:rPr>
              <w:t xml:space="preserve">+29.2%</w:t>
            </w:r>
          </w:p>
        </w:tc>
      </w:tr>
      <w:tr>
        <w:trPr>
          <w:cantSplit/>
        </w:trPr>
        <w:tc>
          <w:tcPr>
            <w:tcW w:type="dxa" w:w="4524"/>
          </w:tcPr>
          <w:p>
            <w:pPr>
              <w:pStyle w:val="Compact"/>
              <w:spacing w:after="0" w:before="0" w:line="240" w:lineRule="auto"/>
              <w:jc w:val="left"/>
            </w:pPr>
            <w:r>
              <w:rPr>
                <w:rFonts w:ascii="Arial" w:hAnsi="Arial"/>
                <w:sz w:val="16"/>
              </w:rPr>
              <w:t xml:space="preserve">1 g Act-O-Vial</w:t>
            </w:r>
          </w:p>
        </w:tc>
        <w:tc>
          <w:tcPr>
            <w:tcW w:type="dxa" w:w="1949"/>
          </w:tcPr>
          <w:p>
            <w:pPr>
              <w:pStyle w:val="Compact"/>
              <w:spacing w:after="0" w:before="0" w:line="240" w:lineRule="auto"/>
              <w:jc w:val="left"/>
            </w:pPr>
            <w:r>
              <w:rPr>
                <w:rFonts w:ascii="Arial" w:hAnsi="Arial"/>
                <w:sz w:val="16"/>
              </w:rPr>
              <w:t xml:space="preserve">$158.57</w:t>
            </w:r>
          </w:p>
        </w:tc>
        <w:tc>
          <w:tcPr>
            <w:tcW w:type="dxa" w:w="1949"/>
          </w:tcPr>
          <w:p>
            <w:pPr>
              <w:pStyle w:val="Compact"/>
              <w:spacing w:after="0" w:before="0" w:line="240" w:lineRule="auto"/>
              <w:jc w:val="left"/>
            </w:pPr>
            <w:r>
              <w:rPr>
                <w:rFonts w:ascii="Arial" w:hAnsi="Arial"/>
                <w:sz w:val="16"/>
              </w:rPr>
              <w:t xml:space="preserve">$201.05</w:t>
            </w:r>
          </w:p>
        </w:tc>
        <w:tc>
          <w:tcPr>
            <w:tcW w:type="dxa" w:w="1670"/>
          </w:tcPr>
          <w:p>
            <w:pPr>
              <w:pStyle w:val="Compact"/>
              <w:spacing w:after="0" w:before="0" w:line="240" w:lineRule="auto"/>
              <w:jc w:val="left"/>
            </w:pPr>
            <w:r>
              <w:rPr>
                <w:rFonts w:ascii="Arial" w:hAnsi="Arial"/>
                <w:sz w:val="16"/>
              </w:rPr>
              <w:t xml:space="preserve">+26.8%</w:t>
            </w:r>
          </w:p>
        </w:tc>
      </w:tr>
    </w:tbl>
    <w:p>
      <w:pPr>
        <w:pStyle w:val="BodyText"/>
        <w:spacing w:before="100"/>
      </w:pPr>
      <w:r>
        <w:rPr>
          <w:rFonts w:ascii="Arial" w:hAnsi="Arial"/>
        </w:rPr>
        <w:t xml:space="preserve">Over the same period Pfizer left Solu-Medrol WAC flat, except for</w:t>
      </w:r>
      <w:r>
        <w:rPr>
          <w:rFonts w:ascii="Arial" w:hAnsi="Arial"/>
        </w:rPr>
        <w:t xml:space="preserve"> </w:t>
      </w:r>
      <w:r>
        <w:rPr>
          <w:bCs/>
          <w:rFonts w:ascii="Arial" w:hAnsi="Arial"/>
          <w:b/>
        </w:rPr>
        <w:t xml:space="preserve">mid-2025 cuts of 17–42% on five presentations</w:t>
      </w:r>
      <w:r>
        <w:rPr>
          <w:rFonts w:ascii="Arial" w:hAnsi="Arial"/>
        </w:rPr>
        <w:t xml:space="preserve">: two 40 mg Act-O-Vial lines ($6.76 → $5.11 and $6.47 → $5.37), two 125 mg Act-O-Vial lines ($10.88 → $8.14 and $10.42 → $8.54) and the 1 g multi-dose vial ($43.98 → $25.35) (</w:t>
      </w:r>
      <w:hyperlink r:id="rId68">
        <w:r>
          <w:rPr>
            <w:rStyle w:val="Hyperlink"/>
          </w:rPr>
          <w:t xml:space="preserve">Pfizer Solu-Cortef CT disclosure, 9 Jul 2024</w:t>
        </w:r>
      </w:hyperlink>
      <w:r>
        <w:rPr>
          <w:rFonts w:ascii="Arial" w:hAnsi="Arial"/>
        </w:rPr>
        <w:t xml:space="preserve">;</w:t>
      </w:r>
      <w:r>
        <w:rPr>
          <w:rFonts w:ascii="Arial" w:hAnsi="Arial"/>
        </w:rPr>
        <w:t xml:space="preserve"> </w:t>
      </w:r>
      <w:hyperlink r:id="rId37">
        <w:r>
          <w:rPr>
            <w:rStyle w:val="Hyperlink"/>
          </w:rPr>
          <w:t xml:space="preserve">Solu-Cortef, 6 Jul 2026</w:t>
        </w:r>
      </w:hyperlink>
      <w:r>
        <w:rPr>
          <w:rFonts w:ascii="Arial" w:hAnsi="Arial"/>
        </w:rPr>
        <w:t xml:space="preserve">;</w:t>
      </w:r>
      <w:r>
        <w:rPr>
          <w:rFonts w:ascii="Arial" w:hAnsi="Arial"/>
        </w:rPr>
        <w:t xml:space="preserve"> </w:t>
      </w:r>
      <w:hyperlink r:id="rId69">
        <w:r>
          <w:rPr>
            <w:rStyle w:val="Hyperlink"/>
          </w:rPr>
          <w:t xml:space="preserve">Pfizer Solu-Medrol CT disclosure, 9 Jul 2024</w:t>
        </w:r>
      </w:hyperlink>
      <w:r>
        <w:rPr>
          <w:rFonts w:ascii="Arial" w:hAnsi="Arial"/>
        </w:rPr>
        <w:t xml:space="preserve">;</w:t>
      </w:r>
      <w:r>
        <w:rPr>
          <w:rFonts w:ascii="Arial" w:hAnsi="Arial"/>
        </w:rPr>
        <w:t xml:space="preserve"> </w:t>
      </w:r>
      <w:hyperlink r:id="rId70">
        <w:r>
          <w:rPr>
            <w:rStyle w:val="Hyperlink"/>
          </w:rPr>
          <w:t xml:space="preserve">Solu-Medrol, 28 Mar 2025</w:t>
        </w:r>
      </w:hyperlink>
      <w:r>
        <w:rPr>
          <w:rFonts w:ascii="Arial" w:hAnsi="Arial"/>
        </w:rPr>
        <w:t xml:space="preserve">;</w:t>
      </w:r>
      <w:r>
        <w:rPr>
          <w:rFonts w:ascii="Arial" w:hAnsi="Arial"/>
        </w:rPr>
        <w:t xml:space="preserve"> </w:t>
      </w:r>
      <w:hyperlink r:id="rId71">
        <w:r>
          <w:rPr>
            <w:rStyle w:val="Hyperlink"/>
          </w:rPr>
          <w:t xml:space="preserve">Solu-Medrol, 28 Jul 2025</w:t>
        </w:r>
      </w:hyperlink>
      <w:r>
        <w:rPr>
          <w:rFonts w:ascii="Arial" w:hAnsi="Arial"/>
        </w:rPr>
        <w:t xml:space="preserve">;</w:t>
      </w:r>
      <w:r>
        <w:rPr>
          <w:rFonts w:ascii="Arial" w:hAnsi="Arial"/>
        </w:rPr>
        <w:t xml:space="preserve"> </w:t>
      </w:r>
      <w:hyperlink r:id="rId38">
        <w:r>
          <w:rPr>
            <w:rStyle w:val="Hyperlink"/>
          </w:rPr>
          <w:t xml:space="preserve">Solu-Medrol, 6 Jul 2026</w:t>
        </w:r>
      </w:hyperlink>
      <w:r>
        <w:rPr>
          <w:rFonts w:ascii="Arial" w:hAnsi="Arial"/>
        </w:rPr>
        <w:t xml:space="preserve">). The cuts appear between the 28 March and 28 July 2025 disclosures. For example, the 40 mg Act-O-Vial 25-pack went from US$168.96 to US$127.84.</w:t>
      </w:r>
    </w:p>
    <w:p>
      <w:pPr>
        <w:pStyle w:val="BodyText"/>
      </w:pPr>
      <w:r>
        <w:rPr>
          <w:rFonts w:ascii="Arial" w:hAnsi="Arial"/>
        </w:rPr>
        <w:t xml:space="preserve">On NADAC, generic MPSS 125 mg sits at</w:t>
      </w:r>
      <w:r>
        <w:rPr>
          <w:rFonts w:ascii="Arial" w:hAnsi="Arial"/>
        </w:rPr>
        <w:t xml:space="preserve"> </w:t>
      </w:r>
      <w:r>
        <w:rPr>
          <w:bCs/>
          <w:rFonts w:ascii="Arial" w:hAnsi="Arial"/>
          <w:b/>
        </w:rPr>
        <w:t xml:space="preserve">~33% of brand</w:t>
      </w:r>
      <w:r>
        <w:rPr>
          <w:rFonts w:ascii="Arial" w:hAnsi="Arial"/>
        </w:rPr>
        <w:t xml:space="preserve">, while generic HSS 100 mg sits at</w:t>
      </w:r>
      <w:r>
        <w:rPr>
          <w:rFonts w:ascii="Arial" w:hAnsi="Arial"/>
        </w:rPr>
        <w:t xml:space="preserve"> </w:t>
      </w:r>
      <w:r>
        <w:rPr>
          <w:bCs/>
          <w:rFonts w:ascii="Arial" w:hAnsi="Arial"/>
          <w:b/>
        </w:rPr>
        <w:t xml:space="preserve">~56–57% of brand</w:t>
      </w:r>
      <w:r>
        <w:rPr>
          <w:rFonts w:ascii="Arial" w:hAnsi="Arial"/>
        </w:rPr>
        <w:t xml:space="preserve"> </w:t>
      </w:r>
      <w:r>
        <w:rPr>
          <w:rFonts w:ascii="Arial" w:hAnsi="Arial"/>
        </w:rPr>
        <w:t xml:space="preserve">(our calculation from</w:t>
      </w:r>
      <w:r>
        <w:rPr>
          <w:rFonts w:ascii="Arial" w:hAnsi="Arial"/>
        </w:rPr>
        <w:t xml:space="preserve"> </w:t>
      </w:r>
      <w:hyperlink r:id="rId27">
        <w:r>
          <w:rPr>
            <w:rStyle w:val="Hyperlink"/>
          </w:rPr>
          <w:t xml:space="preserve">NADAC 2026</w:t>
        </w:r>
      </w:hyperlink>
      <w:r>
        <w:rPr>
          <w:rFonts w:ascii="Arial" w:hAnsi="Arial"/>
        </w:rPr>
        <w:t xml:space="preserve">). The HSS discount is shallower, consistent with only three entrants at a single strength (inference). J1720 ASP runs at</w:t>
      </w:r>
      <w:r>
        <w:rPr>
          <w:rFonts w:ascii="Arial" w:hAnsi="Arial"/>
        </w:rPr>
        <w:t xml:space="preserve"> </w:t>
      </w:r>
      <w:r>
        <w:rPr>
          <w:bCs/>
          <w:rFonts w:ascii="Arial" w:hAnsi="Arial"/>
          <w:b/>
        </w:rPr>
        <w:t xml:space="preserve">86–109% of the 100 mg WAC</w:t>
      </w:r>
      <w:r>
        <w:rPr>
          <w:rFonts w:ascii="Arial" w:hAnsi="Arial"/>
        </w:rPr>
        <w:t xml:space="preserve"> </w:t>
      </w:r>
      <w:r>
        <w:rPr>
          <w:rFonts w:ascii="Arial" w:hAnsi="Arial"/>
        </w:rPr>
        <w:t xml:space="preserve">(our calculation from the</w:t>
      </w:r>
      <w:r>
        <w:rPr>
          <w:rFonts w:ascii="Arial" w:hAnsi="Arial"/>
        </w:rPr>
        <w:t xml:space="preserve"> </w:t>
      </w:r>
      <w:hyperlink r:id="rId29">
        <w:r>
          <w:rPr>
            <w:rStyle w:val="Hyperlink"/>
          </w:rPr>
          <w:t xml:space="preserve">CMS Oct 2026 payment limit file</w:t>
        </w:r>
      </w:hyperlink>
      <w:r>
        <w:rPr>
          <w:rFonts w:ascii="Arial" w:hAnsi="Arial"/>
        </w:rPr>
        <w:t xml:space="preserve"> </w:t>
      </w:r>
      <w:r>
        <w:rPr>
          <w:rFonts w:ascii="Arial" w:hAnsi="Arial"/>
        </w:rPr>
        <w:t xml:space="preserve">and</w:t>
      </w:r>
      <w:r>
        <w:rPr>
          <w:rFonts w:ascii="Arial" w:hAnsi="Arial"/>
        </w:rPr>
        <w:t xml:space="preserve"> </w:t>
      </w:r>
      <w:hyperlink r:id="rId37">
        <w:r>
          <w:rPr>
            <w:rStyle w:val="Hyperlink"/>
          </w:rPr>
          <w:t xml:space="preserve">Pfizer Solu-Cortef CT disclosure</w:t>
        </w:r>
      </w:hyperlink>
      <w:r>
        <w:rPr>
          <w:rFonts w:ascii="Arial" w:hAnsi="Arial"/>
        </w:rPr>
        <w:t xml:space="preserve">). That implies thin gross-to-net for a sole-source hospital injectable (inference).</w:t>
      </w:r>
    </w:p>
    <w:bookmarkEnd w:id="72"/>
    <w:bookmarkStart w:id="75" w:name="data-caveats-that-change-interpretation"/>
    <w:p>
      <w:pPr>
        <w:pStyle w:val="Heading3"/>
        <w:keepNext/>
      </w:pPr>
      <w:r>
        <w:rPr>
          <w:rFonts w:ascii="Arial" w:hAnsi="Arial"/>
        </w:rPr>
        <w:t xml:space="preserve">Data caveats that change interpretation</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3363"/>
        <w:gridCol w:w="3363"/>
        <w:gridCol w:w="3363"/>
      </w:tblGrid>
      <w:tr>
        <w:trPr>
          <w:tblHeader w:val="true"/>
          <w:tblHeader w:val="true"/>
          <w:cantSplit/>
        </w:trPr>
        <w:tc>
          <w:tcPr>
            <w:tcW w:type="dxa" w:w="3364"/>
            <w:shd w:val="clear" w:color="auto" w:fill="1F3864"/>
          </w:tcPr>
          <w:p>
            <w:pPr>
              <w:pStyle w:val="Compact"/>
              <w:spacing w:after="0" w:before="0" w:line="240" w:lineRule="auto"/>
              <w:jc w:val="left"/>
            </w:pPr>
            <w:r>
              <w:rPr>
                <w:rFonts w:ascii="Arial" w:hAnsi="Arial"/>
                <w:b/>
                <w:color w:val="FFFFFF"/>
                <w:sz w:val="16"/>
              </w:rPr>
              <w:t xml:space="preserve">Caveat</w:t>
            </w:r>
          </w:p>
        </w:tc>
        <w:tc>
          <w:tcPr>
            <w:tcW w:type="dxa" w:w="3364"/>
            <w:shd w:val="clear" w:color="auto" w:fill="1F3864"/>
          </w:tcPr>
          <w:p>
            <w:pPr>
              <w:pStyle w:val="Compact"/>
              <w:spacing w:after="0" w:before="0" w:line="240" w:lineRule="auto"/>
              <w:jc w:val="left"/>
            </w:pPr>
            <w:r>
              <w:rPr>
                <w:rFonts w:ascii="Arial" w:hAnsi="Arial"/>
                <w:b/>
                <w:color w:val="FFFFFF"/>
                <w:sz w:val="16"/>
              </w:rPr>
              <w:t xml:space="preserve">Effect</w:t>
            </w:r>
          </w:p>
        </w:tc>
        <w:tc>
          <w:tcPr>
            <w:tcW w:type="dxa" w:w="3364"/>
            <w:shd w:val="clear" w:color="auto" w:fill="1F3864"/>
          </w:tcPr>
          <w:p>
            <w:pPr>
              <w:pStyle w:val="Compact"/>
              <w:spacing w:after="0" w:before="0" w:line="240" w:lineRule="auto"/>
              <w:jc w:val="left"/>
            </w:pPr>
            <w:r>
              <w:rPr>
                <w:rFonts w:ascii="Arial" w:hAnsi="Arial"/>
                <w:b/>
                <w:color w:val="FFFFFF"/>
                <w:sz w:val="16"/>
              </w:rPr>
              <w:t xml:space="preserve">How to handle</w:t>
            </w:r>
          </w:p>
        </w:tc>
      </w:tr>
      <w:tr>
        <w:trPr>
          <w:cantSplit/>
        </w:trPr>
        <w:tc>
          <w:tcPr>
            <w:tcW w:type="dxa" w:w="3364"/>
          </w:tcPr>
          <w:p>
            <w:pPr>
              <w:pStyle w:val="Compact"/>
              <w:spacing w:after="0" w:before="0" w:line="240" w:lineRule="auto"/>
              <w:jc w:val="left"/>
            </w:pPr>
            <w:r>
              <w:rPr>
                <w:bCs/>
                <w:rFonts w:ascii="Arial" w:hAnsi="Arial"/>
                <w:b/>
                <w:sz w:val="16"/>
              </w:rPr>
              <w:t xml:space="preserve">April 2024 HCPCS recode.</w:t>
            </w:r>
            <w:r>
              <w:rPr>
                <w:rFonts w:ascii="Arial" w:hAnsi="Arial"/>
                <w:sz w:val="16"/>
              </w:rPr>
              <w:t xml:space="preserve"> </w:t>
            </w:r>
            <w:r>
              <w:rPr>
                <w:rFonts w:ascii="Arial" w:hAnsi="Arial"/>
                <w:sz w:val="16"/>
              </w:rPr>
              <w:t xml:space="preserve">J2920 (40 mg) and J2930 (125 mg) became J2919 (per 5 mg); J1020/J1030/J1040 became J1010 (per 1 mg) (</w:t>
            </w:r>
            <w:hyperlink r:id="rId73">
              <w:r>
                <w:rPr>
                  <w:rStyle w:val="Hyperlink"/>
                  <w:sz w:val="16"/>
                </w:rPr>
                <w:t xml:space="preserve">CMS April 2024 file</w:t>
              </w:r>
            </w:hyperlink>
            <w:r>
              <w:rPr>
                <w:rFonts w:ascii="Arial" w:hAnsi="Arial"/>
                <w:sz w:val="16"/>
              </w:rPr>
              <w:t xml:space="preserve">;</w:t>
            </w:r>
            <w:r>
              <w:rPr>
                <w:rFonts w:ascii="Arial" w:hAnsi="Arial"/>
                <w:sz w:val="16"/>
              </w:rPr>
              <w:t xml:space="preserve"> </w:t>
            </w:r>
            <w:hyperlink r:id="rId74">
              <w:r>
                <w:rPr>
                  <w:rStyle w:val="Hyperlink"/>
                  <w:sz w:val="16"/>
                </w:rPr>
                <w:t xml:space="preserve">AAPC J2919</w:t>
              </w:r>
            </w:hyperlink>
            <w:r>
              <w:rPr>
                <w:rFonts w:ascii="Arial" w:hAnsi="Arial"/>
                <w:sz w:val="16"/>
              </w:rPr>
              <w:t xml:space="preserve">)</w:t>
            </w:r>
          </w:p>
        </w:tc>
        <w:tc>
          <w:tcPr>
            <w:tcW w:type="dxa" w:w="3364"/>
          </w:tcPr>
          <w:p>
            <w:pPr>
              <w:pStyle w:val="Compact"/>
              <w:spacing w:after="0" w:before="0" w:line="240" w:lineRule="auto"/>
              <w:jc w:val="left"/>
            </w:pPr>
            <w:r>
              <w:rPr>
                <w:rFonts w:ascii="Arial" w:hAnsi="Arial"/>
                <w:sz w:val="16"/>
              </w:rPr>
              <w:t xml:space="preserve">Before the recode the 40 mg vial had its own code. Afterwards every strength is blended into one per-mg price. Implied 40 mg ASP fell from $3.95 to $2.06 on the code change alone, and large MPSS vials are slightly overstated.</w:t>
            </w:r>
          </w:p>
        </w:tc>
        <w:tc>
          <w:tcPr>
            <w:tcW w:type="dxa" w:w="3364"/>
          </w:tcPr>
          <w:p>
            <w:pPr>
              <w:pStyle w:val="Compact"/>
              <w:spacing w:after="0" w:before="0" w:line="240" w:lineRule="auto"/>
              <w:jc w:val="left"/>
            </w:pPr>
            <w:r>
              <w:rPr>
                <w:rFonts w:ascii="Arial" w:hAnsi="Arial"/>
                <w:sz w:val="16"/>
              </w:rPr>
              <w:t xml:space="preserve">Use within-code trends. For 40 mg, use J2920 history to Q1 2024 or WAC/NADAC. Do not splice the per-vial series across Q1/Q2 2024.</w:t>
            </w:r>
          </w:p>
        </w:tc>
      </w:tr>
      <w:tr>
        <w:trPr>
          <w:cantSplit/>
        </w:trPr>
        <w:tc>
          <w:tcPr>
            <w:tcW w:type="dxa" w:w="3364"/>
          </w:tcPr>
          <w:p>
            <w:pPr>
              <w:pStyle w:val="Compact"/>
              <w:spacing w:after="0" w:before="0" w:line="240" w:lineRule="auto"/>
              <w:jc w:val="left"/>
            </w:pPr>
            <w:r>
              <w:rPr>
                <w:bCs/>
                <w:rFonts w:ascii="Arial" w:hAnsi="Arial"/>
                <w:b/>
                <w:sz w:val="16"/>
              </w:rPr>
              <w:t xml:space="preserve">October 2026 crosswalk: 250 mg Solu-Cortef counted as 3 billing units instead of 2.5</w:t>
            </w:r>
            <w:r>
              <w:rPr>
                <w:rFonts w:ascii="Arial" w:hAnsi="Arial"/>
                <w:sz w:val="16"/>
              </w:rPr>
              <w:t xml:space="preserve">; J1720 descriptor changed to "UP TO 100 MG" (</w:t>
            </w:r>
            <w:hyperlink r:id="rId22">
              <w:r>
                <w:rPr>
                  <w:rStyle w:val="Hyperlink"/>
                  <w:sz w:val="16"/>
                </w:rPr>
                <w:t xml:space="preserve">CMS Oct 2026 crosswalk</w:t>
              </w:r>
            </w:hyperlink>
            <w:r>
              <w:rPr>
                <w:rFonts w:ascii="Arial" w:hAnsi="Arial"/>
                <w:sz w:val="16"/>
              </w:rPr>
              <w:t xml:space="preserve">)</w:t>
            </w:r>
          </w:p>
        </w:tc>
        <w:tc>
          <w:tcPr>
            <w:tcW w:type="dxa" w:w="3364"/>
          </w:tcPr>
          <w:p>
            <w:pPr>
              <w:pStyle w:val="Compact"/>
              <w:spacing w:after="0" w:before="0" w:line="240" w:lineRule="auto"/>
              <w:jc w:val="left"/>
            </w:pPr>
            <w:r>
              <w:rPr>
                <w:rFonts w:ascii="Arial" w:hAnsi="Arial"/>
                <w:sz w:val="16"/>
              </w:rPr>
              <w:t xml:space="preserve">If CMS divides 250 mg sales by 3 units from 3Q26 data onward, J1720 per-unit ASP falls mechanically. CMS has given no explanation. On Medicaid's 2025 strength mix the drag is about 1.2% (our calculation). It would be larger if hospital volume skews to 250 mg.</w:t>
            </w:r>
          </w:p>
        </w:tc>
        <w:tc>
          <w:tcPr>
            <w:tcW w:type="dxa" w:w="3364"/>
          </w:tcPr>
          <w:p>
            <w:pPr>
              <w:pStyle w:val="Compact"/>
              <w:spacing w:after="0" w:before="0" w:line="240" w:lineRule="auto"/>
              <w:jc w:val="left"/>
            </w:pPr>
            <w:r>
              <w:rPr>
                <w:rFonts w:ascii="Arial" w:hAnsi="Arial"/>
                <w:sz w:val="16"/>
              </w:rPr>
              <w:t xml:space="preserve">Watch the January 2027 file. Do not read a small J1720 dip as generic erosion. Model 250 mg on both 2.5 and 3 units (both are on the ASP_per_vial sheet of the workbook).</w:t>
            </w:r>
          </w:p>
        </w:tc>
      </w:tr>
      <w:tr>
        <w:trPr>
          <w:cantSplit/>
        </w:trPr>
        <w:tc>
          <w:tcPr>
            <w:tcW w:type="dxa" w:w="3364"/>
          </w:tcPr>
          <w:p>
            <w:pPr>
              <w:pStyle w:val="Compact"/>
              <w:spacing w:after="0" w:before="0" w:line="240" w:lineRule="auto"/>
              <w:jc w:val="left"/>
            </w:pPr>
            <w:r>
              <w:rPr>
                <w:bCs/>
                <w:rFonts w:ascii="Arial" w:hAnsi="Arial"/>
                <w:b/>
                <w:sz w:val="16"/>
              </w:rPr>
              <w:t xml:space="preserve">Blended per-unit ASP across strengths and labelers</w:t>
            </w:r>
          </w:p>
        </w:tc>
        <w:tc>
          <w:tcPr>
            <w:tcW w:type="dxa" w:w="3364"/>
          </w:tcPr>
          <w:p>
            <w:pPr>
              <w:pStyle w:val="Compact"/>
              <w:spacing w:after="0" w:before="0" w:line="240" w:lineRule="auto"/>
              <w:jc w:val="left"/>
            </w:pPr>
            <w:r>
              <w:rPr>
                <w:rFonts w:ascii="Arial" w:hAnsi="Arial"/>
                <w:sz w:val="16"/>
              </w:rPr>
              <w:t xml:space="preserve">J1720's per-100 mg rate is lifted by the 100 mg Act-O-Vial's higher per-mg price. Implied ASP for 250 mg, 500 mg and 1 g therefore runs 7–9%</w:t>
            </w:r>
            <w:r>
              <w:rPr>
                <w:rFonts w:ascii="Arial" w:hAnsi="Arial"/>
                <w:sz w:val="16"/>
              </w:rPr>
              <w:t xml:space="preserve"> </w:t>
            </w:r>
            <w:r>
              <w:rPr>
                <w:iCs/>
                <w:rFonts w:ascii="Arial" w:hAnsi="Arial"/>
                <w:i/>
                <w:sz w:val="16"/>
              </w:rPr>
              <w:t xml:space="preserve">above</w:t>
            </w:r>
            <w:r>
              <w:rPr>
                <w:rFonts w:ascii="Arial" w:hAnsi="Arial"/>
                <w:sz w:val="16"/>
              </w:rPr>
              <w:t xml:space="preserve"> </w:t>
            </w:r>
            <w:r>
              <w:rPr>
                <w:rFonts w:ascii="Arial" w:hAnsi="Arial"/>
                <w:sz w:val="16"/>
              </w:rPr>
              <w:t xml:space="preserve">WAC, which is not credible as a true vial price (our calculation vs</w:t>
            </w:r>
            <w:r>
              <w:rPr>
                <w:rFonts w:ascii="Arial" w:hAnsi="Arial"/>
                <w:sz w:val="16"/>
              </w:rPr>
              <w:t xml:space="preserve"> </w:t>
            </w:r>
            <w:hyperlink r:id="rId37">
              <w:r>
                <w:rPr>
                  <w:rStyle w:val="Hyperlink"/>
                  <w:sz w:val="16"/>
                </w:rPr>
                <w:t xml:space="preserve">Pfizer Solu-Cortef CT disclosure</w:t>
              </w:r>
            </w:hyperlink>
            <w:r>
              <w:rPr>
                <w:rFonts w:ascii="Arial" w:hAnsi="Arial"/>
                <w:sz w:val="16"/>
              </w:rPr>
              <w:t xml:space="preserve">).</w:t>
            </w:r>
          </w:p>
        </w:tc>
        <w:tc>
          <w:tcPr>
            <w:tcW w:type="dxa" w:w="3364"/>
          </w:tcPr>
          <w:p>
            <w:pPr>
              <w:pStyle w:val="Compact"/>
              <w:spacing w:after="0" w:before="0" w:line="240" w:lineRule="auto"/>
              <w:jc w:val="left"/>
            </w:pPr>
            <w:r>
              <w:rPr>
                <w:rFonts w:ascii="Arial" w:hAnsi="Arial"/>
                <w:sz w:val="16"/>
              </w:rPr>
              <w:t xml:space="preserve">For the large HSS vials, treat WAC (US$51 / US$101 / US$201) as the ceiling and assume ASP at or below it.</w:t>
            </w:r>
          </w:p>
        </w:tc>
      </w:tr>
      <w:tr>
        <w:trPr>
          <w:cantSplit/>
        </w:trPr>
        <w:tc>
          <w:tcPr>
            <w:tcW w:type="dxa" w:w="3364"/>
          </w:tcPr>
          <w:p>
            <w:pPr>
              <w:pStyle w:val="Compact"/>
              <w:spacing w:after="0" w:before="0" w:line="240" w:lineRule="auto"/>
              <w:jc w:val="left"/>
            </w:pPr>
            <w:r>
              <w:rPr>
                <w:bCs/>
                <w:rFonts w:ascii="Arial" w:hAnsi="Arial"/>
                <w:b/>
                <w:sz w:val="16"/>
              </w:rPr>
              <w:t xml:space="preserve">Two-quarter lag</w:t>
            </w:r>
          </w:p>
        </w:tc>
        <w:tc>
          <w:tcPr>
            <w:tcW w:type="dxa" w:w="3364"/>
          </w:tcPr>
          <w:p>
            <w:pPr>
              <w:pStyle w:val="Compact"/>
              <w:spacing w:after="0" w:before="0" w:line="240" w:lineRule="auto"/>
              <w:jc w:val="left"/>
            </w:pPr>
            <w:r>
              <w:rPr>
                <w:rFonts w:ascii="Arial" w:hAnsi="Arial"/>
                <w:sz w:val="16"/>
              </w:rPr>
              <w:t xml:space="preserve">The October 2026 file reflects 2Q26 sales (</w:t>
            </w:r>
            <w:hyperlink r:id="rId29">
              <w:r>
                <w:rPr>
                  <w:rStyle w:val="Hyperlink"/>
                  <w:sz w:val="16"/>
                </w:rPr>
                <w:t xml:space="preserve">CMS Oct 2026 payment limit file</w:t>
              </w:r>
            </w:hyperlink>
            <w:r>
              <w:rPr>
                <w:rFonts w:ascii="Arial" w:hAnsi="Arial"/>
                <w:sz w:val="16"/>
              </w:rPr>
              <w:t xml:space="preserve">). Apotex (launched June 2026) and Zydus (May 2026) are barely in it (</w:t>
            </w:r>
            <w:hyperlink r:id="rId30">
              <w:r>
                <w:rPr>
                  <w:rStyle w:val="Hyperlink"/>
                  <w:sz w:val="16"/>
                </w:rPr>
                <w:t xml:space="preserve">openFDA NDC, HSS</w:t>
              </w:r>
            </w:hyperlink>
            <w:r>
              <w:rPr>
                <w:rFonts w:ascii="Arial" w:hAnsi="Arial"/>
                <w:sz w:val="16"/>
              </w:rPr>
              <w:t xml:space="preserve">).</w:t>
            </w:r>
          </w:p>
        </w:tc>
        <w:tc>
          <w:tcPr>
            <w:tcW w:type="dxa" w:w="3364"/>
          </w:tcPr>
          <w:p>
            <w:pPr>
              <w:pStyle w:val="Compact"/>
              <w:spacing w:after="0" w:before="0" w:line="240" w:lineRule="auto"/>
              <w:jc w:val="left"/>
            </w:pPr>
            <w:r>
              <w:rPr>
                <w:rFonts w:ascii="Arial" w:hAnsi="Arial"/>
                <w:sz w:val="16"/>
              </w:rPr>
              <w:t xml:space="preserve">The first real test of HSS generic erosion comes in the January and April 2027 files.</w:t>
            </w:r>
          </w:p>
        </w:tc>
      </w:tr>
      <w:tr>
        <w:trPr>
          <w:cantSplit/>
        </w:trPr>
        <w:tc>
          <w:tcPr>
            <w:tcW w:type="dxa" w:w="3364"/>
          </w:tcPr>
          <w:p>
            <w:pPr>
              <w:pStyle w:val="Compact"/>
              <w:spacing w:after="0" w:before="0" w:line="240" w:lineRule="auto"/>
              <w:jc w:val="left"/>
            </w:pPr>
            <w:r>
              <w:rPr>
                <w:bCs/>
                <w:rFonts w:ascii="Arial" w:hAnsi="Arial"/>
                <w:b/>
                <w:sz w:val="16"/>
              </w:rPr>
              <w:t xml:space="preserve">Medicaid SDUD is a small, outpatient, pre-rebate slice</w:t>
            </w:r>
          </w:p>
        </w:tc>
        <w:tc>
          <w:tcPr>
            <w:tcW w:type="dxa" w:w="3364"/>
          </w:tcPr>
          <w:p>
            <w:pPr>
              <w:pStyle w:val="Compact"/>
              <w:spacing w:after="0" w:before="0" w:line="240" w:lineRule="auto"/>
              <w:jc w:val="left"/>
            </w:pPr>
            <w:r>
              <w:rPr>
                <w:rFonts w:ascii="Arial" w:hAnsi="Arial"/>
                <w:sz w:val="16"/>
              </w:rPr>
              <w:t xml:space="preserve">Excludes inpatient use; units are inconsistent across states (</w:t>
            </w:r>
            <w:hyperlink r:id="rId55">
              <w:r>
                <w:rPr>
                  <w:rStyle w:val="Hyperlink"/>
                  <w:sz w:val="16"/>
                </w:rPr>
                <w:t xml:space="preserve">CMS SDUD field descriptions</w:t>
              </w:r>
            </w:hyperlink>
            <w:r>
              <w:rPr>
                <w:rFonts w:ascii="Arial" w:hAnsi="Arial"/>
                <w:sz w:val="16"/>
              </w:rPr>
              <w:t xml:space="preserve">). 2024 dollars do not match: CMS Medicaid Spending by Drug shows Solu-Medrol at $22.5M (</w:t>
            </w:r>
            <w:hyperlink r:id="rId58">
              <w:r>
                <w:rPr>
                  <w:rStyle w:val="Hyperlink"/>
                  <w:sz w:val="16"/>
                </w:rPr>
                <w:t xml:space="preserve">Medicaid DY2024</w:t>
              </w:r>
            </w:hyperlink>
            <w:r>
              <w:rPr>
                <w:rFonts w:ascii="Arial" w:hAnsi="Arial"/>
                <w:sz w:val="16"/>
              </w:rPr>
              <w:t xml:space="preserve">), the re-published SDUD at $16.8M (</w:t>
            </w:r>
            <w:hyperlink r:id="rId57">
              <w:r>
                <w:rPr>
                  <w:rStyle w:val="Hyperlink"/>
                  <w:sz w:val="16"/>
                </w:rPr>
                <w:t xml:space="preserve">SDUD 2024</w:t>
              </w:r>
            </w:hyperlink>
            <w:r>
              <w:rPr>
                <w:rFonts w:ascii="Arial" w:hAnsi="Arial"/>
                <w:sz w:val="16"/>
              </w:rPr>
              <w:t xml:space="preserve">). Claim shares agree, at 78.9% brand in both.</w:t>
            </w:r>
          </w:p>
        </w:tc>
        <w:tc>
          <w:tcPr>
            <w:tcW w:type="dxa" w:w="3364"/>
          </w:tcPr>
          <w:p>
            <w:pPr>
              <w:pStyle w:val="Compact"/>
              <w:spacing w:after="0" w:before="0" w:line="240" w:lineRule="auto"/>
              <w:jc w:val="left"/>
            </w:pPr>
            <w:r>
              <w:rPr>
                <w:rFonts w:ascii="Arial" w:hAnsi="Arial"/>
                <w:sz w:val="16"/>
              </w:rPr>
              <w:t xml:space="preserve">Use Rx share and direction only.</w:t>
            </w:r>
          </w:p>
        </w:tc>
      </w:tr>
      <w:tr>
        <w:trPr>
          <w:cantSplit/>
        </w:trPr>
        <w:tc>
          <w:tcPr>
            <w:tcW w:type="dxa" w:w="3364"/>
          </w:tcPr>
          <w:p>
            <w:pPr>
              <w:pStyle w:val="Compact"/>
              <w:spacing w:after="0" w:before="0" w:line="240" w:lineRule="auto"/>
              <w:jc w:val="left"/>
            </w:pPr>
            <w:r>
              <w:rPr>
                <w:bCs/>
                <w:rFonts w:ascii="Arial" w:hAnsi="Arial"/>
                <w:b/>
                <w:sz w:val="16"/>
              </w:rPr>
              <w:t xml:space="preserve">AMP price substitution not checked</w:t>
            </w:r>
          </w:p>
        </w:tc>
        <w:tc>
          <w:tcPr>
            <w:tcW w:type="dxa" w:w="3364"/>
          </w:tcPr>
          <w:p>
            <w:pPr>
              <w:pStyle w:val="Compact"/>
              <w:spacing w:after="0" w:before="0" w:line="240" w:lineRule="auto"/>
              <w:jc w:val="left"/>
            </w:pPr>
            <w:r>
              <w:rPr>
                <w:rFonts w:ascii="Arial" w:hAnsi="Arial"/>
                <w:sz w:val="16"/>
              </w:rPr>
              <w:t xml:space="preserve">If CMS had substituted AMP-based prices in any quarter, PL ÷ 1.06 would differ from true ASP (</w:t>
            </w:r>
            <w:hyperlink r:id="rId26">
              <w:r>
                <w:rPr>
                  <w:rStyle w:val="Hyperlink"/>
                  <w:sz w:val="16"/>
                </w:rPr>
                <w:t xml:space="preserve">CMS ASP files</w:t>
              </w:r>
            </w:hyperlink>
            <w:r>
              <w:rPr>
                <w:rFonts w:ascii="Arial" w:hAnsi="Arial"/>
                <w:sz w:val="16"/>
              </w:rPr>
              <w:t xml:space="preserve">).</w:t>
            </w:r>
          </w:p>
        </w:tc>
        <w:tc>
          <w:tcPr>
            <w:tcW w:type="dxa" w:w="3364"/>
          </w:tcPr>
          <w:p>
            <w:pPr>
              <w:pStyle w:val="Compact"/>
              <w:spacing w:after="0" w:before="0" w:line="240" w:lineRule="auto"/>
              <w:jc w:val="left"/>
            </w:pPr>
            <w:r>
              <w:rPr>
                <w:rFonts w:ascii="Arial" w:hAnsi="Arial"/>
                <w:sz w:val="16"/>
              </w:rPr>
              <w:t xml:space="preserve">Low risk for these codes; worth one check.</w:t>
            </w:r>
          </w:p>
        </w:tc>
      </w:tr>
    </w:tbl>
    <w:bookmarkEnd w:id="75"/>
    <w:bookmarkEnd w:id="76"/>
    <w:bookmarkStart w:id="87" w:name="X620f5628262407cb5d60b552728ab7bf1f60327"/>
    <w:p>
      <w:pPr>
        <w:pStyle w:val="Heading2"/>
      </w:pPr>
      <w:r>
        <w:rPr>
          <w:rFonts w:ascii="Arial" w:hAnsi="Arial"/>
        </w:rPr>
        <w:t xml:space="preserve">Symbiotec has filed one DCV ANDA and licensed both products</w:t>
      </w:r>
    </w:p>
    <w:p>
      <w:pPr>
        <w:pStyle w:val="FirstParagraph"/>
        <w:keepNext/>
      </w:pPr>
      <w:r>
        <w:rPr>
          <w:rFonts w:ascii="Arial" w:hAnsi="Arial"/>
        </w:rPr>
        <w:t xml:space="preserve">Symbiotec listed on 1 September 2026 at ₹988 after a ₹1,757 cr IPO (₹150 cr fresh issue, used for debt repayment). None of the proceeds fund the DCV business (</w:t>
      </w:r>
      <w:hyperlink r:id="rId31">
        <w:r>
          <w:rPr>
            <w:rStyle w:val="Hyperlink"/>
          </w:rPr>
          <w:t xml:space="preserve">Q1FY27 presentation</w:t>
        </w:r>
      </w:hyperlink>
      <w:r>
        <w:rPr>
          <w:rFonts w:ascii="Arial" w:hAnsi="Arial"/>
        </w:rPr>
        <w:t xml:space="preserve">).</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1481"/>
        <w:gridCol w:w="4444"/>
        <w:gridCol w:w="4164"/>
      </w:tblGrid>
      <w:tr>
        <w:trPr>
          <w:tblHeader w:val="true"/>
          <w:tblHeader w:val="true"/>
          <w:cantSplit/>
        </w:trPr>
        <w:tc>
          <w:tcPr>
            <w:tcW w:type="dxa" w:w="1482"/>
            <w:shd w:val="clear" w:color="auto" w:fill="1F3864"/>
          </w:tcPr>
          <w:p>
            <w:pPr>
              <w:pStyle w:val="Compact"/>
              <w:spacing w:after="0" w:before="0" w:line="240" w:lineRule="auto"/>
              <w:jc w:val="left"/>
            </w:pPr>
            <w:r>
              <w:rPr>
                <w:rFonts w:ascii="Arial" w:hAnsi="Arial"/>
                <w:b/>
                <w:color w:val="FFFFFF"/>
                <w:sz w:val="16"/>
              </w:rPr>
              <w:t xml:space="preserve">Item</w:t>
            </w:r>
          </w:p>
        </w:tc>
        <w:tc>
          <w:tcPr>
            <w:tcW w:type="dxa" w:w="4445"/>
            <w:shd w:val="clear" w:color="auto" w:fill="1F3864"/>
          </w:tcPr>
          <w:p>
            <w:pPr>
              <w:pStyle w:val="Compact"/>
              <w:spacing w:after="0" w:before="0" w:line="240" w:lineRule="auto"/>
              <w:jc w:val="left"/>
            </w:pPr>
            <w:r>
              <w:rPr>
                <w:rFonts w:ascii="Arial" w:hAnsi="Arial"/>
                <w:b/>
                <w:color w:val="FFFFFF"/>
                <w:sz w:val="16"/>
              </w:rPr>
              <w:t xml:space="preserve">Disclosure</w:t>
            </w:r>
          </w:p>
        </w:tc>
        <w:tc>
          <w:tcPr>
            <w:tcW w:type="dxa" w:w="4165"/>
            <w:shd w:val="clear" w:color="auto" w:fill="1F3864"/>
          </w:tcPr>
          <w:p>
            <w:pPr>
              <w:pStyle w:val="Compact"/>
              <w:spacing w:after="0" w:before="0" w:line="240" w:lineRule="auto"/>
              <w:jc w:val="left"/>
            </w:pPr>
            <w:r>
              <w:rPr>
                <w:rFonts w:ascii="Arial" w:hAnsi="Arial"/>
                <w:b/>
                <w:color w:val="FFFFFF"/>
                <w:sz w:val="16"/>
              </w:rPr>
              <w:t xml:space="preserve">Source</w:t>
            </w:r>
          </w:p>
        </w:tc>
      </w:tr>
      <w:tr>
        <w:trPr>
          <w:cantSplit/>
        </w:trPr>
        <w:tc>
          <w:tcPr>
            <w:tcW w:type="dxa" w:w="1482"/>
          </w:tcPr>
          <w:p>
            <w:pPr>
              <w:pStyle w:val="Compact"/>
              <w:spacing w:after="0" w:before="0" w:line="240" w:lineRule="auto"/>
              <w:jc w:val="left"/>
            </w:pPr>
            <w:r>
              <w:rPr>
                <w:rFonts w:ascii="Arial" w:hAnsi="Arial"/>
                <w:sz w:val="16"/>
              </w:rPr>
              <w:t xml:space="preserve">Entity and plant</w:t>
            </w:r>
          </w:p>
        </w:tc>
        <w:tc>
          <w:tcPr>
            <w:tcW w:type="dxa" w:w="4445"/>
          </w:tcPr>
          <w:p>
            <w:pPr>
              <w:pStyle w:val="Compact"/>
              <w:spacing w:after="0" w:before="0" w:line="240" w:lineRule="auto"/>
              <w:jc w:val="left"/>
            </w:pPr>
            <w:r>
              <w:rPr>
                <w:rFonts w:ascii="Arial" w:hAnsi="Arial"/>
                <w:sz w:val="16"/>
              </w:rPr>
              <w:t xml:space="preserve">Wholly owned Knovea Pharmaceutical (incorporated Feb 2020) runs the Mhow (Indore) complex-injectables plant: commissioned 2025, 23,470 sq m,</w:t>
            </w:r>
            <w:r>
              <w:rPr>
                <w:rFonts w:ascii="Arial" w:hAnsi="Arial"/>
                <w:sz w:val="16"/>
              </w:rPr>
              <w:t xml:space="preserve"> </w:t>
            </w:r>
            <w:r>
              <w:rPr>
                <w:bCs/>
                <w:rFonts w:ascii="Arial" w:hAnsi="Arial"/>
                <w:b/>
                <w:sz w:val="16"/>
              </w:rPr>
              <w:t xml:space="preserve">20 mn DCVs a year</w:t>
            </w:r>
            <w:r>
              <w:rPr>
                <w:rFonts w:ascii="Arial" w:hAnsi="Arial"/>
                <w:sz w:val="16"/>
              </w:rPr>
              <w:t xml:space="preserve">, ₹3,919 mn invested to Mar 2026. Status at RHP: "R&amp;D and pilot-scale operations"; approvals "applied for".</w:t>
            </w:r>
            <w:r>
              <w:rPr>
                <w:rFonts w:ascii="Arial" w:hAnsi="Arial"/>
                <w:sz w:val="16"/>
              </w:rPr>
              <w:t xml:space="preserve"> </w:t>
            </w:r>
            <w:r>
              <w:rPr>
                <w:bCs/>
                <w:rFonts w:ascii="Arial" w:hAnsi="Arial"/>
                <w:b/>
                <w:sz w:val="16"/>
              </w:rPr>
              <w:t xml:space="preserve">No US FDA inspection of Mhow disclosed.</w:t>
            </w:r>
          </w:p>
        </w:tc>
        <w:tc>
          <w:tcPr>
            <w:tcW w:type="dxa" w:w="4165"/>
          </w:tcPr>
          <w:p>
            <w:pPr>
              <w:pStyle w:val="Compact"/>
              <w:spacing w:after="0" w:before="0" w:line="240" w:lineRule="auto"/>
              <w:jc w:val="left"/>
            </w:pPr>
            <w:hyperlink r:id="rId33">
              <w:r>
                <w:rPr>
                  <w:rStyle w:val="Hyperlink"/>
                  <w:sz w:val="16"/>
                </w:rPr>
                <w:t xml:space="preserve">RHP</w:t>
              </w:r>
            </w:hyperlink>
            <w:r>
              <w:rPr>
                <w:rFonts w:ascii="Arial" w:hAnsi="Arial"/>
                <w:sz w:val="16"/>
              </w:rPr>
              <w:t xml:space="preserve"> </w:t>
            </w:r>
            <w:r>
              <w:rPr>
                <w:rFonts w:ascii="Arial" w:hAnsi="Arial"/>
                <w:sz w:val="16"/>
              </w:rPr>
              <w:t xml:space="preserve">pp.30, 44, 241</w:t>
            </w:r>
          </w:p>
        </w:tc>
      </w:tr>
      <w:tr>
        <w:trPr>
          <w:cantSplit/>
        </w:trPr>
        <w:tc>
          <w:tcPr>
            <w:tcW w:type="dxa" w:w="1482"/>
          </w:tcPr>
          <w:p>
            <w:pPr>
              <w:pStyle w:val="Compact"/>
              <w:spacing w:after="0" w:before="0" w:line="240" w:lineRule="auto"/>
              <w:jc w:val="left"/>
            </w:pPr>
            <w:r>
              <w:rPr>
                <w:rFonts w:ascii="Arial" w:hAnsi="Arial"/>
                <w:sz w:val="16"/>
              </w:rPr>
              <w:t xml:space="preserve">Products</w:t>
            </w:r>
          </w:p>
        </w:tc>
        <w:tc>
          <w:tcPr>
            <w:tcW w:type="dxa" w:w="4445"/>
          </w:tcPr>
          <w:p>
            <w:pPr>
              <w:pStyle w:val="Compact"/>
              <w:spacing w:after="0" w:before="0" w:line="240" w:lineRule="auto"/>
              <w:jc w:val="left"/>
            </w:pPr>
            <w:r>
              <w:rPr>
                <w:rFonts w:ascii="Arial" w:hAnsi="Arial"/>
                <w:sz w:val="16"/>
              </w:rPr>
              <w:t xml:space="preserve">First two DCVs are</w:t>
            </w:r>
            <w:r>
              <w:rPr>
                <w:rFonts w:ascii="Arial" w:hAnsi="Arial"/>
                <w:sz w:val="16"/>
              </w:rPr>
              <w:t xml:space="preserve"> </w:t>
            </w:r>
            <w:r>
              <w:rPr>
                <w:bCs/>
                <w:rFonts w:ascii="Arial" w:hAnsi="Arial"/>
                <w:b/>
                <w:sz w:val="16"/>
              </w:rPr>
              <w:t xml:space="preserve">MPSS and HSS</w:t>
            </w:r>
            <w:r>
              <w:rPr>
                <w:rFonts w:ascii="Arial" w:hAnsi="Arial"/>
                <w:sz w:val="16"/>
              </w:rPr>
              <w:t xml:space="preserve">. RHP: "one of the first generics companies globally to successfully develop DCV through backward integration". Five further DCVs under 505(b)(2) are unnamed (US$890 mn global TAM). No dexamethasone or triamcinolone DCV is disclosed.</w:t>
            </w:r>
          </w:p>
        </w:tc>
        <w:tc>
          <w:tcPr>
            <w:tcW w:type="dxa" w:w="4165"/>
          </w:tcPr>
          <w:p>
            <w:pPr>
              <w:pStyle w:val="Compact"/>
              <w:spacing w:after="0" w:before="0" w:line="240" w:lineRule="auto"/>
              <w:jc w:val="left"/>
            </w:pPr>
            <w:hyperlink r:id="rId33">
              <w:r>
                <w:rPr>
                  <w:rStyle w:val="Hyperlink"/>
                  <w:sz w:val="16"/>
                </w:rPr>
                <w:t xml:space="preserve">RHP</w:t>
              </w:r>
            </w:hyperlink>
            <w:r>
              <w:rPr>
                <w:rFonts w:ascii="Arial" w:hAnsi="Arial"/>
                <w:sz w:val="16"/>
              </w:rPr>
              <w:t xml:space="preserve"> </w:t>
            </w:r>
            <w:r>
              <w:rPr>
                <w:rFonts w:ascii="Arial" w:hAnsi="Arial"/>
                <w:sz w:val="16"/>
              </w:rPr>
              <w:t xml:space="preserve">pp.148, 182, 236</w:t>
            </w:r>
          </w:p>
        </w:tc>
      </w:tr>
      <w:tr>
        <w:trPr>
          <w:cantSplit/>
        </w:trPr>
        <w:tc>
          <w:tcPr>
            <w:tcW w:type="dxa" w:w="1482"/>
          </w:tcPr>
          <w:p>
            <w:pPr>
              <w:pStyle w:val="Compact"/>
              <w:spacing w:after="0" w:before="0" w:line="240" w:lineRule="auto"/>
              <w:jc w:val="left"/>
            </w:pPr>
            <w:r>
              <w:rPr>
                <w:rFonts w:ascii="Arial" w:hAnsi="Arial"/>
                <w:sz w:val="16"/>
              </w:rPr>
              <w:t xml:space="preserve">Filings</w:t>
            </w:r>
          </w:p>
        </w:tc>
        <w:tc>
          <w:tcPr>
            <w:tcW w:type="dxa" w:w="4445"/>
          </w:tcPr>
          <w:p>
            <w:pPr>
              <w:pStyle w:val="Compact"/>
              <w:spacing w:after="0" w:before="0" w:line="240" w:lineRule="auto"/>
              <w:jc w:val="left"/>
            </w:pPr>
            <w:r>
              <w:rPr>
                <w:rFonts w:ascii="Arial" w:hAnsi="Arial"/>
                <w:sz w:val="16"/>
              </w:rPr>
              <w:t xml:space="preserve">"Successfully filed first molecule ANDA for DCV in September 2026 – First generic filing for the DCV product in US market"; "Filing of second ANDA scheduled for Q4 FY27". Molecule, strengths and pack sizes are not named.</w:t>
            </w:r>
          </w:p>
        </w:tc>
        <w:tc>
          <w:tcPr>
            <w:tcW w:type="dxa" w:w="4165"/>
          </w:tcPr>
          <w:p>
            <w:pPr>
              <w:pStyle w:val="Compact"/>
              <w:spacing w:after="0" w:before="0" w:line="240" w:lineRule="auto"/>
              <w:jc w:val="left"/>
            </w:pPr>
            <w:hyperlink r:id="rId31">
              <w:r>
                <w:rPr>
                  <w:rStyle w:val="Hyperlink"/>
                  <w:sz w:val="16"/>
                </w:rPr>
                <w:t xml:space="preserve">Q1FY27 presentation</w:t>
              </w:r>
            </w:hyperlink>
            <w:r>
              <w:rPr>
                <w:rFonts w:ascii="Arial" w:hAnsi="Arial"/>
                <w:sz w:val="16"/>
              </w:rPr>
              <w:t xml:space="preserve">, slide 5</w:t>
            </w:r>
          </w:p>
        </w:tc>
      </w:tr>
      <w:tr>
        <w:trPr>
          <w:cantSplit/>
        </w:trPr>
        <w:tc>
          <w:tcPr>
            <w:tcW w:type="dxa" w:w="1482"/>
          </w:tcPr>
          <w:p>
            <w:pPr>
              <w:pStyle w:val="Compact"/>
              <w:spacing w:after="0" w:before="0" w:line="240" w:lineRule="auto"/>
              <w:jc w:val="left"/>
            </w:pPr>
            <w:r>
              <w:rPr>
                <w:rFonts w:ascii="Arial" w:hAnsi="Arial"/>
                <w:sz w:val="16"/>
              </w:rPr>
              <w:t xml:space="preserve">Partner</w:t>
            </w:r>
          </w:p>
        </w:tc>
        <w:tc>
          <w:tcPr>
            <w:tcW w:type="dxa" w:w="4445"/>
          </w:tcPr>
          <w:p>
            <w:pPr>
              <w:pStyle w:val="Compact"/>
              <w:spacing w:after="0" w:before="0" w:line="240" w:lineRule="auto"/>
              <w:jc w:val="left"/>
            </w:pPr>
            <w:r>
              <w:rPr>
                <w:rFonts w:ascii="Arial" w:hAnsi="Arial"/>
                <w:sz w:val="16"/>
              </w:rPr>
              <w:t xml:space="preserve">Definitive agreement of 30 Sep 2026 with an unnamed "leading global pharmaceutical company", giving it exclusive US rights to</w:t>
            </w:r>
            <w:r>
              <w:rPr>
                <w:rFonts w:ascii="Arial" w:hAnsi="Arial"/>
                <w:sz w:val="16"/>
              </w:rPr>
              <w:t xml:space="preserve"> </w:t>
            </w:r>
            <w:r>
              <w:rPr>
                <w:bCs/>
                <w:rFonts w:ascii="Arial" w:hAnsi="Arial"/>
                <w:b/>
                <w:sz w:val="16"/>
              </w:rPr>
              <w:t xml:space="preserve">two</w:t>
            </w:r>
            <w:r>
              <w:rPr>
                <w:rFonts w:ascii="Arial" w:hAnsi="Arial"/>
                <w:sz w:val="16"/>
              </w:rPr>
              <w:t xml:space="preserve"> </w:t>
            </w:r>
            <w:r>
              <w:rPr>
                <w:rFonts w:ascii="Arial" w:hAnsi="Arial"/>
                <w:sz w:val="16"/>
              </w:rPr>
              <w:t xml:space="preserve">DCV products. Knovea handles development, filings, manufacturing and supply. Economics are milestones plus profit share from launch, on a "long-term" agreement. "The innovator is currently the only company with a DCV presentation in this market." "Majority of capacity reserved with strategic partner."</w:t>
            </w:r>
          </w:p>
        </w:tc>
        <w:tc>
          <w:tcPr>
            <w:tcW w:type="dxa" w:w="4165"/>
          </w:tcPr>
          <w:p>
            <w:pPr>
              <w:pStyle w:val="Compact"/>
              <w:spacing w:after="0" w:before="0" w:line="240" w:lineRule="auto"/>
              <w:jc w:val="left"/>
            </w:pPr>
            <w:hyperlink r:id="rId32">
              <w:r>
                <w:rPr>
                  <w:rStyle w:val="Hyperlink"/>
                  <w:sz w:val="16"/>
                </w:rPr>
                <w:t xml:space="preserve">BSE Reg. 30 filing</w:t>
              </w:r>
            </w:hyperlink>
            <w:r>
              <w:rPr>
                <w:rFonts w:ascii="Arial" w:hAnsi="Arial"/>
                <w:sz w:val="16"/>
              </w:rPr>
              <w:t xml:space="preserve">;</w:t>
            </w:r>
            <w:r>
              <w:rPr>
                <w:rFonts w:ascii="Arial" w:hAnsi="Arial"/>
                <w:sz w:val="16"/>
              </w:rPr>
              <w:t xml:space="preserve"> </w:t>
            </w:r>
            <w:hyperlink r:id="rId31">
              <w:r>
                <w:rPr>
                  <w:rStyle w:val="Hyperlink"/>
                  <w:sz w:val="16"/>
                </w:rPr>
                <w:t xml:space="preserve">Q1FY27 presentation</w:t>
              </w:r>
            </w:hyperlink>
            <w:r>
              <w:rPr>
                <w:rFonts w:ascii="Arial" w:hAnsi="Arial"/>
                <w:sz w:val="16"/>
              </w:rPr>
              <w:t xml:space="preserve">, slide 7</w:t>
            </w:r>
          </w:p>
        </w:tc>
      </w:tr>
      <w:tr>
        <w:trPr>
          <w:cantSplit/>
        </w:trPr>
        <w:tc>
          <w:tcPr>
            <w:tcW w:type="dxa" w:w="1482"/>
          </w:tcPr>
          <w:p>
            <w:pPr>
              <w:pStyle w:val="Compact"/>
              <w:spacing w:after="0" w:before="0" w:line="240" w:lineRule="auto"/>
              <w:jc w:val="left"/>
            </w:pPr>
            <w:r>
              <w:rPr>
                <w:rFonts w:ascii="Arial" w:hAnsi="Arial"/>
                <w:sz w:val="16"/>
              </w:rPr>
              <w:t xml:space="preserve">Market sizing</w:t>
            </w:r>
          </w:p>
        </w:tc>
        <w:tc>
          <w:tcPr>
            <w:tcW w:type="dxa" w:w="4445"/>
          </w:tcPr>
          <w:p>
            <w:pPr>
              <w:pStyle w:val="Compact"/>
              <w:spacing w:after="0" w:before="0" w:line="240" w:lineRule="auto"/>
              <w:jc w:val="left"/>
            </w:pPr>
            <w:r>
              <w:rPr>
                <w:bCs/>
                <w:rFonts w:ascii="Arial" w:hAnsi="Arial"/>
                <w:b/>
                <w:sz w:val="16"/>
              </w:rPr>
              <w:t xml:space="preserve">US$288 mn</w:t>
            </w:r>
            <w:r>
              <w:rPr>
                <w:rFonts w:ascii="Arial" w:hAnsi="Arial"/>
                <w:sz w:val="16"/>
              </w:rPr>
              <w:t xml:space="preserve"> </w:t>
            </w:r>
            <w:r>
              <w:rPr>
                <w:rFonts w:ascii="Arial" w:hAnsi="Arial"/>
                <w:sz w:val="16"/>
              </w:rPr>
              <w:t xml:space="preserve">for the two products combined (Frost &amp; Sullivan, citing Evaluate Pharma). Global DCV market US$1,811 mn in 2025 (9.5% CAGR to 2030). Innovators hold 65–70% of the DCV market. DCVs command a "20–50% price premium", a figure drawn mainly from biologics and specialty therapies.</w:t>
            </w:r>
          </w:p>
        </w:tc>
        <w:tc>
          <w:tcPr>
            <w:tcW w:type="dxa" w:w="4165"/>
          </w:tcPr>
          <w:p>
            <w:pPr>
              <w:pStyle w:val="Compact"/>
              <w:spacing w:after="0" w:before="0" w:line="240" w:lineRule="auto"/>
              <w:jc w:val="left"/>
            </w:pPr>
            <w:hyperlink r:id="rId33">
              <w:r>
                <w:rPr>
                  <w:rStyle w:val="Hyperlink"/>
                  <w:sz w:val="16"/>
                </w:rPr>
                <w:t xml:space="preserve">RHP</w:t>
              </w:r>
            </w:hyperlink>
            <w:r>
              <w:rPr>
                <w:rFonts w:ascii="Arial" w:hAnsi="Arial"/>
                <w:sz w:val="16"/>
              </w:rPr>
              <w:t xml:space="preserve"> </w:t>
            </w:r>
            <w:r>
              <w:rPr>
                <w:rFonts w:ascii="Arial" w:hAnsi="Arial"/>
                <w:sz w:val="16"/>
              </w:rPr>
              <w:t xml:space="preserve">pp.180–182</w:t>
            </w:r>
          </w:p>
        </w:tc>
      </w:tr>
      <w:tr>
        <w:trPr>
          <w:cantSplit/>
        </w:trPr>
        <w:tc>
          <w:tcPr>
            <w:tcW w:type="dxa" w:w="1482"/>
          </w:tcPr>
          <w:p>
            <w:pPr>
              <w:pStyle w:val="Compact"/>
              <w:spacing w:after="0" w:before="0" w:line="240" w:lineRule="auto"/>
              <w:jc w:val="left"/>
            </w:pPr>
            <w:r>
              <w:rPr>
                <w:rFonts w:ascii="Arial" w:hAnsi="Arial"/>
                <w:sz w:val="16"/>
              </w:rPr>
              <w:t xml:space="preserve">Revenue to date</w:t>
            </w:r>
          </w:p>
        </w:tc>
        <w:tc>
          <w:tcPr>
            <w:tcW w:type="dxa" w:w="4445"/>
          </w:tcPr>
          <w:p>
            <w:pPr>
              <w:pStyle w:val="Compact"/>
              <w:spacing w:after="0" w:before="0" w:line="240" w:lineRule="auto"/>
              <w:jc w:val="left"/>
            </w:pPr>
            <w:r>
              <w:rPr>
                <w:rFonts w:ascii="Arial" w:hAnsi="Arial"/>
                <w:sz w:val="16"/>
              </w:rPr>
              <w:t xml:space="preserve">FY26 "complex injectables" of ₹330.5 mn is</w:t>
            </w:r>
            <w:r>
              <w:rPr>
                <w:rFonts w:ascii="Arial" w:hAnsi="Arial"/>
                <w:sz w:val="16"/>
              </w:rPr>
              <w:t xml:space="preserve"> </w:t>
            </w:r>
            <w:r>
              <w:rPr>
                <w:bCs/>
                <w:rFonts w:ascii="Arial" w:hAnsi="Arial"/>
                <w:b/>
                <w:sz w:val="16"/>
              </w:rPr>
              <w:t xml:space="preserve">recognised milestone income</w:t>
            </w:r>
            <w:r>
              <w:rPr>
                <w:rFonts w:ascii="Arial" w:hAnsi="Arial"/>
                <w:sz w:val="16"/>
              </w:rPr>
              <w:t xml:space="preserve"> </w:t>
            </w:r>
            <w:r>
              <w:rPr>
                <w:rFonts w:ascii="Arial" w:hAnsi="Arial"/>
                <w:sz w:val="16"/>
              </w:rPr>
              <w:t xml:space="preserve">(from ₹366 mn received in FY24), not product sales. Q1FY27 new-business costs: opex ₹23.2 cr and D&amp;A ₹11.6 cr. DCV capex: ₹356 cr at Jun 2026, rising to ₹376 cr by end-FY27.</w:t>
            </w:r>
          </w:p>
        </w:tc>
        <w:tc>
          <w:tcPr>
            <w:tcW w:type="dxa" w:w="4165"/>
          </w:tcPr>
          <w:p>
            <w:pPr>
              <w:pStyle w:val="Compact"/>
              <w:spacing w:after="0" w:before="0" w:line="240" w:lineRule="auto"/>
              <w:jc w:val="left"/>
            </w:pPr>
            <w:hyperlink r:id="rId33">
              <w:r>
                <w:rPr>
                  <w:rStyle w:val="Hyperlink"/>
                  <w:sz w:val="16"/>
                </w:rPr>
                <w:t xml:space="preserve">RHP</w:t>
              </w:r>
            </w:hyperlink>
            <w:r>
              <w:rPr>
                <w:rFonts w:ascii="Arial" w:hAnsi="Arial"/>
                <w:sz w:val="16"/>
              </w:rPr>
              <w:t xml:space="preserve"> </w:t>
            </w:r>
            <w:r>
              <w:rPr>
                <w:rFonts w:ascii="Arial" w:hAnsi="Arial"/>
                <w:sz w:val="16"/>
              </w:rPr>
              <w:t xml:space="preserve">pp.152, 331, 390;</w:t>
            </w:r>
            <w:r>
              <w:rPr>
                <w:rFonts w:ascii="Arial" w:hAnsi="Arial"/>
                <w:sz w:val="16"/>
              </w:rPr>
              <w:t xml:space="preserve"> </w:t>
            </w:r>
            <w:hyperlink r:id="rId31">
              <w:r>
                <w:rPr>
                  <w:rStyle w:val="Hyperlink"/>
                  <w:sz w:val="16"/>
                </w:rPr>
                <w:t xml:space="preserve">Q1FY27 presentation</w:t>
              </w:r>
            </w:hyperlink>
          </w:p>
        </w:tc>
      </w:tr>
      <w:tr>
        <w:trPr>
          <w:cantSplit/>
        </w:trPr>
        <w:tc>
          <w:tcPr>
            <w:tcW w:type="dxa" w:w="1482"/>
          </w:tcPr>
          <w:p>
            <w:pPr>
              <w:pStyle w:val="Compact"/>
              <w:spacing w:after="0" w:before="0" w:line="240" w:lineRule="auto"/>
              <w:jc w:val="left"/>
            </w:pPr>
            <w:r>
              <w:rPr>
                <w:rFonts w:ascii="Arial" w:hAnsi="Arial"/>
                <w:sz w:val="16"/>
              </w:rPr>
              <w:t xml:space="preserve">API base</w:t>
            </w:r>
          </w:p>
        </w:tc>
        <w:tc>
          <w:tcPr>
            <w:tcW w:type="dxa" w:w="4445"/>
          </w:tcPr>
          <w:p>
            <w:pPr>
              <w:pStyle w:val="Compact"/>
              <w:spacing w:after="0" w:before="0" w:line="240" w:lineRule="auto"/>
              <w:jc w:val="left"/>
            </w:pPr>
            <w:r>
              <w:rPr>
                <w:rFonts w:ascii="Arial" w:hAnsi="Arial"/>
                <w:sz w:val="16"/>
              </w:rPr>
              <w:t xml:space="preserve">Active DMFs: 22904 (methylprednisolone hemisuccinate, 2009), 29221 (hydrocortisone hemisuccinate, 2015), 24611 (MPA). Bulk NDC listings for HSS (22552-0007) and MP hemisuccinate (22552-0024). F&amp;S puts Symbiotec's global volume share at 80.1% in hydrocortisone and 76.0% in methylprednisolone (FY26). No API customer is named, and nothing says Pfizer buys from Symbiotec.</w:t>
            </w:r>
          </w:p>
        </w:tc>
        <w:tc>
          <w:tcPr>
            <w:tcW w:type="dxa" w:w="4165"/>
          </w:tcPr>
          <w:p>
            <w:pPr>
              <w:pStyle w:val="Compact"/>
              <w:spacing w:after="0" w:before="0" w:line="240" w:lineRule="auto"/>
              <w:jc w:val="left"/>
            </w:pPr>
            <w:hyperlink r:id="rId49">
              <w:r>
                <w:rPr>
                  <w:rStyle w:val="Hyperlink"/>
                  <w:sz w:val="16"/>
                </w:rPr>
                <w:t xml:space="preserve">FDA DMF list</w:t>
              </w:r>
            </w:hyperlink>
            <w:r>
              <w:rPr>
                <w:rFonts w:ascii="Arial" w:hAnsi="Arial"/>
                <w:sz w:val="16"/>
              </w:rPr>
              <w:t xml:space="preserve">;</w:t>
            </w:r>
            <w:r>
              <w:rPr>
                <w:rFonts w:ascii="Arial" w:hAnsi="Arial"/>
                <w:sz w:val="16"/>
              </w:rPr>
              <w:t xml:space="preserve"> </w:t>
            </w:r>
            <w:hyperlink r:id="rId30">
              <w:r>
                <w:rPr>
                  <w:rStyle w:val="Hyperlink"/>
                  <w:sz w:val="16"/>
                </w:rPr>
                <w:t xml:space="preserve">openFDA NDC</w:t>
              </w:r>
            </w:hyperlink>
            <w:r>
              <w:rPr>
                <w:rFonts w:ascii="Arial" w:hAnsi="Arial"/>
                <w:sz w:val="16"/>
              </w:rPr>
              <w:t xml:space="preserve">;</w:t>
            </w:r>
            <w:r>
              <w:rPr>
                <w:rFonts w:ascii="Arial" w:hAnsi="Arial"/>
                <w:sz w:val="16"/>
              </w:rPr>
              <w:t xml:space="preserve"> </w:t>
            </w:r>
            <w:hyperlink r:id="rId33">
              <w:r>
                <w:rPr>
                  <w:rStyle w:val="Hyperlink"/>
                  <w:sz w:val="16"/>
                </w:rPr>
                <w:t xml:space="preserve">RHP</w:t>
              </w:r>
            </w:hyperlink>
            <w:r>
              <w:rPr>
                <w:rFonts w:ascii="Arial" w:hAnsi="Arial"/>
                <w:sz w:val="16"/>
              </w:rPr>
              <w:t xml:space="preserve"> </w:t>
            </w:r>
            <w:r>
              <w:rPr>
                <w:rFonts w:ascii="Arial" w:hAnsi="Arial"/>
                <w:sz w:val="16"/>
              </w:rPr>
              <w:t xml:space="preserve">p.53</w:t>
            </w:r>
          </w:p>
        </w:tc>
      </w:tr>
      <w:tr>
        <w:trPr>
          <w:cantSplit/>
        </w:trPr>
        <w:tc>
          <w:tcPr>
            <w:tcW w:type="dxa" w:w="1482"/>
          </w:tcPr>
          <w:p>
            <w:pPr>
              <w:pStyle w:val="Compact"/>
              <w:spacing w:after="0" w:before="0" w:line="240" w:lineRule="auto"/>
              <w:jc w:val="left"/>
            </w:pPr>
            <w:r>
              <w:rPr>
                <w:rFonts w:ascii="Arial" w:hAnsi="Arial"/>
                <w:sz w:val="16"/>
              </w:rPr>
              <w:t xml:space="preserve">Sites</w:t>
            </w:r>
          </w:p>
        </w:tc>
        <w:tc>
          <w:tcPr>
            <w:tcW w:type="dxa" w:w="4445"/>
          </w:tcPr>
          <w:p>
            <w:pPr>
              <w:pStyle w:val="Compact"/>
              <w:spacing w:after="0" w:before="0" w:line="240" w:lineRule="auto"/>
              <w:jc w:val="left"/>
            </w:pPr>
            <w:r>
              <w:rPr>
                <w:rFonts w:ascii="Arial" w:hAnsi="Arial"/>
                <w:sz w:val="16"/>
              </w:rPr>
              <w:t xml:space="preserve">Pithampur API plant received an EIR with VAI status on 29 Sep 2026 (four observations). Rau received an EIR after its Mar–Apr 2026 audit.</w:t>
            </w:r>
          </w:p>
        </w:tc>
        <w:tc>
          <w:tcPr>
            <w:tcW w:type="dxa" w:w="4165"/>
          </w:tcPr>
          <w:p>
            <w:pPr>
              <w:pStyle w:val="Compact"/>
              <w:spacing w:after="0" w:before="0" w:line="240" w:lineRule="auto"/>
              <w:jc w:val="left"/>
            </w:pPr>
            <w:hyperlink r:id="rId77">
              <w:r>
                <w:rPr>
                  <w:rStyle w:val="Hyperlink"/>
                  <w:sz w:val="16"/>
                </w:rPr>
                <w:t xml:space="preserve">Sahi</w:t>
              </w:r>
            </w:hyperlink>
            <w:r>
              <w:rPr>
                <w:rFonts w:ascii="Arial" w:hAnsi="Arial"/>
                <w:sz w:val="16"/>
              </w:rPr>
              <w:t xml:space="preserve">;</w:t>
            </w:r>
            <w:r>
              <w:rPr>
                <w:rFonts w:ascii="Arial" w:hAnsi="Arial"/>
                <w:sz w:val="16"/>
              </w:rPr>
              <w:t xml:space="preserve"> </w:t>
            </w:r>
            <w:hyperlink r:id="rId31">
              <w:r>
                <w:rPr>
                  <w:rStyle w:val="Hyperlink"/>
                  <w:sz w:val="16"/>
                </w:rPr>
                <w:t xml:space="preserve">Q1FY27 presentation</w:t>
              </w:r>
            </w:hyperlink>
          </w:p>
        </w:tc>
      </w:tr>
      <w:tr>
        <w:trPr>
          <w:cantSplit/>
        </w:trPr>
        <w:tc>
          <w:tcPr>
            <w:tcW w:type="dxa" w:w="1482"/>
          </w:tcPr>
          <w:p>
            <w:pPr>
              <w:pStyle w:val="Compact"/>
              <w:spacing w:after="0" w:before="0" w:line="240" w:lineRule="auto"/>
              <w:jc w:val="left"/>
            </w:pPr>
            <w:r>
              <w:rPr>
                <w:rFonts w:ascii="Arial" w:hAnsi="Arial"/>
                <w:sz w:val="16"/>
              </w:rPr>
              <w:t xml:space="preserve">Broker view</w:t>
            </w:r>
          </w:p>
        </w:tc>
        <w:tc>
          <w:tcPr>
            <w:tcW w:type="dxa" w:w="4445"/>
          </w:tcPr>
          <w:p>
            <w:pPr>
              <w:pStyle w:val="Compact"/>
              <w:spacing w:after="0" w:before="0" w:line="240" w:lineRule="auto"/>
              <w:jc w:val="left"/>
            </w:pPr>
            <w:r>
              <w:rPr>
                <w:rFonts w:ascii="Arial" w:hAnsi="Arial"/>
                <w:sz w:val="16"/>
              </w:rPr>
              <w:t xml:space="preserve">ICICI Direct BUY, target ₹1,540. Complex injectables ₹100 cr FY27E (milestones), ₹176.5 cr FY28E, ₹207.7 cr FY29E, at 35–40% DCV EBITDA margin. Market "~US$300 million, 90% … with innovator Pfizer while only 10% is spread across more than 5 generic players."</w:t>
            </w:r>
          </w:p>
        </w:tc>
        <w:tc>
          <w:tcPr>
            <w:tcW w:type="dxa" w:w="4165"/>
          </w:tcPr>
          <w:p>
            <w:pPr>
              <w:pStyle w:val="Compact"/>
              <w:spacing w:after="0" w:before="0" w:line="240" w:lineRule="auto"/>
              <w:jc w:val="left"/>
            </w:pPr>
            <w:hyperlink r:id="rId78">
              <w:r>
                <w:rPr>
                  <w:rStyle w:val="Hyperlink"/>
                  <w:sz w:val="16"/>
                </w:rPr>
                <w:t xml:space="preserve">ICICI Direct, 1 Oct 2026</w:t>
              </w:r>
            </w:hyperlink>
          </w:p>
        </w:tc>
      </w:tr>
    </w:tbl>
    <w:bookmarkStart w:id="86" w:name="reading-the-market-size-figures"/>
    <w:p>
      <w:pPr>
        <w:pStyle w:val="Heading3"/>
      </w:pPr>
      <w:r>
        <w:rPr>
          <w:rFonts w:ascii="Arial" w:hAnsi="Arial"/>
        </w:rPr>
        <w:t xml:space="preserve">Reading the market-size figures</w:t>
      </w:r>
    </w:p>
    <w:p>
      <w:pPr>
        <w:pStyle w:val="FirstParagraph"/>
      </w:pPr>
      <w:r>
        <w:rPr>
          <w:rFonts w:ascii="Arial" w:hAnsi="Arial"/>
        </w:rPr>
        <w:t xml:space="preserve">The</w:t>
      </w:r>
      <w:r>
        <w:rPr>
          <w:rFonts w:ascii="Arial" w:hAnsi="Arial"/>
        </w:rPr>
        <w:t xml:space="preserve"> </w:t>
      </w:r>
      <w:r>
        <w:rPr>
          <w:bCs/>
          <w:rFonts w:ascii="Arial" w:hAnsi="Arial"/>
          <w:b/>
        </w:rPr>
        <w:t xml:space="preserve">US$288 mn and ~US$300 mn figures are combined MPSS + HSS</w:t>
      </w:r>
      <w:r>
        <w:rPr>
          <w:rFonts w:ascii="Arial" w:hAnsi="Arial"/>
        </w:rPr>
        <w:t xml:space="preserve"> </w:t>
      </w:r>
      <w:r>
        <w:rPr>
          <w:rFonts w:ascii="Arial" w:hAnsi="Arial"/>
        </w:rPr>
        <w:t xml:space="preserve">and are not split by molecule or between DCV and plain-vial presentations. The only molecule-specific dollar figures are for MPSS:</w:t>
      </w:r>
      <w:r>
        <w:rPr>
          <w:rFonts w:ascii="Arial" w:hAnsi="Arial"/>
        </w:rPr>
        <w:t xml:space="preserve"> </w:t>
      </w:r>
      <w:r>
        <w:rPr>
          <w:bCs/>
          <w:rFonts w:ascii="Arial" w:hAnsi="Arial"/>
          <w:b/>
        </w:rPr>
        <w:t xml:space="preserve">US$102 mn</w:t>
      </w:r>
      <w:r>
        <w:rPr>
          <w:rFonts w:ascii="Arial" w:hAnsi="Arial"/>
        </w:rPr>
        <w:t xml:space="preserve"> </w:t>
      </w:r>
      <w:r>
        <w:rPr>
          <w:rFonts w:ascii="Arial" w:hAnsi="Arial"/>
        </w:rPr>
        <w:t xml:space="preserve">(IMS, 12 months to October 2015, Aurobindo's strengths),</w:t>
      </w:r>
      <w:r>
        <w:rPr>
          <w:rFonts w:ascii="Arial" w:hAnsi="Arial"/>
        </w:rPr>
        <w:t xml:space="preserve"> </w:t>
      </w:r>
      <w:r>
        <w:rPr>
          <w:bCs/>
          <w:rFonts w:ascii="Arial" w:hAnsi="Arial"/>
          <w:b/>
        </w:rPr>
        <w:t xml:space="preserve">US$123.5 mn</w:t>
      </w:r>
      <w:r>
        <w:rPr>
          <w:rFonts w:ascii="Arial" w:hAnsi="Arial"/>
        </w:rPr>
        <w:t xml:space="preserve"> </w:t>
      </w:r>
      <w:r>
        <w:rPr>
          <w:rFonts w:ascii="Arial" w:hAnsi="Arial"/>
        </w:rPr>
        <w:t xml:space="preserve">(IMS, 12 months to January 2016) and</w:t>
      </w:r>
      <w:r>
        <w:rPr>
          <w:rFonts w:ascii="Arial" w:hAnsi="Arial"/>
        </w:rPr>
        <w:t xml:space="preserve"> </w:t>
      </w:r>
      <w:r>
        <w:rPr>
          <w:bCs/>
          <w:rFonts w:ascii="Arial" w:hAnsi="Arial"/>
          <w:b/>
        </w:rPr>
        <w:t xml:space="preserve">US$144 mn brand plus generic</w:t>
      </w:r>
      <w:r>
        <w:rPr>
          <w:rFonts w:ascii="Arial" w:hAnsi="Arial"/>
        </w:rPr>
        <w:t xml:space="preserve"> </w:t>
      </w:r>
      <w:r>
        <w:rPr>
          <w:rFonts w:ascii="Arial" w:hAnsi="Arial"/>
        </w:rPr>
        <w:t xml:space="preserve">(IQVIA retail and non-retail MAT, February 2022) (</w:t>
      </w:r>
      <w:hyperlink r:id="rId79">
        <w:r>
          <w:rPr>
            <w:rStyle w:val="Hyperlink"/>
          </w:rPr>
          <w:t xml:space="preserve">BioSpectrum</w:t>
        </w:r>
      </w:hyperlink>
      <w:r>
        <w:rPr>
          <w:rFonts w:ascii="Arial" w:hAnsi="Arial"/>
        </w:rPr>
        <w:t xml:space="preserve">;</w:t>
      </w:r>
      <w:r>
        <w:rPr>
          <w:rFonts w:ascii="Arial" w:hAnsi="Arial"/>
        </w:rPr>
        <w:t xml:space="preserve"> </w:t>
      </w:r>
      <w:hyperlink r:id="rId80">
        <w:r>
          <w:rPr>
            <w:rStyle w:val="Hyperlink"/>
          </w:rPr>
          <w:t xml:space="preserve">Hikma release</w:t>
        </w:r>
      </w:hyperlink>
      <w:r>
        <w:rPr>
          <w:rFonts w:ascii="Arial" w:hAnsi="Arial"/>
        </w:rPr>
        <w:t xml:space="preserve">;</w:t>
      </w:r>
      <w:r>
        <w:rPr>
          <w:rFonts w:ascii="Arial" w:hAnsi="Arial"/>
        </w:rPr>
        <w:t xml:space="preserve"> </w:t>
      </w:r>
      <w:hyperlink r:id="rId81">
        <w:r>
          <w:rPr>
            <w:rStyle w:val="Hyperlink"/>
          </w:rPr>
          <w:t xml:space="preserve">Dr. Reddy's release</w:t>
        </w:r>
      </w:hyperlink>
      <w:r>
        <w:rPr>
          <w:rFonts w:ascii="Arial" w:hAnsi="Arial"/>
        </w:rPr>
        <w:t xml:space="preserve">). No IQVIA figure for HSS appears in any filing.</w:t>
      </w:r>
    </w:p>
    <w:p>
      <w:pPr>
        <w:pStyle w:val="BodyText"/>
      </w:pPr>
      <w:r>
        <w:rPr>
          <w:rFonts w:ascii="Arial" w:hAnsi="Arial"/>
        </w:rPr>
        <w:t xml:space="preserve">Simple subtraction (US$288 mn less US$144 mn) would put HSS near US$144 mn. Outpatient spending argues for a smaller HSS share. In our calculation from CMS data, HSS spending is</w:t>
      </w:r>
      <w:r>
        <w:rPr>
          <w:rFonts w:ascii="Arial" w:hAnsi="Arial"/>
        </w:rPr>
        <w:t xml:space="preserve"> </w:t>
      </w:r>
      <w:r>
        <w:rPr>
          <w:bCs/>
          <w:rFonts w:ascii="Arial" w:hAnsi="Arial"/>
          <w:b/>
        </w:rPr>
        <w:t xml:space="preserve">~0.23x MPSS in Part B fee-for-service (2023)</w:t>
      </w:r>
      <w:r>
        <w:rPr>
          <w:rFonts w:ascii="Arial" w:hAnsi="Arial"/>
        </w:rPr>
        <w:t xml:space="preserve"> </w:t>
      </w:r>
      <w:r>
        <w:rPr>
          <w:rFonts w:ascii="Arial" w:hAnsi="Arial"/>
        </w:rPr>
        <w:t xml:space="preserve">and</w:t>
      </w:r>
      <w:r>
        <w:rPr>
          <w:rFonts w:ascii="Arial" w:hAnsi="Arial"/>
        </w:rPr>
        <w:t xml:space="preserve"> </w:t>
      </w:r>
      <w:r>
        <w:rPr>
          <w:bCs/>
          <w:rFonts w:ascii="Arial" w:hAnsi="Arial"/>
          <w:b/>
        </w:rPr>
        <w:t xml:space="preserve">~0.13x in Medicaid gross (2024)</w:t>
      </w:r>
      <w:r>
        <w:rPr>
          <w:rFonts w:ascii="Arial" w:hAnsi="Arial"/>
        </w:rPr>
        <w:t xml:space="preserve">. Only in Part D (2024) is it</w:t>
      </w:r>
      <w:r>
        <w:rPr>
          <w:rFonts w:ascii="Arial" w:hAnsi="Arial"/>
        </w:rPr>
        <w:t xml:space="preserve"> </w:t>
      </w:r>
      <w:r>
        <w:rPr>
          <w:bCs/>
          <w:rFonts w:ascii="Arial" w:hAnsi="Arial"/>
          <w:b/>
        </w:rPr>
        <w:t xml:space="preserve">~1.4x</w:t>
      </w:r>
      <w:r>
        <w:rPr>
          <w:rFonts w:ascii="Arial" w:hAnsi="Arial"/>
        </w:rPr>
        <w:t xml:space="preserve">, most likely home emergency vials for adrenal insufficiency (inference) (</w:t>
      </w:r>
      <w:hyperlink r:id="rId82">
        <w:r>
          <w:rPr>
            <w:rStyle w:val="Hyperlink"/>
          </w:rPr>
          <w:t xml:space="preserve">Part B DY2024</w:t>
        </w:r>
      </w:hyperlink>
      <w:r>
        <w:rPr>
          <w:rFonts w:ascii="Arial" w:hAnsi="Arial"/>
        </w:rPr>
        <w:t xml:space="preserve">;</w:t>
      </w:r>
      <w:r>
        <w:rPr>
          <w:rFonts w:ascii="Arial" w:hAnsi="Arial"/>
        </w:rPr>
        <w:t xml:space="preserve"> </w:t>
      </w:r>
      <w:hyperlink r:id="rId58">
        <w:r>
          <w:rPr>
            <w:rStyle w:val="Hyperlink"/>
          </w:rPr>
          <w:t xml:space="preserve">Medicaid DY2024</w:t>
        </w:r>
      </w:hyperlink>
      <w:r>
        <w:rPr>
          <w:rFonts w:ascii="Arial" w:hAnsi="Arial"/>
        </w:rPr>
        <w:t xml:space="preserve">). Either the hospital channel is far more HSS-heavy than outpatient, or the US$288 mn is MPSS-weighted. Your IQVIA molecule split settles this.</w:t>
      </w:r>
    </w:p>
    <w:p>
      <w:pPr>
        <w:pStyle w:val="BodyText"/>
      </w:pPr>
      <w:r>
        <w:rPr>
          <w:bCs/>
          <w:rFonts w:ascii="Arial" w:hAnsi="Arial"/>
          <w:b/>
        </w:rPr>
        <w:t xml:space="preserve">Do not use ICICI's "90% Pfizer" as an MPSS brand share.</w:t>
      </w:r>
      <w:r>
        <w:rPr>
          <w:rFonts w:ascii="Arial" w:hAnsi="Arial"/>
        </w:rPr>
        <w:t xml:space="preserve"> </w:t>
      </w:r>
      <w:r>
        <w:rPr>
          <w:rFonts w:ascii="Arial" w:hAnsi="Arial"/>
        </w:rPr>
        <w:t xml:space="preserve">Medicaid shows 74% and Part D 47%. Pfizer's entire US "Medrol" line, whose scope is unstated but is likely oral plus injectable methylprednisolone, was only</w:t>
      </w:r>
      <w:r>
        <w:rPr>
          <w:rFonts w:ascii="Arial" w:hAnsi="Arial"/>
        </w:rPr>
        <w:t xml:space="preserve"> </w:t>
      </w:r>
      <w:r>
        <w:rPr>
          <w:bCs/>
          <w:rFonts w:ascii="Arial" w:hAnsi="Arial"/>
          <w:b/>
        </w:rPr>
        <w:t xml:space="preserve">US$132 mn in FY2022 and FY2023</w:t>
      </w:r>
      <w:r>
        <w:rPr>
          <w:rFonts w:ascii="Arial" w:hAnsi="Arial"/>
        </w:rPr>
        <w:t xml:space="preserve">, down from US$266 mn in FY2018 (</w:t>
      </w:r>
      <w:hyperlink r:id="rId83">
        <w:r>
          <w:rPr>
            <w:rStyle w:val="Hyperlink"/>
          </w:rPr>
          <w:t xml:space="preserve">Pfizer FY2019 release</w:t>
        </w:r>
      </w:hyperlink>
      <w:r>
        <w:rPr>
          <w:rFonts w:ascii="Arial" w:hAnsi="Arial"/>
        </w:rPr>
        <w:t xml:space="preserve">;</w:t>
      </w:r>
      <w:r>
        <w:rPr>
          <w:rFonts w:ascii="Arial" w:hAnsi="Arial"/>
        </w:rPr>
        <w:t xml:space="preserve"> </w:t>
      </w:r>
      <w:hyperlink r:id="rId84">
        <w:r>
          <w:rPr>
            <w:rStyle w:val="Hyperlink"/>
          </w:rPr>
          <w:t xml:space="preserve">Pfizer FY2023 release</w:t>
        </w:r>
      </w:hyperlink>
      <w:r>
        <w:rPr>
          <w:rFonts w:ascii="Arial" w:hAnsi="Arial"/>
        </w:rPr>
        <w:t xml:space="preserve">). Pfizer has not broken out Medrol since a</w:t>
      </w:r>
      <w:r>
        <w:rPr>
          <w:rFonts w:ascii="Arial" w:hAnsi="Arial"/>
        </w:rPr>
        <w:t xml:space="preserve"> </w:t>
      </w:r>
      <w:r>
        <w:rPr>
          <w:bCs/>
          <w:rFonts w:ascii="Arial" w:hAnsi="Arial"/>
          <w:b/>
        </w:rPr>
        <w:t xml:space="preserve">US$475 mn impairment of the Medrol brand intangible in Q4 2024</w:t>
      </w:r>
      <w:r>
        <w:rPr>
          <w:rFonts w:ascii="Arial" w:hAnsi="Arial"/>
        </w:rPr>
        <w:t xml:space="preserve"> </w:t>
      </w:r>
      <w:r>
        <w:rPr>
          <w:rFonts w:ascii="Arial" w:hAnsi="Arial"/>
        </w:rPr>
        <w:t xml:space="preserve">(</w:t>
      </w:r>
      <w:hyperlink r:id="rId85">
        <w:r>
          <w:rPr>
            <w:rStyle w:val="Hyperlink"/>
          </w:rPr>
          <w:t xml:space="preserve">Pfizer 2024 10-K</w:t>
        </w:r>
      </w:hyperlink>
      <w:r>
        <w:rPr>
          <w:rFonts w:ascii="Arial" w:hAnsi="Arial"/>
        </w:rPr>
        <w:t xml:space="preserve">). Reconciling the two numbers requires either a large Solu-Cortef business outside that line or a market figure stated at gross list-type prices (inference).</w:t>
      </w:r>
    </w:p>
    <w:bookmarkEnd w:id="86"/>
    <w:bookmarkEnd w:id="87"/>
    <w:bookmarkStart w:id="95" w:name="X2692bee3af455a9949d4d0bc0cbb28389600224"/>
    <w:p>
      <w:pPr>
        <w:pStyle w:val="Heading2"/>
      </w:pPr>
      <w:r>
        <w:rPr>
          <w:rFonts w:ascii="Arial" w:hAnsi="Arial"/>
        </w:rPr>
        <w:t xml:space="preserve">What this means for Symbiotec: the large Cortef vials are the moat (inference)</w:t>
      </w:r>
    </w:p>
    <w:p>
      <w:pPr>
        <w:pStyle w:val="FirstParagraph"/>
      </w:pPr>
      <w:r>
        <w:rPr>
          <w:iCs/>
          <w:rFonts w:ascii="Arial" w:hAnsi="Arial"/>
          <w:i/>
        </w:rPr>
        <w:t xml:space="preserve">Everything in this section is inference from the data above unless a source is cited.</w:t>
      </w:r>
    </w:p>
    <w:bookmarkStart w:id="88" w:name="X251f601e05053aa96db6c19e64ef85ef5fb1922"/>
    <w:p>
      <w:pPr>
        <w:pStyle w:val="Heading3"/>
      </w:pPr>
      <w:r>
        <w:rPr>
          <w:rFonts w:ascii="Arial" w:hAnsi="Arial"/>
        </w:rPr>
        <w:t xml:space="preserve">HSS 250 mg, 500 mg and 1 g: the cleanest opening</w:t>
      </w:r>
    </w:p>
    <w:p>
      <w:pPr>
        <w:pStyle w:val="FirstParagraph"/>
      </w:pPr>
      <w:r>
        <w:rPr>
          <w:rFonts w:ascii="Arial" w:hAnsi="Arial"/>
        </w:rPr>
        <w:t xml:space="preserve">The cleanest opening is</w:t>
      </w:r>
      <w:r>
        <w:rPr>
          <w:rFonts w:ascii="Arial" w:hAnsi="Arial"/>
        </w:rPr>
        <w:t xml:space="preserve"> </w:t>
      </w:r>
      <w:r>
        <w:rPr>
          <w:bCs/>
          <w:rFonts w:ascii="Arial" w:hAnsi="Arial"/>
          <w:b/>
        </w:rPr>
        <w:t xml:space="preserve">HSS 250 mg, 500 mg and 1 g</w:t>
      </w:r>
      <w:r>
        <w:rPr>
          <w:rFonts w:ascii="Arial" w:hAnsi="Arial"/>
        </w:rPr>
        <w:t xml:space="preserve">:</w:t>
      </w:r>
    </w:p>
    <w:p>
      <w:pPr>
        <w:numPr>
          <w:ilvl w:val="0"/>
          <w:numId w:val="1010"/>
        </w:numPr>
        <w:pStyle w:val="Compact"/>
      </w:pPr>
      <w:r>
        <w:rPr>
          <w:bCs/>
          <w:rFonts w:ascii="Arial" w:hAnsi="Arial"/>
          <w:b/>
        </w:rPr>
        <w:t xml:space="preserve">Pfizer-only.</w:t>
      </w:r>
      <w:r>
        <w:rPr>
          <w:rFonts w:ascii="Arial" w:hAnsi="Arial"/>
        </w:rPr>
        <w:t xml:space="preserve"> </w:t>
      </w:r>
      <w:r>
        <w:rPr>
          <w:rFonts w:ascii="Arial" w:hAnsi="Arial"/>
        </w:rPr>
        <w:t xml:space="preserve">They are sold only as Act-O-Vials, have no TE code and no ANDA (</w:t>
      </w:r>
      <w:hyperlink r:id="rId20">
        <w:r>
          <w:rPr>
            <w:rStyle w:val="Hyperlink"/>
          </w:rPr>
          <w:t xml:space="preserve">Orange Book</w:t>
        </w:r>
      </w:hyperlink>
      <w:r>
        <w:rPr>
          <w:rFonts w:ascii="Arial" w:hAnsi="Arial"/>
        </w:rPr>
        <w:t xml:space="preserve">).</w:t>
      </w:r>
    </w:p>
    <w:p>
      <w:pPr>
        <w:numPr>
          <w:ilvl w:val="0"/>
          <w:numId w:val="1010"/>
        </w:numPr>
        <w:pStyle w:val="Compact"/>
      </w:pPr>
      <w:r>
        <w:rPr>
          <w:bCs/>
          <w:rFonts w:ascii="Arial" w:hAnsi="Arial"/>
          <w:b/>
        </w:rPr>
        <w:t xml:space="preserve">Rising prices.</w:t>
      </w:r>
      <w:r>
        <w:rPr>
          <w:rFonts w:ascii="Arial" w:hAnsi="Arial"/>
        </w:rPr>
        <w:t xml:space="preserve"> </w:t>
      </w:r>
      <w:r>
        <w:rPr>
          <w:rFonts w:ascii="Arial" w:hAnsi="Arial"/>
        </w:rPr>
        <w:t xml:space="preserve">J1720 has compounded ~9% a year over five years (our calculation from</w:t>
      </w:r>
      <w:r>
        <w:rPr>
          <w:rFonts w:ascii="Arial" w:hAnsi="Arial"/>
        </w:rPr>
        <w:t xml:space="preserve"> </w:t>
      </w:r>
      <w:hyperlink r:id="rId26">
        <w:r>
          <w:rPr>
            <w:rStyle w:val="Hyperlink"/>
          </w:rPr>
          <w:t xml:space="preserve">CMS ASP files</w:t>
        </w:r>
      </w:hyperlink>
      <w:r>
        <w:rPr>
          <w:rFonts w:ascii="Arial" w:hAnsi="Arial"/>
        </w:rPr>
        <w:t xml:space="preserve">). WAC is US$51 / US$101 / US$201 per vial (</w:t>
      </w:r>
      <w:hyperlink r:id="rId37">
        <w:r>
          <w:rPr>
            <w:rStyle w:val="Hyperlink"/>
          </w:rPr>
          <w:t xml:space="preserve">Pfizer Solu-Cortef CT disclosure, 6 Jul 2026</w:t>
        </w:r>
      </w:hyperlink>
      <w:r>
        <w:rPr>
          <w:rFonts w:ascii="Arial" w:hAnsi="Arial"/>
        </w:rPr>
        <w:t xml:space="preserve">).</w:t>
      </w:r>
    </w:p>
    <w:p>
      <w:pPr>
        <w:numPr>
          <w:ilvl w:val="0"/>
          <w:numId w:val="1010"/>
        </w:numPr>
        <w:pStyle w:val="Compact"/>
      </w:pPr>
      <w:r>
        <w:rPr>
          <w:bCs/>
          <w:rFonts w:ascii="Arial" w:hAnsi="Arial"/>
          <w:b/>
        </w:rPr>
        <w:t xml:space="preserve">Possible exclusivity.</w:t>
      </w:r>
      <w:r>
        <w:rPr>
          <w:rFonts w:ascii="Arial" w:hAnsi="Arial"/>
        </w:rPr>
        <w:t xml:space="preserve"> </w:t>
      </w:r>
      <w:r>
        <w:rPr>
          <w:rFonts w:ascii="Arial" w:hAnsi="Arial"/>
        </w:rPr>
        <w:t xml:space="preserve">FDA's CGT list treats eligibility strength by strength (it shows "Yes" for one theophylline ER strength and "No" for another), so the first approved ANDA at these strengths could plausibly seek CGT designation and 180-day exclusivity (</w:t>
      </w:r>
      <w:hyperlink r:id="rId34">
        <w:r>
          <w:rPr>
            <w:rStyle w:val="Hyperlink"/>
          </w:rPr>
          <w:t xml:space="preserve">FDA CGT list</w:t>
        </w:r>
      </w:hyperlink>
      <w:r>
        <w:rPr>
          <w:rFonts w:ascii="Arial" w:hAnsi="Arial"/>
        </w:rPr>
        <w:t xml:space="preserve">). This is unverified for HSS.</w:t>
      </w:r>
    </w:p>
    <w:p>
      <w:pPr>
        <w:numPr>
          <w:ilvl w:val="0"/>
          <w:numId w:val="1010"/>
        </w:numPr>
        <w:pStyle w:val="Compact"/>
      </w:pPr>
      <w:r>
        <w:rPr>
          <w:bCs/>
          <w:rFonts w:ascii="Arial" w:hAnsi="Arial"/>
          <w:b/>
        </w:rPr>
        <w:t xml:space="preserve">Fits the filing language.</w:t>
      </w:r>
      <w:r>
        <w:rPr>
          <w:rFonts w:ascii="Arial" w:hAnsi="Arial"/>
        </w:rPr>
        <w:t xml:space="preserve"> </w:t>
      </w:r>
      <w:r>
        <w:rPr>
          <w:rFonts w:ascii="Arial" w:hAnsi="Arial"/>
        </w:rPr>
        <w:t xml:space="preserve">The company calls it the "first generic filing for the DCV product in US market" (</w:t>
      </w:r>
      <w:hyperlink r:id="rId31">
        <w:r>
          <w:rPr>
            <w:rStyle w:val="Hyperlink"/>
          </w:rPr>
          <w:t xml:space="preserve">Q1FY27 presentation</w:t>
        </w:r>
      </w:hyperlink>
      <w:r>
        <w:rPr>
          <w:rFonts w:ascii="Arial" w:hAnsi="Arial"/>
        </w:rPr>
        <w:t xml:space="preserve">, slide 5). If that means the first ANDA for a reference product with no generic filing, HSS large strengths fit best. The phrase can also simply mean the first generic DCV presentation, which fits either molecule.</w:t>
      </w:r>
    </w:p>
    <w:p>
      <w:pPr>
        <w:pStyle w:val="FirstParagraph"/>
      </w:pPr>
      <w:r>
        <w:rPr>
          <w:rFonts w:ascii="Arial" w:hAnsi="Arial"/>
        </w:rPr>
        <w:t xml:space="preserve">The catch is size. In Medicaid these strengths are ~3% of HSS prescriptions and ~6% of dollars (our calculation from</w:t>
      </w:r>
      <w:r>
        <w:rPr>
          <w:rFonts w:ascii="Arial" w:hAnsi="Arial"/>
        </w:rPr>
        <w:t xml:space="preserve"> </w:t>
      </w:r>
      <w:hyperlink r:id="rId35">
        <w:r>
          <w:rPr>
            <w:rStyle w:val="Hyperlink"/>
          </w:rPr>
          <w:t xml:space="preserve">SDUD 2025</w:t>
        </w:r>
      </w:hyperlink>
      <w:r>
        <w:rPr>
          <w:rFonts w:ascii="Arial" w:hAnsi="Arial"/>
        </w:rPr>
        <w:t xml:space="preserve">). Their use is likely ICU and high-dose inpatient, which the public data cannot see (inference). Pfizer's per-vial price is 2.5–10x the 100 mg vial (</w:t>
      </w:r>
      <w:hyperlink r:id="rId37">
        <w:r>
          <w:rPr>
            <w:rStyle w:val="Hyperlink"/>
          </w:rPr>
          <w:t xml:space="preserve">Pfizer Solu-Cortef CT disclosure</w:t>
        </w:r>
      </w:hyperlink>
      <w:r>
        <w:rPr>
          <w:rFonts w:ascii="Arial" w:hAnsi="Arial"/>
        </w:rPr>
        <w:t xml:space="preserve">), so the dollar weight in hospitals could be far higher. That is the single most important number to pull from IQVIA.</w:t>
      </w:r>
    </w:p>
    <w:bookmarkEnd w:id="88"/>
    <w:bookmarkStart w:id="89" w:name="Xf97e824a6aff7dec7606d0e4a503fa1cfb0b2dc"/>
    <w:p>
      <w:pPr>
        <w:pStyle w:val="Heading3"/>
      </w:pPr>
      <w:r>
        <w:rPr>
          <w:rFonts w:ascii="Arial" w:hAnsi="Arial"/>
        </w:rPr>
        <w:t xml:space="preserve">HSS 100 mg: a fifth source into a market about to reprice</w:t>
      </w:r>
    </w:p>
    <w:p>
      <w:pPr>
        <w:pStyle w:val="FirstParagraph"/>
      </w:pPr>
      <w:r>
        <w:rPr>
          <w:rFonts w:ascii="Arial" w:hAnsi="Arial"/>
        </w:rPr>
        <w:t xml:space="preserve">At</w:t>
      </w:r>
      <w:r>
        <w:rPr>
          <w:rFonts w:ascii="Arial" w:hAnsi="Arial"/>
        </w:rPr>
        <w:t xml:space="preserve"> </w:t>
      </w:r>
      <w:r>
        <w:rPr>
          <w:bCs/>
          <w:rFonts w:ascii="Arial" w:hAnsi="Arial"/>
          <w:b/>
        </w:rPr>
        <w:t xml:space="preserve">HSS 100 mg</w:t>
      </w:r>
      <w:r>
        <w:rPr>
          <w:rFonts w:ascii="Arial" w:hAnsi="Arial"/>
        </w:rPr>
        <w:t xml:space="preserve">, a Symbiotec DCV would be the fifth source, behind Pfizer's Act-O-Vial and three plain-vial generics (</w:t>
      </w:r>
      <w:hyperlink r:id="rId20">
        <w:r>
          <w:rPr>
            <w:rStyle w:val="Hyperlink"/>
          </w:rPr>
          <w:t xml:space="preserve">Orange Book</w:t>
        </w:r>
      </w:hyperlink>
      <w:r>
        <w:rPr>
          <w:rFonts w:ascii="Arial" w:hAnsi="Arial"/>
        </w:rPr>
        <w:t xml:space="preserve">):</w:t>
      </w:r>
    </w:p>
    <w:p>
      <w:pPr>
        <w:numPr>
          <w:ilvl w:val="0"/>
          <w:numId w:val="1011"/>
        </w:numPr>
        <w:pStyle w:val="Compact"/>
      </w:pPr>
      <w:r>
        <w:rPr>
          <w:bCs/>
          <w:rFonts w:ascii="Arial" w:hAnsi="Arial"/>
          <w:b/>
        </w:rPr>
        <w:t xml:space="preserve">Price:</w:t>
      </w:r>
      <w:r>
        <w:rPr>
          <w:rFonts w:ascii="Arial" w:hAnsi="Arial"/>
        </w:rPr>
        <w:t xml:space="preserve"> </w:t>
      </w:r>
      <w:r>
        <w:rPr>
          <w:rFonts w:ascii="Arial" w:hAnsi="Arial"/>
        </w:rPr>
        <w:t xml:space="preserve">generic NADAC is US$14.46 against US$25.5 for brand (</w:t>
      </w:r>
      <w:hyperlink r:id="rId27">
        <w:r>
          <w:rPr>
            <w:rStyle w:val="Hyperlink"/>
          </w:rPr>
          <w:t xml:space="preserve">NADAC 2026</w:t>
        </w:r>
      </w:hyperlink>
      <w:r>
        <w:rPr>
          <w:rFonts w:ascii="Arial" w:hAnsi="Arial"/>
        </w:rPr>
        <w:t xml:space="preserve">). Generic erosion has yet to show in ASP (</w:t>
      </w:r>
      <w:hyperlink r:id="rId26">
        <w:r>
          <w:rPr>
            <w:rStyle w:val="Hyperlink"/>
          </w:rPr>
          <w:t xml:space="preserve">CMS ASP files</w:t>
        </w:r>
      </w:hyperlink>
      <w:r>
        <w:rPr>
          <w:rFonts w:ascii="Arial" w:hAnsi="Arial"/>
        </w:rPr>
        <w:t xml:space="preserve">).</w:t>
      </w:r>
    </w:p>
    <w:p>
      <w:pPr>
        <w:numPr>
          <w:ilvl w:val="0"/>
          <w:numId w:val="1011"/>
        </w:numPr>
        <w:pStyle w:val="Compact"/>
      </w:pPr>
      <w:r>
        <w:rPr>
          <w:bCs/>
          <w:rFonts w:ascii="Arial" w:hAnsi="Arial"/>
          <w:b/>
        </w:rPr>
        <w:t xml:space="preserve">Pitch:</w:t>
      </w:r>
      <w:r>
        <w:rPr>
          <w:rFonts w:ascii="Arial" w:hAnsi="Arial"/>
        </w:rPr>
        <w:t xml:space="preserve"> </w:t>
      </w:r>
      <w:r>
        <w:rPr>
          <w:rFonts w:ascii="Arial" w:hAnsi="Arial"/>
        </w:rPr>
        <w:t xml:space="preserve">convenience at the Act-O-Vial price point (US$25.27 WAC;</w:t>
      </w:r>
      <w:r>
        <w:rPr>
          <w:rFonts w:ascii="Arial" w:hAnsi="Arial"/>
        </w:rPr>
        <w:t xml:space="preserve"> </w:t>
      </w:r>
      <w:hyperlink r:id="rId37">
        <w:r>
          <w:rPr>
            <w:rStyle w:val="Hyperlink"/>
          </w:rPr>
          <w:t xml:space="preserve">Pfizer Solu-Cortef CT disclosure</w:t>
        </w:r>
      </w:hyperlink>
      <w:r>
        <w:rPr>
          <w:rFonts w:ascii="Arial" w:hAnsi="Arial"/>
        </w:rPr>
        <w:t xml:space="preserve">), where Pfizer still holds ~93% of Medicaid claims (</w:t>
      </w:r>
      <w:hyperlink r:id="rId25">
        <w:r>
          <w:rPr>
            <w:rStyle w:val="Hyperlink"/>
          </w:rPr>
          <w:t xml:space="preserve">SDUD 2026</w:t>
        </w:r>
      </w:hyperlink>
      <w:r>
        <w:rPr>
          <w:rFonts w:ascii="Arial" w:hAnsi="Arial"/>
        </w:rPr>
        <w:t xml:space="preserve">).</w:t>
      </w:r>
    </w:p>
    <w:p>
      <w:pPr>
        <w:numPr>
          <w:ilvl w:val="0"/>
          <w:numId w:val="1011"/>
        </w:numPr>
        <w:pStyle w:val="Compact"/>
      </w:pPr>
      <w:r>
        <w:rPr>
          <w:bCs/>
          <w:rFonts w:ascii="Arial" w:hAnsi="Arial"/>
          <w:b/>
        </w:rPr>
        <w:t xml:space="preserve">Risk:</w:t>
      </w:r>
      <w:r>
        <w:rPr>
          <w:rFonts w:ascii="Arial" w:hAnsi="Arial"/>
        </w:rPr>
        <w:t xml:space="preserve"> </w:t>
      </w:r>
      <w:r>
        <w:rPr>
          <w:rFonts w:ascii="Arial" w:hAnsi="Arial"/>
        </w:rPr>
        <w:t xml:space="preserve">AP-rated plain vials can substitute for 100 mg Act-O-Vial orders (</w:t>
      </w:r>
      <w:hyperlink r:id="rId20">
        <w:r>
          <w:rPr>
            <w:rStyle w:val="Hyperlink"/>
          </w:rPr>
          <w:t xml:space="preserve">Orange Book</w:t>
        </w:r>
      </w:hyperlink>
      <w:r>
        <w:rPr>
          <w:rFonts w:ascii="Arial" w:hAnsi="Arial"/>
        </w:rPr>
        <w:t xml:space="preserve">), so that price point will compress through 2027 (inference).</w:t>
      </w:r>
    </w:p>
    <w:bookmarkEnd w:id="89"/>
    <w:bookmarkStart w:id="90" w:name="X03b244d2fff467325ce62c5247ec6d23ac0f0ed"/>
    <w:p>
      <w:pPr>
        <w:pStyle w:val="Heading3"/>
      </w:pPr>
      <w:r>
        <w:rPr>
          <w:rFonts w:ascii="Arial" w:hAnsi="Arial"/>
        </w:rPr>
        <w:t xml:space="preserve">MPSS: competing for the brand Act-O-Vial pool</w:t>
      </w:r>
    </w:p>
    <w:p>
      <w:pPr>
        <w:pStyle w:val="FirstParagraph"/>
      </w:pPr>
      <w:r>
        <w:rPr>
          <w:bCs/>
          <w:rFonts w:ascii="Arial" w:hAnsi="Arial"/>
          <w:b/>
        </w:rPr>
        <w:t xml:space="preserve">MPSS DCV is a different trade:</w:t>
      </w:r>
    </w:p>
    <w:p>
      <w:pPr>
        <w:numPr>
          <w:ilvl w:val="0"/>
          <w:numId w:val="1012"/>
        </w:numPr>
        <w:pStyle w:val="Compact"/>
      </w:pPr>
      <w:r>
        <w:rPr>
          <w:bCs/>
          <w:rFonts w:ascii="Arial" w:hAnsi="Arial"/>
          <w:b/>
        </w:rPr>
        <w:t xml:space="preserve">No exclusivity:</w:t>
      </w:r>
      <w:r>
        <w:rPr>
          <w:rFonts w:ascii="Arial" w:hAnsi="Arial"/>
        </w:rPr>
        <w:t xml:space="preserve"> </w:t>
      </w:r>
      <w:r>
        <w:rPr>
          <w:rFonts w:ascii="Arial" w:hAnsi="Arial"/>
        </w:rPr>
        <w:t xml:space="preserve">every DCV strength already has two to four ASP-reporting generics (</w:t>
      </w:r>
      <w:hyperlink r:id="rId22">
        <w:r>
          <w:rPr>
            <w:rStyle w:val="Hyperlink"/>
          </w:rPr>
          <w:t xml:space="preserve">CMS Oct 2026 crosswalk</w:t>
        </w:r>
      </w:hyperlink>
      <w:r>
        <w:rPr>
          <w:rFonts w:ascii="Arial" w:hAnsi="Arial"/>
        </w:rPr>
        <w:t xml:space="preserve">).</w:t>
      </w:r>
    </w:p>
    <w:p>
      <w:pPr>
        <w:numPr>
          <w:ilvl w:val="0"/>
          <w:numId w:val="1012"/>
        </w:numPr>
        <w:pStyle w:val="Compact"/>
      </w:pPr>
      <w:r>
        <w:rPr>
          <w:bCs/>
          <w:rFonts w:ascii="Arial" w:hAnsi="Arial"/>
          <w:b/>
        </w:rPr>
        <w:t xml:space="preserve">The prize:</w:t>
      </w:r>
      <w:r>
        <w:rPr>
          <w:rFonts w:ascii="Arial" w:hAnsi="Arial"/>
        </w:rPr>
        <w:t xml:space="preserve"> </w:t>
      </w:r>
      <w:r>
        <w:rPr>
          <w:rFonts w:ascii="Arial" w:hAnsi="Arial"/>
        </w:rPr>
        <w:t xml:space="preserve">Pfizer's residual Act-O-Vial pool, ~74% of Medicaid claims at 40/125 mg (</w:t>
      </w:r>
      <w:hyperlink r:id="rId25">
        <w:r>
          <w:rPr>
            <w:rStyle w:val="Hyperlink"/>
          </w:rPr>
          <w:t xml:space="preserve">SDUD 2026</w:t>
        </w:r>
      </w:hyperlink>
      <w:r>
        <w:rPr>
          <w:rFonts w:ascii="Arial" w:hAnsi="Arial"/>
        </w:rPr>
        <w:t xml:space="preserve">).</w:t>
      </w:r>
    </w:p>
    <w:p>
      <w:pPr>
        <w:numPr>
          <w:ilvl w:val="0"/>
          <w:numId w:val="1012"/>
        </w:numPr>
        <w:pStyle w:val="Compact"/>
      </w:pPr>
      <w:r>
        <w:rPr>
          <w:bCs/>
          <w:rFonts w:ascii="Arial" w:hAnsi="Arial"/>
          <w:b/>
        </w:rPr>
        <w:t xml:space="preserve">Price corridor:</w:t>
      </w:r>
      <w:r>
        <w:rPr>
          <w:rFonts w:ascii="Arial" w:hAnsi="Arial"/>
        </w:rPr>
        <w:t xml:space="preserve"> </w:t>
      </w:r>
      <w:r>
        <w:rPr>
          <w:rFonts w:ascii="Arial" w:hAnsi="Arial"/>
        </w:rPr>
        <w:t xml:space="preserve">generic single vials there already acquire at US$3.27 (125 mg;</w:t>
      </w:r>
      <w:r>
        <w:rPr>
          <w:rFonts w:ascii="Arial" w:hAnsi="Arial"/>
        </w:rPr>
        <w:t xml:space="preserve"> </w:t>
      </w:r>
      <w:hyperlink r:id="rId27">
        <w:r>
          <w:rPr>
            <w:rStyle w:val="Hyperlink"/>
          </w:rPr>
          <w:t xml:space="preserve">NADAC 2026</w:t>
        </w:r>
      </w:hyperlink>
      <w:r>
        <w:rPr>
          <w:rFonts w:ascii="Arial" w:hAnsi="Arial"/>
        </w:rPr>
        <w:t xml:space="preserve">), against US$8.14–10.42 brand WAC (</w:t>
      </w:r>
      <w:hyperlink r:id="rId38">
        <w:r>
          <w:rPr>
            <w:rStyle w:val="Hyperlink"/>
          </w:rPr>
          <w:t xml:space="preserve">Pfizer Solu-Medrol CT disclosure</w:t>
        </w:r>
      </w:hyperlink>
      <w:r>
        <w:rPr>
          <w:rFonts w:ascii="Arial" w:hAnsi="Arial"/>
        </w:rPr>
        <w:t xml:space="preserve">). A generic DCV can plausibly price inside that corridor (inference).</w:t>
      </w:r>
    </w:p>
    <w:p>
      <w:pPr>
        <w:numPr>
          <w:ilvl w:val="0"/>
          <w:numId w:val="1012"/>
        </w:numPr>
        <w:pStyle w:val="Compact"/>
      </w:pPr>
      <w:r>
        <w:rPr>
          <w:bCs/>
          <w:rFonts w:ascii="Arial" w:hAnsi="Arial"/>
          <w:b/>
        </w:rPr>
        <w:t xml:space="preserve">Pfizer will defend:</w:t>
      </w:r>
      <w:r>
        <w:rPr>
          <w:rFonts w:ascii="Arial" w:hAnsi="Arial"/>
        </w:rPr>
        <w:t xml:space="preserve"> </w:t>
      </w:r>
      <w:r>
        <w:rPr>
          <w:rFonts w:ascii="Arial" w:hAnsi="Arial"/>
        </w:rPr>
        <w:t xml:space="preserve">it cut WAC 17–42% on five presentations in mid-2025 (</w:t>
      </w:r>
      <w:hyperlink r:id="rId70">
        <w:r>
          <w:rPr>
            <w:rStyle w:val="Hyperlink"/>
          </w:rPr>
          <w:t xml:space="preserve">Solu-Medrol, 28 Mar 2025</w:t>
        </w:r>
      </w:hyperlink>
      <w:r>
        <w:rPr>
          <w:rFonts w:ascii="Arial" w:hAnsi="Arial"/>
        </w:rPr>
        <w:t xml:space="preserve">;</w:t>
      </w:r>
      <w:r>
        <w:rPr>
          <w:rFonts w:ascii="Arial" w:hAnsi="Arial"/>
        </w:rPr>
        <w:t xml:space="preserve"> </w:t>
      </w:r>
      <w:hyperlink r:id="rId71">
        <w:r>
          <w:rPr>
            <w:rStyle w:val="Hyperlink"/>
          </w:rPr>
          <w:t xml:space="preserve">Solu-Medrol, 28 Jul 2025</w:t>
        </w:r>
      </w:hyperlink>
      <w:r>
        <w:rPr>
          <w:rFonts w:ascii="Arial" w:hAnsi="Arial"/>
        </w:rPr>
        <w:t xml:space="preserve">).</w:t>
      </w:r>
    </w:p>
    <w:p>
      <w:pPr>
        <w:numPr>
          <w:ilvl w:val="0"/>
          <w:numId w:val="1012"/>
        </w:numPr>
        <w:pStyle w:val="Compact"/>
      </w:pPr>
      <w:r>
        <w:rPr>
          <w:bCs/>
          <w:rFonts w:ascii="Arial" w:hAnsi="Arial"/>
          <w:b/>
        </w:rPr>
        <w:t xml:space="preserve">Share can move fast:</w:t>
      </w:r>
      <w:r>
        <w:rPr>
          <w:rFonts w:ascii="Arial" w:hAnsi="Arial"/>
        </w:rPr>
        <w:t xml:space="preserve"> </w:t>
      </w:r>
      <w:r>
        <w:rPr>
          <w:rFonts w:ascii="Arial" w:hAnsi="Arial"/>
        </w:rPr>
        <w:t xml:space="preserve">Dr. Reddy's climbed from 0.4% to 16.9% of Medicaid claims in four years (MPSS share table above), which shows how fast a reliable entrant can take share in this molecule.</w:t>
      </w:r>
    </w:p>
    <w:bookmarkEnd w:id="90"/>
    <w:bookmarkStart w:id="91" w:name="supply-security-and-capacity"/>
    <w:p>
      <w:pPr>
        <w:pStyle w:val="Heading3"/>
      </w:pPr>
      <w:r>
        <w:rPr>
          <w:rFonts w:ascii="Arial" w:hAnsi="Arial"/>
        </w:rPr>
        <w:t xml:space="preserve">Supply security and capacity</w:t>
      </w:r>
    </w:p>
    <w:p>
      <w:pPr>
        <w:pStyle w:val="FirstParagraph"/>
      </w:pPr>
      <w:r>
        <w:rPr>
          <w:rFonts w:ascii="Arial" w:hAnsi="Arial"/>
        </w:rPr>
        <w:t xml:space="preserve">The supply argument cuts in Symbiotec's favour:</w:t>
      </w:r>
    </w:p>
    <w:p>
      <w:pPr>
        <w:numPr>
          <w:ilvl w:val="0"/>
          <w:numId w:val="1013"/>
        </w:numPr>
        <w:pStyle w:val="Compact"/>
      </w:pPr>
      <w:r>
        <w:rPr>
          <w:bCs/>
          <w:rFonts w:ascii="Arial" w:hAnsi="Arial"/>
          <w:b/>
        </w:rPr>
        <w:t xml:space="preserve">Pfizer's bottleneck:</w:t>
      </w:r>
      <w:r>
        <w:rPr>
          <w:rFonts w:ascii="Arial" w:hAnsi="Arial"/>
        </w:rPr>
        <w:t xml:space="preserve"> </w:t>
      </w:r>
      <w:r>
        <w:rPr>
          <w:rFonts w:ascii="Arial" w:hAnsi="Arial"/>
        </w:rPr>
        <w:t xml:space="preserve">its Act-O-Vial line was the bottleneck in 2023 and again in 2025 (</w:t>
      </w:r>
      <w:hyperlink r:id="rId50">
        <w:r>
          <w:rPr>
            <w:rStyle w:val="Hyperlink"/>
          </w:rPr>
          <w:t xml:space="preserve">Pfizer letter, 22 Mar 2023</w:t>
        </w:r>
      </w:hyperlink>
      <w:r>
        <w:rPr>
          <w:rFonts w:ascii="Arial" w:hAnsi="Arial"/>
        </w:rPr>
        <w:t xml:space="preserve">;</w:t>
      </w:r>
      <w:r>
        <w:rPr>
          <w:rFonts w:ascii="Arial" w:hAnsi="Arial"/>
        </w:rPr>
        <w:t xml:space="preserve"> </w:t>
      </w:r>
      <w:hyperlink r:id="rId51">
        <w:r>
          <w:rPr>
            <w:rStyle w:val="Hyperlink"/>
          </w:rPr>
          <w:t xml:space="preserve">FDA-posted Pfizer letter, 14 Apr 2025</w:t>
        </w:r>
      </w:hyperlink>
      <w:r>
        <w:rPr>
          <w:rFonts w:ascii="Arial" w:hAnsi="Arial"/>
        </w:rPr>
        <w:t xml:space="preserve">;</w:t>
      </w:r>
      <w:r>
        <w:rPr>
          <w:rFonts w:ascii="Arial" w:hAnsi="Arial"/>
        </w:rPr>
        <w:t xml:space="preserve"> </w:t>
      </w:r>
      <w:hyperlink r:id="rId52">
        <w:r>
          <w:rPr>
            <w:rStyle w:val="Hyperlink"/>
          </w:rPr>
          <w:t xml:space="preserve">Isaacs et al.</w:t>
        </w:r>
      </w:hyperlink>
      <w:r>
        <w:rPr>
          <w:rFonts w:ascii="Arial" w:hAnsi="Arial"/>
        </w:rPr>
        <w:t xml:space="preserve">).</w:t>
      </w:r>
    </w:p>
    <w:p>
      <w:pPr>
        <w:numPr>
          <w:ilvl w:val="0"/>
          <w:numId w:val="1013"/>
        </w:numPr>
        <w:pStyle w:val="Compact"/>
      </w:pPr>
      <w:r>
        <w:rPr>
          <w:bCs/>
          <w:rFonts w:ascii="Arial" w:hAnsi="Arial"/>
          <w:b/>
        </w:rPr>
        <w:t xml:space="preserve">Hospitals pay for redundancy:</w:t>
      </w:r>
      <w:r>
        <w:rPr>
          <w:rFonts w:ascii="Arial" w:hAnsi="Arial"/>
        </w:rPr>
        <w:t xml:space="preserve"> </w:t>
      </w:r>
      <w:r>
        <w:rPr>
          <w:rFonts w:ascii="Arial" w:hAnsi="Arial"/>
        </w:rPr>
        <w:t xml:space="preserve">Civica's entry shows it (inference).</w:t>
      </w:r>
    </w:p>
    <w:p>
      <w:pPr>
        <w:numPr>
          <w:ilvl w:val="0"/>
          <w:numId w:val="1013"/>
        </w:numPr>
        <w:pStyle w:val="Compact"/>
      </w:pPr>
      <w:r>
        <w:rPr>
          <w:bCs/>
          <w:rFonts w:ascii="Arial" w:hAnsi="Arial"/>
          <w:b/>
        </w:rPr>
        <w:t xml:space="preserve">Symbiotec's credentials:</w:t>
      </w:r>
      <w:r>
        <w:rPr>
          <w:rFonts w:ascii="Arial" w:hAnsi="Arial"/>
        </w:rPr>
        <w:t xml:space="preserve"> </w:t>
      </w:r>
      <w:r>
        <w:rPr>
          <w:rFonts w:ascii="Arial" w:hAnsi="Arial"/>
        </w:rPr>
        <w:t xml:space="preserve">its own hemisuccinate DMFs (</w:t>
      </w:r>
      <w:hyperlink r:id="rId49">
        <w:r>
          <w:rPr>
            <w:rStyle w:val="Hyperlink"/>
          </w:rPr>
          <w:t xml:space="preserve">FDA DMF list</w:t>
        </w:r>
      </w:hyperlink>
      <w:r>
        <w:rPr>
          <w:rFonts w:ascii="Arial" w:hAnsi="Arial"/>
        </w:rPr>
        <w:t xml:space="preserve">) and ~76–80% global API volume share (</w:t>
      </w:r>
      <w:hyperlink r:id="rId33">
        <w:r>
          <w:rPr>
            <w:rStyle w:val="Hyperlink"/>
          </w:rPr>
          <w:t xml:space="preserve">RHP</w:t>
        </w:r>
      </w:hyperlink>
      <w:r>
        <w:rPr>
          <w:rFonts w:ascii="Arial" w:hAnsi="Arial"/>
        </w:rPr>
        <w:t xml:space="preserve">) give it cost and security-of-supply credentials.</w:t>
      </w:r>
    </w:p>
    <w:p>
      <w:pPr>
        <w:numPr>
          <w:ilvl w:val="0"/>
          <w:numId w:val="1013"/>
        </w:numPr>
        <w:pStyle w:val="Compact"/>
      </w:pPr>
      <w:r>
        <w:rPr>
          <w:bCs/>
          <w:rFonts w:ascii="Arial" w:hAnsi="Arial"/>
          <w:b/>
        </w:rPr>
        <w:t xml:space="preserve">Open question on Cipla's supplier:</w:t>
      </w:r>
      <w:r>
        <w:rPr>
          <w:rFonts w:ascii="Arial" w:hAnsi="Arial"/>
        </w:rPr>
        <w:t xml:space="preserve"> </w:t>
      </w:r>
      <w:r>
        <w:rPr>
          <w:rFonts w:ascii="Arial" w:hAnsi="Arial"/>
        </w:rPr>
        <w:t xml:space="preserve">for HSS, DMF 29221 was the only active third-party DMF before 2023 (</w:t>
      </w:r>
      <w:hyperlink r:id="rId49">
        <w:r>
          <w:rPr>
            <w:rStyle w:val="Hyperlink"/>
          </w:rPr>
          <w:t xml:space="preserve">FDA DMF list</w:t>
        </w:r>
      </w:hyperlink>
      <w:r>
        <w:rPr>
          <w:rFonts w:ascii="Arial" w:hAnsi="Arial"/>
        </w:rPr>
        <w:t xml:space="preserve">). Cipla's ANDA 214050 was approved in September 2024 (</w:t>
      </w:r>
      <w:hyperlink r:id="rId20">
        <w:r>
          <w:rPr>
            <w:rStyle w:val="Hyperlink"/>
          </w:rPr>
          <w:t xml:space="preserve">Orange Book</w:t>
        </w:r>
      </w:hyperlink>
      <w:r>
        <w:rPr>
          <w:rFonts w:ascii="Arial" w:hAnsi="Arial"/>
        </w:rPr>
        <w:t xml:space="preserve">). Its application number suggests a filing around 2020, before the other three DMFs existed (inference from FDA's sequential ANDA numbering). That raises the question of whether Symbiotec already supplies Cipla. No source names the supplier.</w:t>
      </w:r>
    </w:p>
    <w:p>
      <w:pPr>
        <w:pStyle w:val="FirstParagraph"/>
      </w:pPr>
      <w:r>
        <w:rPr>
          <w:rFonts w:ascii="Arial" w:hAnsi="Arial"/>
        </w:rPr>
        <w:t xml:space="preserve">The DCV capacity of 20 mn vials a year (</w:t>
      </w:r>
      <w:hyperlink r:id="rId33">
        <w:r>
          <w:rPr>
            <w:rStyle w:val="Hyperlink"/>
          </w:rPr>
          <w:t xml:space="preserve">RHP</w:t>
        </w:r>
      </w:hyperlink>
      <w:r>
        <w:rPr>
          <w:rFonts w:ascii="Arial" w:hAnsi="Arial"/>
        </w:rPr>
        <w:t xml:space="preserve">) is large against a US MPSS market worth roughly US$144 mn in 2022 (</w:t>
      </w:r>
      <w:hyperlink r:id="rId81">
        <w:r>
          <w:rPr>
            <w:rStyle w:val="Hyperlink"/>
          </w:rPr>
          <w:t xml:space="preserve">Dr. Reddy's release</w:t>
        </w:r>
      </w:hyperlink>
      <w:r>
        <w:rPr>
          <w:rFonts w:ascii="Arial" w:hAnsi="Arial"/>
        </w:rPr>
        <w:t xml:space="preserve">), at blended prices of a few dollars per vial. That points to multi-product and ex-US loading over time (inference).</w:t>
      </w:r>
    </w:p>
    <w:bookmarkEnd w:id="91"/>
    <w:bookmarkStart w:id="92" w:name="timing-and-how-icicis-numbers-compare"/>
    <w:p>
      <w:pPr>
        <w:pStyle w:val="Heading3"/>
      </w:pPr>
      <w:r>
        <w:rPr>
          <w:rFonts w:ascii="Arial" w:hAnsi="Arial"/>
        </w:rPr>
        <w:t xml:space="preserve">Timing and how ICICI's numbers compare</w:t>
      </w:r>
    </w:p>
    <w:p>
      <w:pPr>
        <w:pStyle w:val="FirstParagraph"/>
      </w:pPr>
      <w:r>
        <w:rPr>
          <w:rFonts w:ascii="Arial" w:hAnsi="Arial"/>
        </w:rPr>
        <w:t xml:space="preserve">FDA's goal is to act on 90% of standard original ANDAs within 10 months of submission (</w:t>
      </w:r>
      <w:hyperlink r:id="rId36">
        <w:r>
          <w:rPr>
            <w:rStyle w:val="Hyperlink"/>
          </w:rPr>
          <w:t xml:space="preserve">FDA GDUFA III goals letter</w:t>
        </w:r>
      </w:hyperlink>
      <w:r>
        <w:rPr>
          <w:rFonts w:ascii="Arial" w:hAnsi="Arial"/>
        </w:rPr>
        <w:t xml:space="preserve">). On that clock, a September 2026 filing points to</w:t>
      </w:r>
      <w:r>
        <w:rPr>
          <w:rFonts w:ascii="Arial" w:hAnsi="Arial"/>
        </w:rPr>
        <w:t xml:space="preserve"> </w:t>
      </w:r>
      <w:r>
        <w:rPr>
          <w:bCs/>
          <w:rFonts w:ascii="Arial" w:hAnsi="Arial"/>
          <w:b/>
        </w:rPr>
        <w:t xml:space="preserve">approval around July 2027 at the earliest (FY28)</w:t>
      </w:r>
      <w:r>
        <w:rPr>
          <w:rFonts w:ascii="Arial" w:hAnsi="Arial"/>
        </w:rPr>
        <w:t xml:space="preserve"> </w:t>
      </w:r>
      <w:r>
        <w:rPr>
          <w:rFonts w:ascii="Arial" w:hAnsi="Arial"/>
        </w:rPr>
        <w:t xml:space="preserve">for product one. Product two, due for filing in Q4 FY27 (</w:t>
      </w:r>
      <w:hyperlink r:id="rId31">
        <w:r>
          <w:rPr>
            <w:rStyle w:val="Hyperlink"/>
          </w:rPr>
          <w:t xml:space="preserve">Q1FY27 presentation</w:t>
        </w:r>
      </w:hyperlink>
      <w:r>
        <w:rPr>
          <w:rFonts w:ascii="Arial" w:hAnsi="Arial"/>
        </w:rPr>
        <w:t xml:space="preserve">), would follow around late 2027 or early 2028. Both are exposed to a pre-approval inspection of the Mhow plant. The company lists US FDA audits only at Rau and Pithampur (</w:t>
      </w:r>
      <w:hyperlink r:id="rId31">
        <w:r>
          <w:rPr>
            <w:rStyle w:val="Hyperlink"/>
          </w:rPr>
          <w:t xml:space="preserve">Q1FY27 presentation</w:t>
        </w:r>
      </w:hyperlink>
      <w:r>
        <w:rPr>
          <w:rFonts w:ascii="Arial" w:hAnsi="Arial"/>
        </w:rPr>
        <w:t xml:space="preserve">, slide 5), and the RHP describes Mhow as at R&amp;D and pilot scale (</w:t>
      </w:r>
      <w:hyperlink r:id="rId33">
        <w:r>
          <w:rPr>
            <w:rStyle w:val="Hyperlink"/>
          </w:rPr>
          <w:t xml:space="preserve">RHP</w:t>
        </w:r>
      </w:hyperlink>
      <w:r>
        <w:rPr>
          <w:rFonts w:ascii="Arial" w:hAnsi="Arial"/>
        </w:rPr>
        <w:t xml:space="preserve"> </w:t>
      </w:r>
      <w:r>
        <w:rPr>
          <w:rFonts w:ascii="Arial" w:hAnsi="Arial"/>
        </w:rPr>
        <w:t xml:space="preserve">p.30).</w:t>
      </w:r>
    </w:p>
    <w:p>
      <w:pPr>
        <w:pStyle w:val="BodyText"/>
      </w:pPr>
      <w:r>
        <w:rPr>
          <w:rFonts w:ascii="Arial" w:hAnsi="Arial"/>
        </w:rPr>
        <w:t xml:space="preserve">ICICI models FY29E complex-injectables revenue at ₹207.7 cr (</w:t>
      </w:r>
      <w:hyperlink r:id="rId78">
        <w:r>
          <w:rPr>
            <w:rStyle w:val="Hyperlink"/>
          </w:rPr>
          <w:t xml:space="preserve">ICICI Direct</w:t>
        </w:r>
      </w:hyperlink>
      <w:r>
        <w:rPr>
          <w:rFonts w:ascii="Arial" w:hAnsi="Arial"/>
        </w:rPr>
        <w:t xml:space="preserve">). That is ≈US$24 mn at an assumed ₹86.5/US$, or about 8% of US$288 mn (our calculation). Under a profit-share model Symbiotec books its transfer price plus its share, not the partner's net sales, so that implies meaningful but not dominant penetration (inference).</w:t>
      </w:r>
    </w:p>
    <w:bookmarkEnd w:id="92"/>
    <w:bookmarkStart w:id="94" w:name="adjacent-threats"/>
    <w:p>
      <w:pPr>
        <w:pStyle w:val="Heading3"/>
      </w:pPr>
      <w:r>
        <w:rPr>
          <w:rFonts w:ascii="Arial" w:hAnsi="Arial"/>
        </w:rPr>
        <w:t xml:space="preserve">Adjacent threats</w:t>
      </w:r>
    </w:p>
    <w:p>
      <w:pPr>
        <w:pStyle w:val="FirstParagraph"/>
      </w:pPr>
      <w:r>
        <w:rPr>
          <w:rFonts w:ascii="Arial" w:hAnsi="Arial"/>
        </w:rPr>
        <w:t xml:space="preserve">Two adjacent threats sit outside the ANDA queue:</w:t>
      </w:r>
    </w:p>
    <w:p>
      <w:pPr>
        <w:numPr>
          <w:ilvl w:val="0"/>
          <w:numId w:val="1014"/>
        </w:numPr>
        <w:pStyle w:val="Compact"/>
      </w:pPr>
      <w:r>
        <w:rPr>
          <w:rFonts w:ascii="Arial" w:hAnsi="Arial"/>
        </w:rPr>
        <w:t xml:space="preserve">On 19 November 2024 FDA reopened the ANDA route to Hydrocortone (hydrocortisone sodium phosphate) injection (</w:t>
      </w:r>
      <w:hyperlink r:id="rId93">
        <w:r>
          <w:rPr>
            <w:rStyle w:val="Hyperlink"/>
          </w:rPr>
          <w:t xml:space="preserve">Federal Register 2024-26916</w:t>
        </w:r>
      </w:hyperlink>
      <w:r>
        <w:rPr>
          <w:rFonts w:ascii="Arial" w:hAnsi="Arial"/>
        </w:rPr>
        <w:t xml:space="preserve">).</w:t>
      </w:r>
    </w:p>
    <w:p>
      <w:pPr>
        <w:numPr>
          <w:ilvl w:val="0"/>
          <w:numId w:val="1014"/>
        </w:numPr>
        <w:pStyle w:val="Compact"/>
      </w:pPr>
      <w:r>
        <w:rPr>
          <w:rFonts w:ascii="Arial" w:hAnsi="Arial"/>
        </w:rPr>
        <w:t xml:space="preserve">Henan Lihua filed a hydrocortisone sodium succinate DMF in September 2025, a possible precursor to Chinese finished-dose filers (</w:t>
      </w:r>
      <w:hyperlink r:id="rId49">
        <w:r>
          <w:rPr>
            <w:rStyle w:val="Hyperlink"/>
          </w:rPr>
          <w:t xml:space="preserve">FDA DMF list</w:t>
        </w:r>
      </w:hyperlink>
      <w:r>
        <w:rPr>
          <w:rFonts w:ascii="Arial" w:hAnsi="Arial"/>
        </w:rPr>
        <w:t xml:space="preserve">).</w:t>
      </w:r>
    </w:p>
    <w:bookmarkEnd w:id="94"/>
    <w:bookmarkEnd w:id="95"/>
    <w:bookmarkStart w:id="103" w:name="X15e769ad87f0230380f4ce8980c22eb208379d8"/>
    <w:p>
      <w:pPr>
        <w:pStyle w:val="Heading2"/>
      </w:pPr>
      <w:r>
        <w:rPr>
          <w:rFonts w:ascii="Arial" w:hAnsi="Arial"/>
        </w:rPr>
        <w:t xml:space="preserve">Depo-Medrol is a crowded, shortage-bound API story, not a DCV one</w:t>
      </w:r>
    </w:p>
    <w:p>
      <w:pPr>
        <w:pStyle w:val="FirstParagraph"/>
      </w:pPr>
      <w:r>
        <w:rPr>
          <w:rFonts w:ascii="Arial" w:hAnsi="Arial"/>
        </w:rPr>
        <w:t xml:space="preserve">Methylprednisolone acetate (MPA) matters to Symbiotec as an API (DMF 24611,</w:t>
      </w:r>
      <w:r>
        <w:rPr>
          <w:rFonts w:ascii="Arial" w:hAnsi="Arial"/>
        </w:rPr>
        <w:t xml:space="preserve"> </w:t>
      </w:r>
      <w:hyperlink r:id="rId49">
        <w:r>
          <w:rPr>
            <w:rStyle w:val="Hyperlink"/>
          </w:rPr>
          <w:t xml:space="preserve">FDA DMF list</w:t>
        </w:r>
      </w:hyperlink>
      <w:r>
        <w:rPr>
          <w:rFonts w:ascii="Arial" w:hAnsi="Arial"/>
        </w:rPr>
        <w:t xml:space="preserve">; bulk NDC 22552-0023,</w:t>
      </w:r>
      <w:r>
        <w:rPr>
          <w:rFonts w:ascii="Arial" w:hAnsi="Arial"/>
        </w:rPr>
        <w:t xml:space="preserve"> </w:t>
      </w:r>
      <w:hyperlink r:id="rId96">
        <w:r>
          <w:rPr>
            <w:rStyle w:val="Hyperlink"/>
          </w:rPr>
          <w:t xml:space="preserve">openFDA NDC, Symbiotec</w:t>
        </w:r>
      </w:hyperlink>
      <w:r>
        <w:rPr>
          <w:rFonts w:ascii="Arial" w:hAnsi="Arial"/>
        </w:rPr>
        <w:t xml:space="preserve">), not as a DCV.</w:t>
      </w:r>
    </w:p>
    <w:bookmarkStart w:id="98" w:name="approvals-versus-actual-sellers"/>
    <w:p>
      <w:pPr>
        <w:pStyle w:val="Heading3"/>
      </w:pPr>
      <w:r>
        <w:rPr>
          <w:rFonts w:ascii="Arial" w:hAnsi="Arial"/>
        </w:rPr>
        <w:t xml:space="preserve">Approvals versus actual sellers</w:t>
      </w:r>
    </w:p>
    <w:p>
      <w:pPr>
        <w:pStyle w:val="FirstParagraph"/>
      </w:pPr>
      <w:r>
        <w:rPr>
          <w:rFonts w:ascii="Arial" w:hAnsi="Arial"/>
        </w:rPr>
        <w:t xml:space="preserve">MPA is the most contested of the three molecules on paper. It has</w:t>
      </w:r>
      <w:r>
        <w:rPr>
          <w:rFonts w:ascii="Arial" w:hAnsi="Arial"/>
        </w:rPr>
        <w:t xml:space="preserve"> </w:t>
      </w:r>
      <w:r>
        <w:rPr>
          <w:bCs/>
          <w:rFonts w:ascii="Arial" w:hAnsi="Arial"/>
          <w:b/>
        </w:rPr>
        <w:t xml:space="preserve">11 active ANDAs from 9 holders, 8 of them approved in 2018–2026</w:t>
      </w:r>
      <w:r>
        <w:rPr>
          <w:rFonts w:ascii="Arial" w:hAnsi="Arial"/>
        </w:rPr>
        <w:t xml:space="preserve">, the latest being Hikma's 80 mg/mL (April 2025) and Caplin's 40/80 mg/mL (January 2026) (</w:t>
      </w:r>
      <w:hyperlink r:id="rId20">
        <w:r>
          <w:rPr>
            <w:rStyle w:val="Hyperlink"/>
          </w:rPr>
          <w:t xml:space="preserve">Orange Book</w:t>
        </w:r>
      </w:hyperlink>
      <w:r>
        <w:rPr>
          <w:rFonts w:ascii="Arial" w:hAnsi="Arial"/>
        </w:rPr>
        <w:t xml:space="preserve">). The actual sellers in the October 2026 J1010 crosswalk are fewer:</w:t>
      </w:r>
    </w:p>
    <w:p>
      <w:pPr>
        <w:numPr>
          <w:ilvl w:val="0"/>
          <w:numId w:val="1015"/>
        </w:numPr>
        <w:pStyle w:val="Compact"/>
      </w:pPr>
      <w:r>
        <w:rPr>
          <w:rFonts w:ascii="Arial" w:hAnsi="Arial"/>
        </w:rPr>
        <w:t xml:space="preserve">Pfizer (Depo-Medrol)</w:t>
      </w:r>
    </w:p>
    <w:p>
      <w:pPr>
        <w:numPr>
          <w:ilvl w:val="0"/>
          <w:numId w:val="1015"/>
        </w:numPr>
        <w:pStyle w:val="Compact"/>
      </w:pPr>
      <w:r>
        <w:rPr>
          <w:rFonts w:ascii="Arial" w:hAnsi="Arial"/>
        </w:rPr>
        <w:t xml:space="preserve">Amneal (two labeler codes)</w:t>
      </w:r>
    </w:p>
    <w:p>
      <w:pPr>
        <w:numPr>
          <w:ilvl w:val="0"/>
          <w:numId w:val="1015"/>
        </w:numPr>
        <w:pStyle w:val="Compact"/>
      </w:pPr>
      <w:r>
        <w:rPr>
          <w:rFonts w:ascii="Arial" w:hAnsi="Arial"/>
        </w:rPr>
        <w:t xml:space="preserve">Sagent</w:t>
      </w:r>
    </w:p>
    <w:p>
      <w:pPr>
        <w:numPr>
          <w:ilvl w:val="0"/>
          <w:numId w:val="1015"/>
        </w:numPr>
        <w:pStyle w:val="Compact"/>
      </w:pPr>
      <w:r>
        <w:rPr>
          <w:rFonts w:ascii="Arial" w:hAnsi="Arial"/>
        </w:rPr>
        <w:t xml:space="preserve">Sandoz, selling under Wilshire's ANDA 214870</w:t>
      </w:r>
    </w:p>
    <w:p>
      <w:pPr>
        <w:numPr>
          <w:ilvl w:val="0"/>
          <w:numId w:val="1015"/>
        </w:numPr>
        <w:pStyle w:val="Compact"/>
      </w:pPr>
      <w:r>
        <w:rPr>
          <w:rFonts w:ascii="Arial" w:hAnsi="Arial"/>
        </w:rPr>
        <w:t xml:space="preserve">Endo/Par, selling under PH Health's ANDA 214297</w:t>
      </w:r>
    </w:p>
    <w:p>
      <w:pPr>
        <w:numPr>
          <w:ilvl w:val="0"/>
          <w:numId w:val="1015"/>
        </w:numPr>
        <w:pStyle w:val="Compact"/>
      </w:pPr>
      <w:r>
        <w:rPr>
          <w:rFonts w:ascii="Arial" w:hAnsi="Arial"/>
        </w:rPr>
        <w:t xml:space="preserve">Eugia</w:t>
      </w:r>
    </w:p>
    <w:p>
      <w:pPr>
        <w:numPr>
          <w:ilvl w:val="0"/>
          <w:numId w:val="1015"/>
        </w:numPr>
        <w:pStyle w:val="Compact"/>
      </w:pPr>
      <w:r>
        <w:rPr>
          <w:rFonts w:ascii="Arial" w:hAnsi="Arial"/>
        </w:rPr>
        <w:t xml:space="preserve">Caplin, newly listed in February 2026</w:t>
      </w:r>
    </w:p>
    <w:p>
      <w:pPr>
        <w:pStyle w:val="FirstParagraph"/>
      </w:pPr>
      <w:r>
        <w:rPr>
          <w:rFonts w:ascii="Arial" w:hAnsi="Arial"/>
        </w:rPr>
        <w:t xml:space="preserve">Source:</w:t>
      </w:r>
      <w:r>
        <w:rPr>
          <w:rFonts w:ascii="Arial" w:hAnsi="Arial"/>
        </w:rPr>
        <w:t xml:space="preserve"> </w:t>
      </w:r>
      <w:hyperlink r:id="rId22">
        <w:r>
          <w:rPr>
            <w:rStyle w:val="Hyperlink"/>
          </w:rPr>
          <w:t xml:space="preserve">CMS Oct 2026 crosswalk</w:t>
        </w:r>
      </w:hyperlink>
      <w:r>
        <w:rPr>
          <w:rFonts w:ascii="Arial" w:hAnsi="Arial"/>
        </w:rPr>
        <w:t xml:space="preserve">; ANDA links via</w:t>
      </w:r>
      <w:r>
        <w:rPr>
          <w:rFonts w:ascii="Arial" w:hAnsi="Arial"/>
        </w:rPr>
        <w:t xml:space="preserve"> </w:t>
      </w:r>
      <w:hyperlink r:id="rId97">
        <w:r>
          <w:rPr>
            <w:rStyle w:val="Hyperlink"/>
          </w:rPr>
          <w:t xml:space="preserve">RxNav</w:t>
        </w:r>
      </w:hyperlink>
      <w:r>
        <w:rPr>
          <w:rFonts w:ascii="Arial" w:hAnsi="Arial"/>
        </w:rPr>
        <w:t xml:space="preserve">. Teva, the main MPA generic in 2019–2022 with 28.1% of Medicaid claims in 2021, has exited (our calculation from SDUD; Medicaid_SDUD sheet of the workbook). Its last crosswalk appearance was Q1 2024 (</w:t>
      </w:r>
      <w:hyperlink r:id="rId26">
        <w:r>
          <w:rPr>
            <w:rStyle w:val="Hyperlink"/>
          </w:rPr>
          <w:t xml:space="preserve">CMS ASP files</w:t>
        </w:r>
      </w:hyperlink>
      <w:r>
        <w:rPr>
          <w:rFonts w:ascii="Arial" w:hAnsi="Arial"/>
        </w:rPr>
        <w:t xml:space="preserve">).</w:t>
      </w:r>
    </w:p>
    <w:bookmarkEnd w:id="98"/>
    <w:bookmarkStart w:id="99" w:name="share-and-pricing"/>
    <w:p>
      <w:pPr>
        <w:pStyle w:val="Heading3"/>
      </w:pPr>
      <w:r>
        <w:rPr>
          <w:rFonts w:ascii="Arial" w:hAnsi="Arial"/>
        </w:rPr>
        <w:t xml:space="preserve">Share and pricing</w:t>
      </w:r>
    </w:p>
    <w:p>
      <w:pPr>
        <w:pStyle w:val="FirstParagraph"/>
      </w:pPr>
      <w:r>
        <w:rPr>
          <w:rFonts w:ascii="Arial" w:hAnsi="Arial"/>
        </w:rPr>
        <w:t xml:space="preserve">Pfizer holds 57.3% of Medicaid MPA claims in Q1 2026 (</w:t>
      </w:r>
      <w:hyperlink r:id="rId25">
        <w:r>
          <w:rPr>
            <w:rStyle w:val="Hyperlink"/>
          </w:rPr>
          <w:t xml:space="preserve">SDUD 2026</w:t>
        </w:r>
      </w:hyperlink>
      <w:r>
        <w:rPr>
          <w:rFonts w:ascii="Arial" w:hAnsi="Arial"/>
        </w:rPr>
        <w:t xml:space="preserve">) but only 7.4% of Part D claims in 2024 (</w:t>
      </w:r>
      <w:hyperlink r:id="rId59">
        <w:r>
          <w:rPr>
            <w:rStyle w:val="Hyperlink"/>
          </w:rPr>
          <w:t xml:space="preserve">Part D DY2024</w:t>
        </w:r>
      </w:hyperlink>
      <w:r>
        <w:rPr>
          <w:rFonts w:ascii="Arial" w:hAnsi="Arial"/>
        </w:rPr>
        <w:t xml:space="preserve">). The 40 mg/mL brand and generic reimburse within a few percent of each other (</w:t>
      </w:r>
      <w:hyperlink r:id="rId35">
        <w:r>
          <w:rPr>
            <w:rStyle w:val="Hyperlink"/>
          </w:rPr>
          <w:t xml:space="preserve">SDUD 2025</w:t>
        </w:r>
      </w:hyperlink>
      <w:r>
        <w:rPr>
          <w:rFonts w:ascii="Arial" w:hAnsi="Arial"/>
        </w:rPr>
        <w:t xml:space="preserve">). Generic NADAC (US$7.49/mL for Amneal 40 mg/mL) actually sits above brand (US$6.90/mL) (</w:t>
      </w:r>
      <w:hyperlink r:id="rId27">
        <w:r>
          <w:rPr>
            <w:rStyle w:val="Hyperlink"/>
          </w:rPr>
          <w:t xml:space="preserve">NADAC 2026</w:t>
        </w:r>
      </w:hyperlink>
      <w:r>
        <w:rPr>
          <w:rFonts w:ascii="Arial" w:hAnsi="Arial"/>
        </w:rPr>
        <w:t xml:space="preserve">). J1010 ASP has slipped 8.2% since Q2 2024, to US$4.64 per 40 mg/mL vial and US$9.28 per 80 mg/mL vial in Q4 2026 (our calculation from</w:t>
      </w:r>
      <w:r>
        <w:rPr>
          <w:rFonts w:ascii="Arial" w:hAnsi="Arial"/>
        </w:rPr>
        <w:t xml:space="preserve"> </w:t>
      </w:r>
      <w:hyperlink r:id="rId26">
        <w:r>
          <w:rPr>
            <w:rStyle w:val="Hyperlink"/>
          </w:rPr>
          <w:t xml:space="preserve">CMS ASP files</w:t>
        </w:r>
      </w:hyperlink>
      <w:r>
        <w:rPr>
          <w:rFonts w:ascii="Arial" w:hAnsi="Arial"/>
        </w:rPr>
        <w:t xml:space="preserve">).</w:t>
      </w:r>
    </w:p>
    <w:bookmarkEnd w:id="99"/>
    <w:bookmarkStart w:id="102" w:name="market-size-and-shortage"/>
    <w:p>
      <w:pPr>
        <w:pStyle w:val="Heading3"/>
      </w:pPr>
      <w:r>
        <w:rPr>
          <w:rFonts w:ascii="Arial" w:hAnsi="Arial"/>
        </w:rPr>
        <w:t xml:space="preserve">Market size and shortage</w:t>
      </w:r>
    </w:p>
    <w:p>
      <w:pPr>
        <w:pStyle w:val="FirstParagraph"/>
      </w:pPr>
      <w:r>
        <w:rPr>
          <w:rFonts w:ascii="Arial" w:hAnsi="Arial"/>
        </w:rPr>
        <w:t xml:space="preserve">Caplin cites IQVIA US sales of</w:t>
      </w:r>
      <w:r>
        <w:rPr>
          <w:rFonts w:ascii="Arial" w:hAnsi="Arial"/>
        </w:rPr>
        <w:t xml:space="preserve"> </w:t>
      </w:r>
      <w:r>
        <w:rPr>
          <w:bCs/>
          <w:rFonts w:ascii="Arial" w:hAnsi="Arial"/>
          <w:b/>
        </w:rPr>
        <w:t xml:space="preserve">US$57.4 mn for 40/80 mg/mL single-dose vials (12 months to November 2025)</w:t>
      </w:r>
      <w:r>
        <w:rPr>
          <w:rFonts w:ascii="Arial" w:hAnsi="Arial"/>
        </w:rPr>
        <w:t xml:space="preserve"> </w:t>
      </w:r>
      <w:r>
        <w:rPr>
          <w:rFonts w:ascii="Arial" w:hAnsi="Arial"/>
        </w:rPr>
        <w:t xml:space="preserve">(</w:t>
      </w:r>
      <w:hyperlink r:id="rId100">
        <w:r>
          <w:rPr>
            <w:rStyle w:val="Hyperlink"/>
          </w:rPr>
          <w:t xml:space="preserve">Caplin BSE filing</w:t>
        </w:r>
      </w:hyperlink>
      <w:r>
        <w:rPr>
          <w:rFonts w:ascii="Arial" w:hAnsi="Arial"/>
        </w:rPr>
        <w:t xml:space="preserve">). The product has been on</w:t>
      </w:r>
      <w:r>
        <w:rPr>
          <w:rFonts w:ascii="Arial" w:hAnsi="Arial"/>
        </w:rPr>
        <w:t xml:space="preserve"> </w:t>
      </w:r>
      <w:r>
        <w:rPr>
          <w:bCs/>
          <w:rFonts w:ascii="Arial" w:hAnsi="Arial"/>
          <w:b/>
        </w:rPr>
        <w:t xml:space="preserve">FDA's shortage list since 15 December 2021</w:t>
      </w:r>
      <w:r>
        <w:rPr>
          <w:rFonts w:ascii="Arial" w:hAnsi="Arial"/>
        </w:rPr>
        <w:t xml:space="preserve">, still "Current" in October 2026. Sagent cites a "shortage of an active ingredient", and some Pfizer NDCs have recovery dates running to March 2027 (</w:t>
      </w:r>
      <w:hyperlink r:id="rId101">
        <w:r>
          <w:rPr>
            <w:rStyle w:val="Hyperlink"/>
          </w:rPr>
          <w:t xml:space="preserve">openFDA shortages</w:t>
        </w:r>
      </w:hyperlink>
      <w:r>
        <w:rPr>
          <w:rFonts w:ascii="Arial" w:hAnsi="Arial"/>
        </w:rPr>
        <w:t xml:space="preserve">). An API shortage in a market with many approved but idle ANDAs is a direct API-sales opportunity for an established MPA DMF holder (inference).</w:t>
      </w:r>
    </w:p>
    <w:bookmarkEnd w:id="102"/>
    <w:bookmarkEnd w:id="103"/>
    <w:bookmarkStart w:id="104" w:name="Xb3ebaa31d308429f54d7a8d36f9674911cc2546"/>
    <w:p>
      <w:pPr>
        <w:pStyle w:val="Heading2"/>
        <w:keepNext/>
      </w:pPr>
      <w:r>
        <w:rPr>
          <w:rFonts w:ascii="Arial" w:hAnsi="Arial"/>
        </w:rPr>
        <w:t xml:space="preserve">Where the notes disagree, and which source wins</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3167"/>
        <w:gridCol w:w="3461"/>
        <w:gridCol w:w="3461"/>
      </w:tblGrid>
      <w:tr>
        <w:trPr>
          <w:tblHeader w:val="true"/>
          <w:tblHeader w:val="true"/>
          <w:cantSplit/>
        </w:trPr>
        <w:tc>
          <w:tcPr>
            <w:tcW w:type="dxa" w:w="3168"/>
            <w:shd w:val="clear" w:color="auto" w:fill="1F3864"/>
          </w:tcPr>
          <w:p>
            <w:pPr>
              <w:pStyle w:val="Compact"/>
              <w:spacing w:after="0" w:before="0" w:line="240" w:lineRule="auto"/>
              <w:jc w:val="left"/>
            </w:pPr>
            <w:r>
              <w:rPr>
                <w:rFonts w:ascii="Arial" w:hAnsi="Arial"/>
                <w:b/>
                <w:color w:val="FFFFFF"/>
                <w:sz w:val="16"/>
              </w:rPr>
              <w:t xml:space="preserve">Issue</w:t>
            </w:r>
          </w:p>
        </w:tc>
        <w:tc>
          <w:tcPr>
            <w:tcW w:type="dxa" w:w="3462"/>
            <w:shd w:val="clear" w:color="auto" w:fill="1F3864"/>
          </w:tcPr>
          <w:p>
            <w:pPr>
              <w:pStyle w:val="Compact"/>
              <w:spacing w:after="0" w:before="0" w:line="240" w:lineRule="auto"/>
              <w:jc w:val="left"/>
            </w:pPr>
            <w:r>
              <w:rPr>
                <w:rFonts w:ascii="Arial" w:hAnsi="Arial"/>
                <w:b/>
                <w:color w:val="FFFFFF"/>
                <w:sz w:val="16"/>
              </w:rPr>
              <w:t xml:space="preserve">Conflict across sources</w:t>
            </w:r>
          </w:p>
        </w:tc>
        <w:tc>
          <w:tcPr>
            <w:tcW w:type="dxa" w:w="3462"/>
            <w:shd w:val="clear" w:color="auto" w:fill="1F3864"/>
          </w:tcPr>
          <w:p>
            <w:pPr>
              <w:pStyle w:val="Compact"/>
              <w:spacing w:after="0" w:before="0" w:line="240" w:lineRule="auto"/>
              <w:jc w:val="left"/>
            </w:pPr>
            <w:r>
              <w:rPr>
                <w:rFonts w:ascii="Arial" w:hAnsi="Arial"/>
                <w:b/>
                <w:color w:val="FFFFFF"/>
                <w:sz w:val="16"/>
              </w:rPr>
              <w:t xml:space="preserve">Resolution</w:t>
            </w:r>
          </w:p>
        </w:tc>
      </w:tr>
      <w:tr>
        <w:trPr>
          <w:cantSplit/>
        </w:trPr>
        <w:tc>
          <w:tcPr>
            <w:tcW w:type="dxa" w:w="3168"/>
          </w:tcPr>
          <w:p>
            <w:pPr>
              <w:pStyle w:val="Compact"/>
              <w:spacing w:after="0" w:before="0" w:line="240" w:lineRule="auto"/>
              <w:jc w:val="left"/>
            </w:pPr>
            <w:r>
              <w:rPr>
                <w:rFonts w:ascii="Arial" w:hAnsi="Arial"/>
                <w:sz w:val="16"/>
              </w:rPr>
              <w:t xml:space="preserve">Count of active MPSS generic players</w:t>
            </w:r>
          </w:p>
        </w:tc>
        <w:tc>
          <w:tcPr>
            <w:tcW w:type="dxa" w:w="3462"/>
          </w:tcPr>
          <w:p>
            <w:pPr>
              <w:pStyle w:val="Compact"/>
              <w:spacing w:after="0" w:before="0" w:line="240" w:lineRule="auto"/>
              <w:jc w:val="left"/>
            </w:pPr>
            <w:r>
              <w:rPr>
                <w:rFonts w:ascii="Arial" w:hAnsi="Arial"/>
                <w:sz w:val="16"/>
              </w:rPr>
              <w:t xml:space="preserve">Orange Book: 5 active ANDA holders (plus Eugia, discontinued). NDC directory: 7 generic labelers on 5 plants. Oct 2026 ASP crosswalk: 4 generic labelers. Medicaid: 3 at ≥1% (plus Civica). ICICI: "&gt;5 generic players".</w:t>
            </w:r>
          </w:p>
        </w:tc>
        <w:tc>
          <w:tcPr>
            <w:tcW w:type="dxa" w:w="3462"/>
          </w:tcPr>
          <w:p>
            <w:pPr>
              <w:pStyle w:val="Compact"/>
              <w:spacing w:after="0" w:before="0" w:line="240" w:lineRule="auto"/>
              <w:jc w:val="left"/>
            </w:pPr>
            <w:r>
              <w:rPr>
                <w:bCs/>
                <w:rFonts w:ascii="Arial" w:hAnsi="Arial"/>
                <w:b/>
                <w:sz w:val="16"/>
              </w:rPr>
              <w:t xml:space="preserve">Trust crosswalk + SDUD for commercial competition: 4 labelers on 3 plants</w:t>
            </w:r>
            <w:r>
              <w:rPr>
                <w:rFonts w:ascii="Arial" w:hAnsi="Arial"/>
                <w:sz w:val="16"/>
              </w:rPr>
              <w:t xml:space="preserve"> </w:t>
            </w:r>
            <w:r>
              <w:rPr>
                <w:rFonts w:ascii="Arial" w:hAnsi="Arial"/>
                <w:sz w:val="16"/>
              </w:rPr>
              <w:t xml:space="preserve">(Kingyork via DRL, Fresenius, Hikma including Civica), with Amneal residual. The Orange Book and NDC counts include dormant approvals (Sagent: no NDC; Amneal: out of crosswalk since Q3 2022; Kingyork's own label: no ASP or SDUD footprint).</w:t>
            </w:r>
          </w:p>
        </w:tc>
      </w:tr>
      <w:tr>
        <w:trPr>
          <w:cantSplit/>
        </w:trPr>
        <w:tc>
          <w:tcPr>
            <w:tcW w:type="dxa" w:w="3168"/>
          </w:tcPr>
          <w:p>
            <w:pPr>
              <w:pStyle w:val="Compact"/>
              <w:spacing w:after="0" w:before="0" w:line="240" w:lineRule="auto"/>
              <w:jc w:val="left"/>
            </w:pPr>
            <w:r>
              <w:rPr>
                <w:rFonts w:ascii="Arial" w:hAnsi="Arial"/>
                <w:sz w:val="16"/>
              </w:rPr>
              <w:t xml:space="preserve">Eugia MPSS (ANDA 207667)</w:t>
            </w:r>
          </w:p>
        </w:tc>
        <w:tc>
          <w:tcPr>
            <w:tcW w:type="dxa" w:w="3462"/>
          </w:tcPr>
          <w:p>
            <w:pPr>
              <w:pStyle w:val="Compact"/>
              <w:spacing w:after="0" w:before="0" w:line="240" w:lineRule="auto"/>
              <w:jc w:val="left"/>
            </w:pPr>
            <w:r>
              <w:rPr>
                <w:rFonts w:ascii="Arial" w:hAnsi="Arial"/>
                <w:sz w:val="16"/>
              </w:rPr>
              <w:t xml:space="preserve">Orange Book and Drugs@FDA: discontinued. NDC directory: active listings with a June 2026 SPL.</w:t>
            </w:r>
          </w:p>
        </w:tc>
        <w:tc>
          <w:tcPr>
            <w:tcW w:type="dxa" w:w="3462"/>
          </w:tcPr>
          <w:p>
            <w:pPr>
              <w:pStyle w:val="Compact"/>
              <w:spacing w:after="0" w:before="0" w:line="240" w:lineRule="auto"/>
              <w:jc w:val="left"/>
            </w:pPr>
            <w:r>
              <w:rPr>
                <w:bCs/>
                <w:rFonts w:ascii="Arial" w:hAnsi="Arial"/>
                <w:b/>
                <w:sz w:val="16"/>
              </w:rPr>
              <w:t xml:space="preserve">Trust the Orange Book</w:t>
            </w:r>
            <w:r>
              <w:rPr>
                <w:rFonts w:ascii="Arial" w:hAnsi="Arial"/>
                <w:sz w:val="16"/>
              </w:rPr>
              <w:t xml:space="preserve">, backed by no crosswalk entry and no SDUD volume. Treat as inactive. Eugia is active in MPA under a different ANDA (211930).</w:t>
            </w:r>
          </w:p>
        </w:tc>
      </w:tr>
      <w:tr>
        <w:trPr>
          <w:cantSplit/>
        </w:trPr>
        <w:tc>
          <w:tcPr>
            <w:tcW w:type="dxa" w:w="3168"/>
          </w:tcPr>
          <w:p>
            <w:pPr>
              <w:pStyle w:val="Compact"/>
              <w:spacing w:after="0" w:before="0" w:line="240" w:lineRule="auto"/>
              <w:jc w:val="left"/>
            </w:pPr>
            <w:r>
              <w:rPr>
                <w:rFonts w:ascii="Arial" w:hAnsi="Arial"/>
                <w:sz w:val="16"/>
              </w:rPr>
              <w:t xml:space="preserve">Teva in MPA</w:t>
            </w:r>
          </w:p>
        </w:tc>
        <w:tc>
          <w:tcPr>
            <w:tcW w:type="dxa" w:w="3462"/>
          </w:tcPr>
          <w:p>
            <w:pPr>
              <w:pStyle w:val="Compact"/>
              <w:spacing w:after="0" w:before="0" w:line="240" w:lineRule="auto"/>
              <w:jc w:val="left"/>
            </w:pPr>
            <w:r>
              <w:rPr>
                <w:rFonts w:ascii="Arial" w:hAnsi="Arial"/>
                <w:sz w:val="16"/>
              </w:rPr>
              <w:t xml:space="preserve">Landscape notes: Teva's ANDA 040620 discontinued, no active Teva MPA. SDUD and crosswalk: Teva (Sicor, 00703) and Northstar sold MPA under ANDAs 040557/040620, with 28% of Medicaid claims in 2021 and in the crosswalk to Q1 2024.</w:t>
            </w:r>
          </w:p>
        </w:tc>
        <w:tc>
          <w:tcPr>
            <w:tcW w:type="dxa" w:w="3462"/>
          </w:tcPr>
          <w:p>
            <w:pPr>
              <w:pStyle w:val="Compact"/>
              <w:spacing w:after="0" w:before="0" w:line="240" w:lineRule="auto"/>
              <w:jc w:val="left"/>
            </w:pPr>
            <w:r>
              <w:rPr>
                <w:bCs/>
                <w:rFonts w:ascii="Arial" w:hAnsi="Arial"/>
                <w:b/>
                <w:sz w:val="16"/>
              </w:rPr>
              <w:t xml:space="preserve">Both are right for their dates.</w:t>
            </w:r>
            <w:r>
              <w:rPr>
                <w:rFonts w:ascii="Arial" w:hAnsi="Arial"/>
                <w:sz w:val="16"/>
              </w:rPr>
              <w:t xml:space="preserve"> </w:t>
            </w:r>
            <w:r>
              <w:rPr>
                <w:rFonts w:ascii="Arial" w:hAnsi="Arial"/>
                <w:sz w:val="16"/>
              </w:rPr>
              <w:t xml:space="preserve">Teva was a major MPA generic to ~2022 and has exited (0.0% in 2025). ANDA 040557 now sits under Emerge Bioscience in the Orange Book (RX, no NDC); a transfer from Teva is likely but unverified.</w:t>
            </w:r>
          </w:p>
        </w:tc>
      </w:tr>
      <w:tr>
        <w:trPr>
          <w:cantSplit/>
        </w:trPr>
        <w:tc>
          <w:tcPr>
            <w:tcW w:type="dxa" w:w="3168"/>
          </w:tcPr>
          <w:p>
            <w:pPr>
              <w:pStyle w:val="Compact"/>
              <w:spacing w:after="0" w:before="0" w:line="240" w:lineRule="auto"/>
              <w:jc w:val="left"/>
            </w:pPr>
            <w:r>
              <w:rPr>
                <w:rFonts w:ascii="Arial" w:hAnsi="Arial"/>
                <w:sz w:val="16"/>
              </w:rPr>
              <w:t xml:space="preserve">MPA marketers Par and Sandoz</w:t>
            </w:r>
          </w:p>
        </w:tc>
        <w:tc>
          <w:tcPr>
            <w:tcW w:type="dxa" w:w="3462"/>
          </w:tcPr>
          <w:p>
            <w:pPr>
              <w:pStyle w:val="Compact"/>
              <w:spacing w:after="0" w:before="0" w:line="240" w:lineRule="auto"/>
              <w:jc w:val="left"/>
            </w:pPr>
            <w:r>
              <w:rPr>
                <w:rFonts w:ascii="Arial" w:hAnsi="Arial"/>
                <w:sz w:val="16"/>
              </w:rPr>
              <w:t xml:space="preserve">Landscape notes: PH Health (214297) and Wilshire (214870) have no NDC listing, and Par's shortage-listed NDC had an unknown ANDA.</w:t>
            </w:r>
          </w:p>
        </w:tc>
        <w:tc>
          <w:tcPr>
            <w:tcW w:type="dxa" w:w="3462"/>
          </w:tcPr>
          <w:p>
            <w:pPr>
              <w:pStyle w:val="Compact"/>
              <w:spacing w:after="0" w:before="0" w:line="240" w:lineRule="auto"/>
              <w:jc w:val="left"/>
            </w:pPr>
            <w:r>
              <w:rPr>
                <w:bCs/>
                <w:rFonts w:ascii="Arial" w:hAnsi="Arial"/>
                <w:b/>
                <w:sz w:val="16"/>
              </w:rPr>
              <w:t xml:space="preserve">RxNav-based NDC map and crosswalk win.</w:t>
            </w:r>
            <w:r>
              <w:rPr>
                <w:rFonts w:ascii="Arial" w:hAnsi="Arial"/>
                <w:sz w:val="16"/>
              </w:rPr>
              <w:t xml:space="preserve"> </w:t>
            </w:r>
            <w:r>
              <w:rPr>
                <w:rFonts w:ascii="Arial" w:hAnsi="Arial"/>
                <w:sz w:val="16"/>
              </w:rPr>
              <w:t xml:space="preserve">Par's NDCs 42023-238/-239/-240 map to ANDA 214297, and Sandoz's 0781-3516/-3522 map to ANDA 214870. Both are in the Oct 2026 crosswalk.</w:t>
            </w:r>
          </w:p>
        </w:tc>
      </w:tr>
      <w:tr>
        <w:trPr>
          <w:cantSplit/>
        </w:trPr>
        <w:tc>
          <w:tcPr>
            <w:tcW w:type="dxa" w:w="3168"/>
          </w:tcPr>
          <w:p>
            <w:pPr>
              <w:pStyle w:val="Compact"/>
              <w:spacing w:after="0" w:before="0" w:line="240" w:lineRule="auto"/>
              <w:jc w:val="left"/>
            </w:pPr>
            <w:r>
              <w:rPr>
                <w:rFonts w:ascii="Arial" w:hAnsi="Arial"/>
                <w:sz w:val="16"/>
              </w:rPr>
              <w:t xml:space="preserve">Source manufacturer for DRL and Civica</w:t>
            </w:r>
          </w:p>
        </w:tc>
        <w:tc>
          <w:tcPr>
            <w:tcW w:type="dxa" w:w="3462"/>
          </w:tcPr>
          <w:p>
            <w:pPr>
              <w:pStyle w:val="Compact"/>
              <w:spacing w:after="0" w:before="0" w:line="240" w:lineRule="auto"/>
              <w:jc w:val="left"/>
            </w:pPr>
            <w:r>
              <w:rPr>
                <w:rFonts w:ascii="Arial" w:hAnsi="Arial"/>
                <w:sz w:val="16"/>
              </w:rPr>
              <w:t xml:space="preserve">ASP notes: DRL "probably Kingyork", Civica unknown.</w:t>
            </w:r>
          </w:p>
        </w:tc>
        <w:tc>
          <w:tcPr>
            <w:tcW w:type="dxa" w:w="3462"/>
          </w:tcPr>
          <w:p>
            <w:pPr>
              <w:pStyle w:val="Compact"/>
              <w:spacing w:after="0" w:before="0" w:line="240" w:lineRule="auto"/>
              <w:jc w:val="left"/>
            </w:pPr>
            <w:r>
              <w:rPr>
                <w:bCs/>
                <w:rFonts w:ascii="Arial" w:hAnsi="Arial"/>
                <w:b/>
                <w:sz w:val="16"/>
              </w:rPr>
              <w:t xml:space="preserve">Labels settle it:</w:t>
            </w:r>
            <w:r>
              <w:rPr>
                <w:rFonts w:ascii="Arial" w:hAnsi="Arial"/>
                <w:sz w:val="16"/>
              </w:rPr>
              <w:t xml:space="preserve"> </w:t>
            </w:r>
            <w:r>
              <w:rPr>
                <w:rFonts w:ascii="Arial" w:hAnsi="Arial"/>
                <w:sz w:val="16"/>
              </w:rPr>
              <w:t xml:space="preserve">the DRL label says "Manufactured by Tianjin Kingyork", and Civica's NDCs sit on Hikma's ANDA 203125.</w:t>
            </w:r>
          </w:p>
        </w:tc>
      </w:tr>
      <w:tr>
        <w:trPr>
          <w:cantSplit/>
        </w:trPr>
        <w:tc>
          <w:tcPr>
            <w:tcW w:type="dxa" w:w="3168"/>
          </w:tcPr>
          <w:p>
            <w:pPr>
              <w:pStyle w:val="Compact"/>
              <w:spacing w:after="0" w:before="0" w:line="240" w:lineRule="auto"/>
              <w:jc w:val="left"/>
            </w:pPr>
            <w:r>
              <w:rPr>
                <w:rFonts w:ascii="Arial" w:hAnsi="Arial"/>
                <w:sz w:val="16"/>
              </w:rPr>
              <w:t xml:space="preserve">J2919 effective date</w:t>
            </w:r>
          </w:p>
        </w:tc>
        <w:tc>
          <w:tcPr>
            <w:tcW w:type="dxa" w:w="3462"/>
          </w:tcPr>
          <w:p>
            <w:pPr>
              <w:pStyle w:val="Compact"/>
              <w:spacing w:after="0" w:before="0" w:line="240" w:lineRule="auto"/>
              <w:jc w:val="left"/>
            </w:pPr>
            <w:r>
              <w:rPr>
                <w:rFonts w:ascii="Arial" w:hAnsi="Arial"/>
                <w:sz w:val="16"/>
              </w:rPr>
              <w:t xml:space="preserve">J2919 first appears in the April 2024 CMS file (</w:t>
            </w:r>
            <w:hyperlink r:id="rId73">
              <w:r>
                <w:rPr>
                  <w:rStyle w:val="Hyperlink"/>
                  <w:sz w:val="16"/>
                </w:rPr>
                <w:t xml:space="preserve">link</w:t>
              </w:r>
            </w:hyperlink>
            <w:r>
              <w:rPr>
                <w:rFonts w:ascii="Arial" w:hAnsi="Arial"/>
                <w:sz w:val="16"/>
              </w:rPr>
              <w:t xml:space="preserve">). A secondary coding site gave a later date.</w:t>
            </w:r>
          </w:p>
        </w:tc>
        <w:tc>
          <w:tcPr>
            <w:tcW w:type="dxa" w:w="3462"/>
          </w:tcPr>
          <w:p>
            <w:pPr>
              <w:pStyle w:val="Compact"/>
              <w:spacing w:after="0" w:before="0" w:line="240" w:lineRule="auto"/>
              <w:jc w:val="left"/>
            </w:pPr>
            <w:r>
              <w:rPr>
                <w:bCs/>
                <w:rFonts w:ascii="Arial" w:hAnsi="Arial"/>
                <w:b/>
                <w:sz w:val="16"/>
              </w:rPr>
              <w:t xml:space="preserve">CMS April 2024 file.</w:t>
            </w:r>
            <w:r>
              <w:rPr>
                <w:rFonts w:ascii="Arial" w:hAnsi="Arial"/>
                <w:sz w:val="16"/>
              </w:rPr>
              <w:t xml:space="preserve"> </w:t>
            </w:r>
            <w:r>
              <w:rPr>
                <w:rFonts w:ascii="Arial" w:hAnsi="Arial"/>
                <w:sz w:val="16"/>
              </w:rPr>
              <w:t xml:space="preserve">Primary source wins.</w:t>
            </w:r>
          </w:p>
        </w:tc>
      </w:tr>
      <w:tr>
        <w:trPr>
          <w:cantSplit/>
        </w:trPr>
        <w:tc>
          <w:tcPr>
            <w:tcW w:type="dxa" w:w="3168"/>
          </w:tcPr>
          <w:p>
            <w:pPr>
              <w:pStyle w:val="Compact"/>
              <w:spacing w:after="0" w:before="0" w:line="240" w:lineRule="auto"/>
              <w:jc w:val="left"/>
            </w:pPr>
            <w:r>
              <w:rPr>
                <w:rFonts w:ascii="Arial" w:hAnsi="Arial"/>
                <w:sz w:val="16"/>
              </w:rPr>
              <w:t xml:space="preserve">Cipla HSS launch</w:t>
            </w:r>
          </w:p>
        </w:tc>
        <w:tc>
          <w:tcPr>
            <w:tcW w:type="dxa" w:w="3462"/>
          </w:tcPr>
          <w:p>
            <w:pPr>
              <w:pStyle w:val="Compact"/>
              <w:spacing w:after="0" w:before="0" w:line="240" w:lineRule="auto"/>
              <w:jc w:val="left"/>
            </w:pPr>
            <w:r>
              <w:rPr>
                <w:rFonts w:ascii="Arial" w:hAnsi="Arial"/>
                <w:sz w:val="16"/>
              </w:rPr>
              <w:t xml:space="preserve">CGT list: first marketing 26 Sep 2024 (</w:t>
            </w:r>
            <w:hyperlink r:id="rId34">
              <w:r>
                <w:rPr>
                  <w:rStyle w:val="Hyperlink"/>
                  <w:sz w:val="16"/>
                </w:rPr>
                <w:t xml:space="preserve">FDA CGT list</w:t>
              </w:r>
            </w:hyperlink>
            <w:r>
              <w:rPr>
                <w:rFonts w:ascii="Arial" w:hAnsi="Arial"/>
                <w:sz w:val="16"/>
              </w:rPr>
              <w:t xml:space="preserve">). NDC: 25 Sep 2024 (</w:t>
            </w:r>
            <w:hyperlink r:id="rId30">
              <w:r>
                <w:rPr>
                  <w:rStyle w:val="Hyperlink"/>
                  <w:sz w:val="16"/>
                </w:rPr>
                <w:t xml:space="preserve">openFDA NDC, HSS</w:t>
              </w:r>
            </w:hyperlink>
            <w:r>
              <w:rPr>
                <w:rFonts w:ascii="Arial" w:hAnsi="Arial"/>
                <w:sz w:val="16"/>
              </w:rPr>
              <w:t xml:space="preserve">). Crosswalk: from Q1 2025 (</w:t>
            </w:r>
            <w:hyperlink r:id="rId26">
              <w:r>
                <w:rPr>
                  <w:rStyle w:val="Hyperlink"/>
                  <w:sz w:val="16"/>
                </w:rPr>
                <w:t xml:space="preserve">CMS ASP files</w:t>
              </w:r>
            </w:hyperlink>
            <w:r>
              <w:rPr>
                <w:rFonts w:ascii="Arial" w:hAnsi="Arial"/>
                <w:sz w:val="16"/>
              </w:rPr>
              <w:t xml:space="preserve">).</w:t>
            </w:r>
          </w:p>
        </w:tc>
        <w:tc>
          <w:tcPr>
            <w:tcW w:type="dxa" w:w="3462"/>
          </w:tcPr>
          <w:p>
            <w:pPr>
              <w:pStyle w:val="Compact"/>
              <w:spacing w:after="0" w:before="0" w:line="240" w:lineRule="auto"/>
              <w:jc w:val="left"/>
            </w:pPr>
            <w:r>
              <w:rPr>
                <w:bCs/>
                <w:rFonts w:ascii="Arial" w:hAnsi="Arial"/>
                <w:b/>
                <w:sz w:val="16"/>
              </w:rPr>
              <w:t xml:space="preserve">FDA CGT list.</w:t>
            </w:r>
            <w:r>
              <w:rPr>
                <w:rFonts w:ascii="Arial" w:hAnsi="Arial"/>
                <w:sz w:val="16"/>
              </w:rPr>
              <w:t xml:space="preserve"> </w:t>
            </w:r>
            <w:r>
              <w:rPr>
                <w:rFonts w:ascii="Arial" w:hAnsi="Arial"/>
                <w:sz w:val="16"/>
              </w:rPr>
              <w:t xml:space="preserve">The crosswalk lag reflects ASP-reporting timing.</w:t>
            </w:r>
          </w:p>
        </w:tc>
      </w:tr>
      <w:tr>
        <w:trPr>
          <w:cantSplit/>
        </w:trPr>
        <w:tc>
          <w:tcPr>
            <w:tcW w:type="dxa" w:w="3168"/>
          </w:tcPr>
          <w:p>
            <w:pPr>
              <w:pStyle w:val="Compact"/>
              <w:spacing w:after="0" w:before="0" w:line="240" w:lineRule="auto"/>
              <w:jc w:val="left"/>
            </w:pPr>
            <w:r>
              <w:rPr>
                <w:rFonts w:ascii="Arial" w:hAnsi="Arial"/>
                <w:sz w:val="16"/>
              </w:rPr>
              <w:t xml:space="preserve">Pfizer's April 2025 Solu-Cortef letter</w:t>
            </w:r>
          </w:p>
        </w:tc>
        <w:tc>
          <w:tcPr>
            <w:tcW w:type="dxa" w:w="3462"/>
          </w:tcPr>
          <w:p>
            <w:pPr>
              <w:pStyle w:val="Compact"/>
              <w:spacing w:after="0" w:before="0" w:line="240" w:lineRule="auto"/>
              <w:jc w:val="left"/>
            </w:pPr>
            <w:r>
              <w:rPr>
                <w:rFonts w:ascii="Arial" w:hAnsi="Arial"/>
                <w:sz w:val="16"/>
              </w:rPr>
              <w:t xml:space="preserve">ASP notes: no primary URL. Hydrocortisone notes: FDA-hosted copy.</w:t>
            </w:r>
          </w:p>
        </w:tc>
        <w:tc>
          <w:tcPr>
            <w:tcW w:type="dxa" w:w="3462"/>
          </w:tcPr>
          <w:p>
            <w:pPr>
              <w:pStyle w:val="Compact"/>
              <w:spacing w:after="0" w:before="0" w:line="240" w:lineRule="auto"/>
              <w:jc w:val="left"/>
            </w:pPr>
            <w:r>
              <w:rPr>
                <w:bCs/>
                <w:rFonts w:ascii="Arial" w:hAnsi="Arial"/>
                <w:b/>
                <w:sz w:val="16"/>
              </w:rPr>
              <w:t xml:space="preserve">FDA-hosted letter</w:t>
            </w:r>
            <w:r>
              <w:rPr>
                <w:rFonts w:ascii="Arial" w:hAnsi="Arial"/>
                <w:sz w:val="16"/>
              </w:rPr>
              <w:t xml:space="preserve"> </w:t>
            </w:r>
            <w:r>
              <w:rPr>
                <w:rFonts w:ascii="Arial" w:hAnsi="Arial"/>
                <w:sz w:val="16"/>
              </w:rPr>
              <w:t xml:space="preserve">(</w:t>
            </w:r>
            <w:hyperlink r:id="rId51">
              <w:r>
                <w:rPr>
                  <w:rStyle w:val="Hyperlink"/>
                  <w:sz w:val="16"/>
                </w:rPr>
                <w:t xml:space="preserve">link</w:t>
              </w:r>
            </w:hyperlink>
            <w:r>
              <w:rPr>
                <w:rFonts w:ascii="Arial" w:hAnsi="Arial"/>
                <w:sz w:val="16"/>
              </w:rPr>
              <w:t xml:space="preserve">).</w:t>
            </w:r>
          </w:p>
        </w:tc>
      </w:tr>
      <w:tr>
        <w:trPr>
          <w:cantSplit/>
        </w:trPr>
        <w:tc>
          <w:tcPr>
            <w:tcW w:type="dxa" w:w="3168"/>
          </w:tcPr>
          <w:p>
            <w:pPr>
              <w:pStyle w:val="Compact"/>
              <w:spacing w:after="0" w:before="0" w:line="240" w:lineRule="auto"/>
              <w:jc w:val="left"/>
            </w:pPr>
            <w:r>
              <w:rPr>
                <w:rFonts w:ascii="Arial" w:hAnsi="Arial"/>
                <w:sz w:val="16"/>
              </w:rPr>
              <w:t xml:space="preserve">Market size</w:t>
            </w:r>
          </w:p>
        </w:tc>
        <w:tc>
          <w:tcPr>
            <w:tcW w:type="dxa" w:w="3462"/>
          </w:tcPr>
          <w:p>
            <w:pPr>
              <w:pStyle w:val="Compact"/>
              <w:spacing w:after="0" w:before="0" w:line="240" w:lineRule="auto"/>
              <w:jc w:val="left"/>
            </w:pPr>
            <w:r>
              <w:rPr>
                <w:rFonts w:ascii="Arial" w:hAnsi="Arial"/>
                <w:sz w:val="16"/>
              </w:rPr>
              <w:t xml:space="preserve">RHP: US$288 mn (two products). ICICI: ~US$300 mn with 90% Pfizer. IQVIA: US$144 mn for MPSS alone (Feb 2022).</w:t>
            </w:r>
          </w:p>
        </w:tc>
        <w:tc>
          <w:tcPr>
            <w:tcW w:type="dxa" w:w="3462"/>
          </w:tcPr>
          <w:p>
            <w:pPr>
              <w:pStyle w:val="Compact"/>
              <w:spacing w:after="0" w:before="0" w:line="240" w:lineRule="auto"/>
              <w:jc w:val="left"/>
            </w:pPr>
            <w:r>
              <w:rPr>
                <w:bCs/>
                <w:rFonts w:ascii="Arial" w:hAnsi="Arial"/>
                <w:b/>
                <w:sz w:val="16"/>
              </w:rPr>
              <w:t xml:space="preserve">Treat US$288–300 mn as combined and unsplit.</w:t>
            </w:r>
            <w:r>
              <w:rPr>
                <w:rFonts w:ascii="Arial" w:hAnsi="Arial"/>
                <w:sz w:val="16"/>
              </w:rPr>
              <w:t xml:space="preserve"> </w:t>
            </w:r>
            <w:r>
              <w:rPr>
                <w:rFonts w:ascii="Arial" w:hAnsi="Arial"/>
                <w:sz w:val="16"/>
              </w:rPr>
              <w:t xml:space="preserve">The 90% figure is not a usable MPSS brand share.</w:t>
            </w:r>
          </w:p>
        </w:tc>
      </w:tr>
      <w:tr>
        <w:trPr>
          <w:cantSplit/>
        </w:trPr>
        <w:tc>
          <w:tcPr>
            <w:tcW w:type="dxa" w:w="3168"/>
          </w:tcPr>
          <w:p>
            <w:pPr>
              <w:pStyle w:val="Compact"/>
              <w:spacing w:after="0" w:before="0" w:line="240" w:lineRule="auto"/>
              <w:jc w:val="left"/>
            </w:pPr>
            <w:r>
              <w:rPr>
                <w:rFonts w:ascii="Arial" w:hAnsi="Arial"/>
                <w:sz w:val="16"/>
              </w:rPr>
              <w:t xml:space="preserve">Number of products partnered</w:t>
            </w:r>
          </w:p>
        </w:tc>
        <w:tc>
          <w:tcPr>
            <w:tcW w:type="dxa" w:w="3462"/>
          </w:tcPr>
          <w:p>
            <w:pPr>
              <w:pStyle w:val="Compact"/>
              <w:spacing w:after="0" w:before="0" w:line="240" w:lineRule="auto"/>
              <w:jc w:val="left"/>
            </w:pPr>
            <w:r>
              <w:rPr>
                <w:rFonts w:ascii="Arial" w:hAnsi="Arial"/>
                <w:sz w:val="16"/>
              </w:rPr>
              <w:t xml:space="preserve">ICICI: "one of its two" in one passage, "first two" in another (</w:t>
            </w:r>
            <w:hyperlink r:id="rId78">
              <w:r>
                <w:rPr>
                  <w:rStyle w:val="Hyperlink"/>
                  <w:sz w:val="16"/>
                </w:rPr>
                <w:t xml:space="preserve">ICICI Direct</w:t>
              </w:r>
            </w:hyperlink>
            <w:r>
              <w:rPr>
                <w:rFonts w:ascii="Arial" w:hAnsi="Arial"/>
                <w:sz w:val="16"/>
              </w:rPr>
              <w:t xml:space="preserve">). Company filing of 30 Sep: two (</w:t>
            </w:r>
            <w:hyperlink r:id="rId32">
              <w:r>
                <w:rPr>
                  <w:rStyle w:val="Hyperlink"/>
                  <w:sz w:val="16"/>
                </w:rPr>
                <w:t xml:space="preserve">BSE Reg. 30 filing</w:t>
              </w:r>
            </w:hyperlink>
            <w:r>
              <w:rPr>
                <w:rFonts w:ascii="Arial" w:hAnsi="Arial"/>
                <w:sz w:val="16"/>
              </w:rPr>
              <w:t xml:space="preserve">).</w:t>
            </w:r>
          </w:p>
        </w:tc>
        <w:tc>
          <w:tcPr>
            <w:tcW w:type="dxa" w:w="3462"/>
          </w:tcPr>
          <w:p>
            <w:pPr>
              <w:pStyle w:val="Compact"/>
              <w:spacing w:after="0" w:before="0" w:line="240" w:lineRule="auto"/>
              <w:jc w:val="left"/>
            </w:pPr>
            <w:r>
              <w:rPr>
                <w:bCs/>
                <w:rFonts w:ascii="Arial" w:hAnsi="Arial"/>
                <w:b/>
                <w:sz w:val="16"/>
              </w:rPr>
              <w:t xml:space="preserve">Company filing.</w:t>
            </w:r>
          </w:p>
        </w:tc>
      </w:tr>
      <w:tr>
        <w:trPr>
          <w:cantSplit/>
        </w:trPr>
        <w:tc>
          <w:tcPr>
            <w:tcW w:type="dxa" w:w="3168"/>
          </w:tcPr>
          <w:p>
            <w:pPr>
              <w:pStyle w:val="Compact"/>
              <w:spacing w:after="0" w:before="0" w:line="240" w:lineRule="auto"/>
              <w:jc w:val="left"/>
            </w:pPr>
            <w:r>
              <w:rPr>
                <w:rFonts w:ascii="Arial" w:hAnsi="Arial"/>
                <w:sz w:val="16"/>
              </w:rPr>
              <w:t xml:space="preserve">"Two pre-existing approved DCV products" (</w:t>
            </w:r>
            <w:hyperlink r:id="rId33">
              <w:r>
                <w:rPr>
                  <w:rStyle w:val="Hyperlink"/>
                  <w:sz w:val="16"/>
                </w:rPr>
                <w:t xml:space="preserve">RHP</w:t>
              </w:r>
            </w:hyperlink>
            <w:r>
              <w:rPr>
                <w:rFonts w:ascii="Arial" w:hAnsi="Arial"/>
                <w:sz w:val="16"/>
              </w:rPr>
              <w:t xml:space="preserve"> </w:t>
            </w:r>
            <w:r>
              <w:rPr>
                <w:rFonts w:ascii="Arial" w:hAnsi="Arial"/>
                <w:sz w:val="16"/>
              </w:rPr>
              <w:t xml:space="preserve">p.148)</w:t>
            </w:r>
          </w:p>
        </w:tc>
        <w:tc>
          <w:tcPr>
            <w:tcW w:type="dxa" w:w="3462"/>
          </w:tcPr>
          <w:p>
            <w:pPr>
              <w:pStyle w:val="Compact"/>
              <w:spacing w:after="0" w:before="0" w:line="240" w:lineRule="auto"/>
              <w:jc w:val="left"/>
            </w:pPr>
            <w:r>
              <w:rPr>
                <w:rFonts w:ascii="Arial" w:hAnsi="Arial"/>
                <w:sz w:val="16"/>
              </w:rPr>
              <w:t xml:space="preserve">RHP p.239 says "two developed DCV products". The Orange Book shows no Symbiotec approvals (</w:t>
            </w:r>
            <w:hyperlink r:id="rId20">
              <w:r>
                <w:rPr>
                  <w:rStyle w:val="Hyperlink"/>
                  <w:sz w:val="16"/>
                </w:rPr>
                <w:t xml:space="preserve">Orange Book</w:t>
              </w:r>
            </w:hyperlink>
            <w:r>
              <w:rPr>
                <w:rFonts w:ascii="Arial" w:hAnsi="Arial"/>
                <w:sz w:val="16"/>
              </w:rPr>
              <w:t xml:space="preserve">).</w:t>
            </w:r>
          </w:p>
        </w:tc>
        <w:tc>
          <w:tcPr>
            <w:tcW w:type="dxa" w:w="3462"/>
          </w:tcPr>
          <w:p>
            <w:pPr>
              <w:pStyle w:val="Compact"/>
              <w:spacing w:after="0" w:before="0" w:line="240" w:lineRule="auto"/>
              <w:jc w:val="left"/>
            </w:pPr>
            <w:r>
              <w:rPr>
                <w:rFonts w:ascii="Arial" w:hAnsi="Arial"/>
                <w:sz w:val="16"/>
              </w:rPr>
              <w:t xml:space="preserve">Read as Symbiotec's developed products, or the Pfizer reference products.</w:t>
            </w:r>
            <w:r>
              <w:rPr>
                <w:rFonts w:ascii="Arial" w:hAnsi="Arial"/>
                <w:sz w:val="16"/>
              </w:rPr>
              <w:t xml:space="preserve"> </w:t>
            </w:r>
            <w:r>
              <w:rPr>
                <w:bCs/>
                <w:rFonts w:ascii="Arial" w:hAnsi="Arial"/>
                <w:b/>
                <w:sz w:val="16"/>
              </w:rPr>
              <w:t xml:space="preserve">Not Symbiotec approvals.</w:t>
            </w:r>
          </w:p>
        </w:tc>
      </w:tr>
    </w:tbl>
    <w:bookmarkEnd w:id="104"/>
    <w:bookmarkStart w:id="106" w:name="data-to-pull-next-and-open-questions"/>
    <w:p>
      <w:pPr>
        <w:pStyle w:val="Heading2"/>
        <w:keepNext/>
      </w:pPr>
      <w:r>
        <w:rPr>
          <w:rFonts w:ascii="Arial" w:hAnsi="Arial"/>
        </w:rPr>
        <w:t xml:space="preserve">Data to pull next and open questions</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3363"/>
        <w:gridCol w:w="3363"/>
        <w:gridCol w:w="3363"/>
      </w:tblGrid>
      <w:tr>
        <w:trPr>
          <w:tblHeader w:val="true"/>
          <w:tblHeader w:val="true"/>
          <w:cantSplit/>
        </w:trPr>
        <w:tc>
          <w:tcPr>
            <w:tcW w:type="dxa" w:w="3364"/>
            <w:shd w:val="clear" w:color="auto" w:fill="1F3864"/>
          </w:tcPr>
          <w:p>
            <w:pPr>
              <w:pStyle w:val="Compact"/>
              <w:spacing w:after="0" w:before="0" w:line="240" w:lineRule="auto"/>
              <w:jc w:val="left"/>
            </w:pPr>
            <w:r>
              <w:rPr>
                <w:rFonts w:ascii="Arial" w:hAnsi="Arial"/>
                <w:b/>
                <w:color w:val="FFFFFF"/>
                <w:sz w:val="16"/>
              </w:rPr>
              <w:t xml:space="preserve">Question</w:t>
            </w:r>
          </w:p>
        </w:tc>
        <w:tc>
          <w:tcPr>
            <w:tcW w:type="dxa" w:w="3364"/>
            <w:shd w:val="clear" w:color="auto" w:fill="1F3864"/>
          </w:tcPr>
          <w:p>
            <w:pPr>
              <w:pStyle w:val="Compact"/>
              <w:spacing w:after="0" w:before="0" w:line="240" w:lineRule="auto"/>
              <w:jc w:val="left"/>
            </w:pPr>
            <w:r>
              <w:rPr>
                <w:rFonts w:ascii="Arial" w:hAnsi="Arial"/>
                <w:b/>
                <w:color w:val="FFFFFF"/>
                <w:sz w:val="16"/>
              </w:rPr>
              <w:t xml:space="preserve">Why it matters</w:t>
            </w:r>
          </w:p>
        </w:tc>
        <w:tc>
          <w:tcPr>
            <w:tcW w:type="dxa" w:w="3364"/>
            <w:shd w:val="clear" w:color="auto" w:fill="1F3864"/>
          </w:tcPr>
          <w:p>
            <w:pPr>
              <w:pStyle w:val="Compact"/>
              <w:spacing w:after="0" w:before="0" w:line="240" w:lineRule="auto"/>
              <w:jc w:val="left"/>
            </w:pPr>
            <w:r>
              <w:rPr>
                <w:rFonts w:ascii="Arial" w:hAnsi="Arial"/>
                <w:b/>
                <w:color w:val="FFFFFF"/>
                <w:sz w:val="16"/>
              </w:rPr>
              <w:t xml:space="preserve">Where to get it</w:t>
            </w:r>
          </w:p>
        </w:tc>
      </w:tr>
      <w:tr>
        <w:trPr>
          <w:cantSplit/>
        </w:trPr>
        <w:tc>
          <w:tcPr>
            <w:tcW w:type="dxa" w:w="3364"/>
          </w:tcPr>
          <w:p>
            <w:pPr>
              <w:pStyle w:val="Compact"/>
              <w:spacing w:after="0" w:before="0" w:line="240" w:lineRule="auto"/>
              <w:jc w:val="left"/>
            </w:pPr>
            <w:r>
              <w:rPr>
                <w:rFonts w:ascii="Arial" w:hAnsi="Arial"/>
                <w:sz w:val="16"/>
              </w:rPr>
              <w:t xml:space="preserve">IQVIA units and dollars for HSS 250 mg, 500 mg and 1 g, hospital versus retail</w:t>
            </w:r>
          </w:p>
        </w:tc>
        <w:tc>
          <w:tcPr>
            <w:tcW w:type="dxa" w:w="3364"/>
          </w:tcPr>
          <w:p>
            <w:pPr>
              <w:pStyle w:val="Compact"/>
              <w:spacing w:after="0" w:before="0" w:line="240" w:lineRule="auto"/>
              <w:jc w:val="left"/>
            </w:pPr>
            <w:r>
              <w:rPr>
                <w:rFonts w:ascii="Arial" w:hAnsi="Arial"/>
                <w:sz w:val="16"/>
              </w:rPr>
              <w:t xml:space="preserve">Sizes the Pfizer-only DCV slice; outpatient data puts it at ~3% of claims</w:t>
            </w:r>
          </w:p>
        </w:tc>
        <w:tc>
          <w:tcPr>
            <w:tcW w:type="dxa" w:w="3364"/>
          </w:tcPr>
          <w:p>
            <w:pPr>
              <w:pStyle w:val="Compact"/>
              <w:spacing w:after="0" w:before="0" w:line="240" w:lineRule="auto"/>
              <w:jc w:val="left"/>
            </w:pPr>
            <w:r>
              <w:rPr>
                <w:rFonts w:ascii="Arial" w:hAnsi="Arial"/>
                <w:sz w:val="16"/>
              </w:rPr>
              <w:t xml:space="preserve">IQVIA pack-level data on Bloomberg, by NDC (Pfizer 0009-0013, -0016, -0005; NDCs per</w:t>
            </w:r>
            <w:r>
              <w:rPr>
                <w:rFonts w:ascii="Arial" w:hAnsi="Arial"/>
                <w:sz w:val="16"/>
              </w:rPr>
              <w:t xml:space="preserve"> </w:t>
            </w:r>
            <w:hyperlink r:id="rId30">
              <w:r>
                <w:rPr>
                  <w:rStyle w:val="Hyperlink"/>
                  <w:sz w:val="16"/>
                </w:rPr>
                <w:t xml:space="preserve">openFDA NDC, HSS</w:t>
              </w:r>
            </w:hyperlink>
            <w:r>
              <w:rPr>
                <w:rFonts w:ascii="Arial" w:hAnsi="Arial"/>
                <w:sz w:val="16"/>
              </w:rPr>
              <w:t xml:space="preserve">)</w:t>
            </w:r>
          </w:p>
        </w:tc>
      </w:tr>
      <w:tr>
        <w:trPr>
          <w:cantSplit/>
        </w:trPr>
        <w:tc>
          <w:tcPr>
            <w:tcW w:type="dxa" w:w="3364"/>
          </w:tcPr>
          <w:p>
            <w:pPr>
              <w:pStyle w:val="Compact"/>
              <w:spacing w:after="0" w:before="0" w:line="240" w:lineRule="auto"/>
              <w:jc w:val="left"/>
            </w:pPr>
            <w:r>
              <w:rPr>
                <w:rFonts w:ascii="Arial" w:hAnsi="Arial"/>
                <w:sz w:val="16"/>
              </w:rPr>
              <w:t xml:space="preserve">IQVIA split of Act-O-Vial versus plain-vial NDCs at MPSS 40/125 mg and HSS 100 mg</w:t>
            </w:r>
          </w:p>
        </w:tc>
        <w:tc>
          <w:tcPr>
            <w:tcW w:type="dxa" w:w="3364"/>
          </w:tcPr>
          <w:p>
            <w:pPr>
              <w:pStyle w:val="Compact"/>
              <w:spacing w:after="0" w:before="0" w:line="240" w:lineRule="auto"/>
              <w:jc w:val="left"/>
            </w:pPr>
            <w:r>
              <w:rPr>
                <w:rFonts w:ascii="Arial" w:hAnsi="Arial"/>
                <w:sz w:val="16"/>
              </w:rPr>
              <w:t xml:space="preserve">Measures the brand DCV pool a generic DCV would contest</w:t>
            </w:r>
          </w:p>
        </w:tc>
        <w:tc>
          <w:tcPr>
            <w:tcW w:type="dxa" w:w="3364"/>
          </w:tcPr>
          <w:p>
            <w:pPr>
              <w:pStyle w:val="Compact"/>
              <w:spacing w:after="0" w:before="0" w:line="240" w:lineRule="auto"/>
              <w:jc w:val="left"/>
            </w:pPr>
            <w:r>
              <w:rPr>
                <w:rFonts w:ascii="Arial" w:hAnsi="Arial"/>
                <w:sz w:val="16"/>
              </w:rPr>
              <w:t xml:space="preserve">IQVIA by NDC: Pfizer 0009-0039, -0047, -0011 versus 0009-0825 (NDCs per</w:t>
            </w:r>
            <w:r>
              <w:rPr>
                <w:rFonts w:ascii="Arial" w:hAnsi="Arial"/>
                <w:sz w:val="16"/>
              </w:rPr>
              <w:t xml:space="preserve"> </w:t>
            </w:r>
            <w:hyperlink r:id="rId21">
              <w:r>
                <w:rPr>
                  <w:rStyle w:val="Hyperlink"/>
                  <w:sz w:val="16"/>
                </w:rPr>
                <w:t xml:space="preserve">openFDA NDC, MPSS</w:t>
              </w:r>
            </w:hyperlink>
            <w:r>
              <w:rPr>
                <w:rFonts w:ascii="Arial" w:hAnsi="Arial"/>
                <w:sz w:val="16"/>
              </w:rPr>
              <w:t xml:space="preserve"> </w:t>
            </w:r>
            <w:r>
              <w:rPr>
                <w:rFonts w:ascii="Arial" w:hAnsi="Arial"/>
                <w:sz w:val="16"/>
              </w:rPr>
              <w:t xml:space="preserve">and</w:t>
            </w:r>
            <w:r>
              <w:rPr>
                <w:rFonts w:ascii="Arial" w:hAnsi="Arial"/>
                <w:sz w:val="16"/>
              </w:rPr>
              <w:t xml:space="preserve"> </w:t>
            </w:r>
            <w:hyperlink r:id="rId30">
              <w:r>
                <w:rPr>
                  <w:rStyle w:val="Hyperlink"/>
                  <w:sz w:val="16"/>
                </w:rPr>
                <w:t xml:space="preserve">openFDA NDC, HSS</w:t>
              </w:r>
            </w:hyperlink>
            <w:r>
              <w:rPr>
                <w:rFonts w:ascii="Arial" w:hAnsi="Arial"/>
                <w:sz w:val="16"/>
              </w:rPr>
              <w:t xml:space="preserve">)</w:t>
            </w:r>
          </w:p>
        </w:tc>
      </w:tr>
      <w:tr>
        <w:trPr>
          <w:cantSplit/>
        </w:trPr>
        <w:tc>
          <w:tcPr>
            <w:tcW w:type="dxa" w:w="3364"/>
          </w:tcPr>
          <w:p>
            <w:pPr>
              <w:pStyle w:val="Compact"/>
              <w:spacing w:after="0" w:before="0" w:line="240" w:lineRule="auto"/>
              <w:jc w:val="left"/>
            </w:pPr>
            <w:r>
              <w:rPr>
                <w:rFonts w:ascii="Arial" w:hAnsi="Arial"/>
                <w:sz w:val="16"/>
              </w:rPr>
              <w:t xml:space="preserve">Molecule and strengths in the September 2026 ANDA; whether all strengths were filed</w:t>
            </w:r>
          </w:p>
        </w:tc>
        <w:tc>
          <w:tcPr>
            <w:tcW w:type="dxa" w:w="3364"/>
          </w:tcPr>
          <w:p>
            <w:pPr>
              <w:pStyle w:val="Compact"/>
              <w:spacing w:after="0" w:before="0" w:line="240" w:lineRule="auto"/>
              <w:jc w:val="left"/>
            </w:pPr>
            <w:r>
              <w:rPr>
                <w:rFonts w:ascii="Arial" w:hAnsi="Arial"/>
                <w:sz w:val="16"/>
              </w:rPr>
              <w:t xml:space="preserve">Decides whether CGT exclusivity is in play</w:t>
            </w:r>
          </w:p>
        </w:tc>
        <w:tc>
          <w:tcPr>
            <w:tcW w:type="dxa" w:w="3364"/>
          </w:tcPr>
          <w:p>
            <w:pPr>
              <w:pStyle w:val="Compact"/>
              <w:spacing w:after="0" w:before="0" w:line="240" w:lineRule="auto"/>
              <w:jc w:val="left"/>
            </w:pPr>
            <w:r>
              <w:rPr>
                <w:rFonts w:ascii="Arial" w:hAnsi="Arial"/>
                <w:sz w:val="16"/>
              </w:rPr>
              <w:t xml:space="preserve">Management; watch for an FDA CGT designation</w:t>
            </w:r>
          </w:p>
        </w:tc>
      </w:tr>
      <w:tr>
        <w:trPr>
          <w:cantSplit/>
        </w:trPr>
        <w:tc>
          <w:tcPr>
            <w:tcW w:type="dxa" w:w="3364"/>
          </w:tcPr>
          <w:p>
            <w:pPr>
              <w:pStyle w:val="Compact"/>
              <w:spacing w:after="0" w:before="0" w:line="240" w:lineRule="auto"/>
              <w:jc w:val="left"/>
            </w:pPr>
            <w:r>
              <w:rPr>
                <w:rFonts w:ascii="Arial" w:hAnsi="Arial"/>
                <w:sz w:val="16"/>
              </w:rPr>
              <w:t xml:space="preserve">US$288 mn split by molecule and the basis used (gross or net)</w:t>
            </w:r>
          </w:p>
        </w:tc>
        <w:tc>
          <w:tcPr>
            <w:tcW w:type="dxa" w:w="3364"/>
          </w:tcPr>
          <w:p>
            <w:pPr>
              <w:pStyle w:val="Compact"/>
              <w:spacing w:after="0" w:before="0" w:line="240" w:lineRule="auto"/>
              <w:jc w:val="left"/>
            </w:pPr>
            <w:r>
              <w:rPr>
                <w:rFonts w:ascii="Arial" w:hAnsi="Arial"/>
                <w:sz w:val="16"/>
              </w:rPr>
              <w:t xml:space="preserve">Prevents double-counting</w:t>
            </w:r>
          </w:p>
        </w:tc>
        <w:tc>
          <w:tcPr>
            <w:tcW w:type="dxa" w:w="3364"/>
          </w:tcPr>
          <w:p>
            <w:pPr>
              <w:pStyle w:val="Compact"/>
              <w:spacing w:after="0" w:before="0" w:line="240" w:lineRule="auto"/>
              <w:jc w:val="left"/>
            </w:pPr>
            <w:r>
              <w:rPr>
                <w:rFonts w:ascii="Arial" w:hAnsi="Arial"/>
                <w:sz w:val="16"/>
              </w:rPr>
              <w:t xml:space="preserve">Management / F&amp;S full report at investor.symbiotec.com</w:t>
            </w:r>
          </w:p>
        </w:tc>
      </w:tr>
      <w:tr>
        <w:trPr>
          <w:cantSplit/>
        </w:trPr>
        <w:tc>
          <w:tcPr>
            <w:tcW w:type="dxa" w:w="3364"/>
          </w:tcPr>
          <w:p>
            <w:pPr>
              <w:pStyle w:val="Compact"/>
              <w:spacing w:after="0" w:before="0" w:line="240" w:lineRule="auto"/>
              <w:jc w:val="left"/>
            </w:pPr>
            <w:r>
              <w:rPr>
                <w:rFonts w:ascii="Arial" w:hAnsi="Arial"/>
                <w:sz w:val="16"/>
              </w:rPr>
              <w:t xml:space="preserve">January 2027 ASP file (due ~December 2026) and April 2027 file</w:t>
            </w:r>
          </w:p>
        </w:tc>
        <w:tc>
          <w:tcPr>
            <w:tcW w:type="dxa" w:w="3364"/>
          </w:tcPr>
          <w:p>
            <w:pPr>
              <w:pStyle w:val="Compact"/>
              <w:spacing w:after="0" w:before="0" w:line="240" w:lineRule="auto"/>
              <w:jc w:val="left"/>
            </w:pPr>
            <w:r>
              <w:rPr>
                <w:rFonts w:ascii="Arial" w:hAnsi="Arial"/>
                <w:sz w:val="16"/>
              </w:rPr>
              <w:t xml:space="preserve">First files to reflect 3Q26 and 4Q26 sales with Apotex and Zydus in the market, and possibly the 3-unit 250 mg convention</w:t>
            </w:r>
          </w:p>
        </w:tc>
        <w:tc>
          <w:tcPr>
            <w:tcW w:type="dxa" w:w="3364"/>
          </w:tcPr>
          <w:p>
            <w:pPr>
              <w:pStyle w:val="Compact"/>
              <w:spacing w:after="0" w:before="0" w:line="240" w:lineRule="auto"/>
              <w:jc w:val="left"/>
            </w:pPr>
            <w:hyperlink r:id="rId26">
              <w:r>
                <w:rPr>
                  <w:rStyle w:val="Hyperlink"/>
                  <w:sz w:val="16"/>
                </w:rPr>
                <w:t xml:space="preserve">CMS ASP files</w:t>
              </w:r>
            </w:hyperlink>
          </w:p>
        </w:tc>
      </w:tr>
      <w:tr>
        <w:trPr>
          <w:cantSplit/>
        </w:trPr>
        <w:tc>
          <w:tcPr>
            <w:tcW w:type="dxa" w:w="3364"/>
          </w:tcPr>
          <w:p>
            <w:pPr>
              <w:pStyle w:val="Compact"/>
              <w:spacing w:after="0" w:before="0" w:line="240" w:lineRule="auto"/>
              <w:jc w:val="left"/>
            </w:pPr>
            <w:r>
              <w:rPr>
                <w:rFonts w:ascii="Arial" w:hAnsi="Arial"/>
                <w:sz w:val="16"/>
              </w:rPr>
              <w:t xml:space="preserve">SDUD Q2 2026 onwards</w:t>
            </w:r>
          </w:p>
        </w:tc>
        <w:tc>
          <w:tcPr>
            <w:tcW w:type="dxa" w:w="3364"/>
          </w:tcPr>
          <w:p>
            <w:pPr>
              <w:pStyle w:val="Compact"/>
              <w:spacing w:after="0" w:before="0" w:line="240" w:lineRule="auto"/>
              <w:jc w:val="left"/>
            </w:pPr>
            <w:r>
              <w:rPr>
                <w:rFonts w:ascii="Arial" w:hAnsi="Arial"/>
                <w:sz w:val="16"/>
              </w:rPr>
              <w:t xml:space="preserve">First Medicaid read on Apotex and Zydus HSS, and on Civica MPSS</w:t>
            </w:r>
          </w:p>
        </w:tc>
        <w:tc>
          <w:tcPr>
            <w:tcW w:type="dxa" w:w="3364"/>
          </w:tcPr>
          <w:p>
            <w:pPr>
              <w:pStyle w:val="Compact"/>
              <w:spacing w:after="0" w:before="0" w:line="240" w:lineRule="auto"/>
              <w:jc w:val="left"/>
            </w:pPr>
            <w:hyperlink r:id="rId25">
              <w:r>
                <w:rPr>
                  <w:rStyle w:val="Hyperlink"/>
                  <w:sz w:val="16"/>
                </w:rPr>
                <w:t xml:space="preserve">data.medicaid.gov</w:t>
              </w:r>
            </w:hyperlink>
          </w:p>
        </w:tc>
      </w:tr>
      <w:tr>
        <w:trPr>
          <w:cantSplit/>
        </w:trPr>
        <w:tc>
          <w:tcPr>
            <w:tcW w:type="dxa" w:w="3364"/>
          </w:tcPr>
          <w:p>
            <w:pPr>
              <w:pStyle w:val="Compact"/>
              <w:spacing w:after="0" w:before="0" w:line="240" w:lineRule="auto"/>
              <w:jc w:val="left"/>
            </w:pPr>
            <w:r>
              <w:rPr>
                <w:rFonts w:ascii="Arial" w:hAnsi="Arial"/>
                <w:sz w:val="16"/>
              </w:rPr>
              <w:t xml:space="preserve">Generic WAC by labeler (Cipla, Apotex, Zydus, DRL, Fresenius, Hikma)</w:t>
            </w:r>
          </w:p>
        </w:tc>
        <w:tc>
          <w:tcPr>
            <w:tcW w:type="dxa" w:w="3364"/>
          </w:tcPr>
          <w:p>
            <w:pPr>
              <w:pStyle w:val="Compact"/>
              <w:spacing w:after="0" w:before="0" w:line="240" w:lineRule="auto"/>
              <w:jc w:val="left"/>
            </w:pPr>
            <w:r>
              <w:rPr>
                <w:rFonts w:ascii="Arial" w:hAnsi="Arial"/>
                <w:sz w:val="16"/>
              </w:rPr>
              <w:t xml:space="preserve">Supports the price corridor for DCV pricing</w:t>
            </w:r>
          </w:p>
        </w:tc>
        <w:tc>
          <w:tcPr>
            <w:tcW w:type="dxa" w:w="3364"/>
          </w:tcPr>
          <w:p>
            <w:pPr>
              <w:pStyle w:val="Compact"/>
              <w:spacing w:after="0" w:before="0" w:line="240" w:lineRule="auto"/>
              <w:jc w:val="left"/>
            </w:pPr>
            <w:r>
              <w:rPr>
                <w:rFonts w:ascii="Arial" w:hAnsi="Arial"/>
                <w:sz w:val="16"/>
              </w:rPr>
              <w:t xml:space="preserve">First Databank / Medi-Span; distributor catalogues</w:t>
            </w:r>
          </w:p>
        </w:tc>
      </w:tr>
      <w:tr>
        <w:trPr>
          <w:cantSplit/>
        </w:trPr>
        <w:tc>
          <w:tcPr>
            <w:tcW w:type="dxa" w:w="3364"/>
          </w:tcPr>
          <w:p>
            <w:pPr>
              <w:pStyle w:val="Compact"/>
              <w:spacing w:after="0" w:before="0" w:line="240" w:lineRule="auto"/>
              <w:jc w:val="left"/>
            </w:pPr>
            <w:r>
              <w:rPr>
                <w:rFonts w:ascii="Arial" w:hAnsi="Arial"/>
                <w:sz w:val="16"/>
              </w:rPr>
              <w:t xml:space="preserve">GPO awards (Vizient Novaplus, Premier) and Civica contracts</w:t>
            </w:r>
          </w:p>
        </w:tc>
        <w:tc>
          <w:tcPr>
            <w:tcW w:type="dxa" w:w="3364"/>
          </w:tcPr>
          <w:p>
            <w:pPr>
              <w:pStyle w:val="Compact"/>
              <w:spacing w:after="0" w:before="0" w:line="240" w:lineRule="auto"/>
              <w:jc w:val="left"/>
            </w:pPr>
            <w:r>
              <w:rPr>
                <w:rFonts w:ascii="Arial" w:hAnsi="Arial"/>
                <w:sz w:val="16"/>
              </w:rPr>
              <w:t xml:space="preserve">Hospital share drivers that public data cannot show</w:t>
            </w:r>
          </w:p>
        </w:tc>
        <w:tc>
          <w:tcPr>
            <w:tcW w:type="dxa" w:w="3364"/>
          </w:tcPr>
          <w:p>
            <w:pPr>
              <w:pStyle w:val="Compact"/>
              <w:spacing w:after="0" w:before="0" w:line="240" w:lineRule="auto"/>
              <w:jc w:val="left"/>
            </w:pPr>
            <w:r>
              <w:rPr>
                <w:rFonts w:ascii="Arial" w:hAnsi="Arial"/>
                <w:sz w:val="16"/>
              </w:rPr>
              <w:t xml:space="preserve">Channel checks; Hikma, Civica</w:t>
            </w:r>
          </w:p>
        </w:tc>
      </w:tr>
      <w:tr>
        <w:trPr>
          <w:cantSplit/>
        </w:trPr>
        <w:tc>
          <w:tcPr>
            <w:tcW w:type="dxa" w:w="3364"/>
          </w:tcPr>
          <w:p>
            <w:pPr>
              <w:pStyle w:val="Compact"/>
              <w:spacing w:after="0" w:before="0" w:line="240" w:lineRule="auto"/>
              <w:jc w:val="left"/>
            </w:pPr>
            <w:r>
              <w:rPr>
                <w:rFonts w:ascii="Arial" w:hAnsi="Arial"/>
                <w:sz w:val="16"/>
              </w:rPr>
              <w:t xml:space="preserve">Whether Symbiotec supplies API to Cipla, Apotex or Zydus HSS, or to MPSS generics</w:t>
            </w:r>
          </w:p>
        </w:tc>
        <w:tc>
          <w:tcPr>
            <w:tcW w:type="dxa" w:w="3364"/>
          </w:tcPr>
          <w:p>
            <w:pPr>
              <w:pStyle w:val="Compact"/>
              <w:spacing w:after="0" w:before="0" w:line="240" w:lineRule="auto"/>
              <w:jc w:val="left"/>
            </w:pPr>
            <w:r>
              <w:rPr>
                <w:rFonts w:ascii="Arial" w:hAnsi="Arial"/>
                <w:sz w:val="16"/>
              </w:rPr>
              <w:t xml:space="preserve">API cross-sell, and possible conflicts with its own DCV</w:t>
            </w:r>
          </w:p>
        </w:tc>
        <w:tc>
          <w:tcPr>
            <w:tcW w:type="dxa" w:w="3364"/>
          </w:tcPr>
          <w:p>
            <w:pPr>
              <w:pStyle w:val="Compact"/>
              <w:spacing w:after="0" w:before="0" w:line="240" w:lineRule="auto"/>
              <w:jc w:val="left"/>
            </w:pPr>
            <w:r>
              <w:rPr>
                <w:rFonts w:ascii="Arial" w:hAnsi="Arial"/>
                <w:sz w:val="16"/>
              </w:rPr>
              <w:t xml:space="preserve">Management; DMF reference letters are not public</w:t>
            </w:r>
          </w:p>
        </w:tc>
      </w:tr>
      <w:tr>
        <w:trPr>
          <w:cantSplit/>
        </w:trPr>
        <w:tc>
          <w:tcPr>
            <w:tcW w:type="dxa" w:w="3364"/>
          </w:tcPr>
          <w:p>
            <w:pPr>
              <w:pStyle w:val="Compact"/>
              <w:spacing w:after="0" w:before="0" w:line="240" w:lineRule="auto"/>
              <w:jc w:val="left"/>
            </w:pPr>
            <w:r>
              <w:rPr>
                <w:rFonts w:ascii="Arial" w:hAnsi="Arial"/>
                <w:sz w:val="16"/>
              </w:rPr>
              <w:t xml:space="preserve">Mhow pre-approval inspection timing and outcome</w:t>
            </w:r>
          </w:p>
        </w:tc>
        <w:tc>
          <w:tcPr>
            <w:tcW w:type="dxa" w:w="3364"/>
          </w:tcPr>
          <w:p>
            <w:pPr>
              <w:pStyle w:val="Compact"/>
              <w:spacing w:after="0" w:before="0" w:line="240" w:lineRule="auto"/>
              <w:jc w:val="left"/>
            </w:pPr>
            <w:r>
              <w:rPr>
                <w:rFonts w:ascii="Arial" w:hAnsi="Arial"/>
                <w:sz w:val="16"/>
              </w:rPr>
              <w:t xml:space="preserve">Gates approval timing</w:t>
            </w:r>
          </w:p>
        </w:tc>
        <w:tc>
          <w:tcPr>
            <w:tcW w:type="dxa" w:w="3364"/>
          </w:tcPr>
          <w:p>
            <w:pPr>
              <w:pStyle w:val="Compact"/>
              <w:spacing w:after="0" w:before="0" w:line="240" w:lineRule="auto"/>
              <w:jc w:val="left"/>
            </w:pPr>
            <w:r>
              <w:rPr>
                <w:rFonts w:ascii="Arial" w:hAnsi="Arial"/>
                <w:sz w:val="16"/>
              </w:rPr>
              <w:t xml:space="preserve">Management; FDA inspection database</w:t>
            </w:r>
          </w:p>
        </w:tc>
      </w:tr>
      <w:tr>
        <w:trPr>
          <w:cantSplit/>
        </w:trPr>
        <w:tc>
          <w:tcPr>
            <w:tcW w:type="dxa" w:w="3364"/>
          </w:tcPr>
          <w:p>
            <w:pPr>
              <w:pStyle w:val="Compact"/>
              <w:spacing w:after="0" w:before="0" w:line="240" w:lineRule="auto"/>
              <w:jc w:val="left"/>
            </w:pPr>
            <w:r>
              <w:rPr>
                <w:rFonts w:ascii="Arial" w:hAnsi="Arial"/>
                <w:sz w:val="16"/>
              </w:rPr>
              <w:t xml:space="preserve">FDA CGT spreadsheet and approval letters for ANDAs 214050, 217191 and 219856</w:t>
            </w:r>
          </w:p>
        </w:tc>
        <w:tc>
          <w:tcPr>
            <w:tcW w:type="dxa" w:w="3364"/>
          </w:tcPr>
          <w:p>
            <w:pPr>
              <w:pStyle w:val="Compact"/>
              <w:spacing w:after="0" w:before="0" w:line="240" w:lineRule="auto"/>
              <w:jc w:val="left"/>
            </w:pPr>
            <w:r>
              <w:rPr>
                <w:rFonts w:ascii="Arial" w:hAnsi="Arial"/>
                <w:sz w:val="16"/>
              </w:rPr>
              <w:t xml:space="preserve">Confirms strength-specific CGT treatment for HSS</w:t>
            </w:r>
          </w:p>
        </w:tc>
        <w:tc>
          <w:tcPr>
            <w:tcW w:type="dxa" w:w="3364"/>
          </w:tcPr>
          <w:p>
            <w:pPr>
              <w:pStyle w:val="Compact"/>
              <w:spacing w:after="0" w:before="0" w:line="240" w:lineRule="auto"/>
              <w:jc w:val="left"/>
            </w:pPr>
            <w:hyperlink r:id="rId34">
              <w:r>
                <w:rPr>
                  <w:rStyle w:val="Hyperlink"/>
                  <w:sz w:val="16"/>
                </w:rPr>
                <w:t xml:space="preserve">FDA CGT page</w:t>
              </w:r>
            </w:hyperlink>
            <w:r>
              <w:rPr>
                <w:rFonts w:ascii="Arial" w:hAnsi="Arial"/>
                <w:sz w:val="16"/>
              </w:rPr>
              <w:t xml:space="preserve"> </w:t>
            </w:r>
            <w:r>
              <w:rPr>
                <w:rFonts w:ascii="Arial" w:hAnsi="Arial"/>
                <w:sz w:val="16"/>
              </w:rPr>
              <w:t xml:space="preserve">(spreadsheet not parsed)</w:t>
            </w:r>
          </w:p>
        </w:tc>
      </w:tr>
      <w:tr>
        <w:trPr>
          <w:cantSplit/>
        </w:trPr>
        <w:tc>
          <w:tcPr>
            <w:tcW w:type="dxa" w:w="3364"/>
          </w:tcPr>
          <w:p>
            <w:pPr>
              <w:pStyle w:val="Compact"/>
              <w:spacing w:after="0" w:before="0" w:line="240" w:lineRule="auto"/>
              <w:jc w:val="left"/>
            </w:pPr>
            <w:r>
              <w:rPr>
                <w:rFonts w:ascii="Arial" w:hAnsi="Arial"/>
                <w:sz w:val="16"/>
              </w:rPr>
              <w:t xml:space="preserve">Partner identity and the milestone schedule</w:t>
            </w:r>
          </w:p>
        </w:tc>
        <w:tc>
          <w:tcPr>
            <w:tcW w:type="dxa" w:w="3364"/>
          </w:tcPr>
          <w:p>
            <w:pPr>
              <w:pStyle w:val="Compact"/>
              <w:spacing w:after="0" w:before="0" w:line="240" w:lineRule="auto"/>
              <w:jc w:val="left"/>
            </w:pPr>
            <w:r>
              <w:rPr>
                <w:rFonts w:ascii="Arial" w:hAnsi="Arial"/>
                <w:sz w:val="16"/>
              </w:rPr>
              <w:t xml:space="preserve">FY27/28 milestone timing (ICICI assumes ~₹100 cr in FY27E)</w:t>
            </w:r>
          </w:p>
        </w:tc>
        <w:tc>
          <w:tcPr>
            <w:tcW w:type="dxa" w:w="3364"/>
          </w:tcPr>
          <w:p>
            <w:pPr>
              <w:pStyle w:val="Compact"/>
              <w:spacing w:after="0" w:before="0" w:line="240" w:lineRule="auto"/>
              <w:jc w:val="left"/>
            </w:pPr>
            <w:r>
              <w:rPr>
                <w:rFonts w:ascii="Arial" w:hAnsi="Arial"/>
                <w:sz w:val="16"/>
              </w:rPr>
              <w:t xml:space="preserve">Q2FY27 results and call</w:t>
            </w:r>
          </w:p>
        </w:tc>
      </w:tr>
      <w:tr>
        <w:trPr>
          <w:cantSplit/>
        </w:trPr>
        <w:tc>
          <w:tcPr>
            <w:tcW w:type="dxa" w:w="3364"/>
          </w:tcPr>
          <w:p>
            <w:pPr>
              <w:pStyle w:val="Compact"/>
              <w:spacing w:after="0" w:before="0" w:line="240" w:lineRule="auto"/>
              <w:jc w:val="left"/>
            </w:pPr>
            <w:r>
              <w:rPr>
                <w:rFonts w:ascii="Arial" w:hAnsi="Arial"/>
                <w:sz w:val="16"/>
              </w:rPr>
              <w:t xml:space="preserve">Dated ASHP shortage timeline for MPSS and HSS, 2017–2026</w:t>
            </w:r>
          </w:p>
        </w:tc>
        <w:tc>
          <w:tcPr>
            <w:tcW w:type="dxa" w:w="3364"/>
          </w:tcPr>
          <w:p>
            <w:pPr>
              <w:pStyle w:val="Compact"/>
              <w:spacing w:after="0" w:before="0" w:line="240" w:lineRule="auto"/>
              <w:jc w:val="left"/>
            </w:pPr>
            <w:r>
              <w:rPr>
                <w:rFonts w:ascii="Arial" w:hAnsi="Arial"/>
                <w:sz w:val="16"/>
              </w:rPr>
              <w:t xml:space="preserve">Links price moves to supply events</w:t>
            </w:r>
          </w:p>
        </w:tc>
        <w:tc>
          <w:tcPr>
            <w:tcW w:type="dxa" w:w="3364"/>
          </w:tcPr>
          <w:p>
            <w:pPr>
              <w:pStyle w:val="Compact"/>
              <w:spacing w:after="0" w:before="0" w:line="240" w:lineRule="auto"/>
              <w:jc w:val="left"/>
            </w:pPr>
            <w:r>
              <w:rPr>
                <w:rFonts w:ascii="Arial" w:hAnsi="Arial"/>
                <w:sz w:val="16"/>
              </w:rPr>
              <w:t xml:space="preserve">ASHP pages (blocked with HTTP 403 during research)</w:t>
            </w:r>
          </w:p>
        </w:tc>
      </w:tr>
      <w:tr>
        <w:trPr>
          <w:cantSplit/>
        </w:trPr>
        <w:tc>
          <w:tcPr>
            <w:tcW w:type="dxa" w:w="3364"/>
          </w:tcPr>
          <w:p>
            <w:pPr>
              <w:pStyle w:val="Compact"/>
              <w:spacing w:after="0" w:before="0" w:line="240" w:lineRule="auto"/>
              <w:jc w:val="left"/>
            </w:pPr>
            <w:r>
              <w:rPr>
                <w:rFonts w:ascii="Arial" w:hAnsi="Arial"/>
                <w:sz w:val="16"/>
              </w:rPr>
              <w:t xml:space="preserve">CMS AMP price-substitution lists; Part B quarterly Q1 2026 file</w:t>
            </w:r>
          </w:p>
        </w:tc>
        <w:tc>
          <w:tcPr>
            <w:tcW w:type="dxa" w:w="3364"/>
          </w:tcPr>
          <w:p>
            <w:pPr>
              <w:pStyle w:val="Compact"/>
              <w:spacing w:after="0" w:before="0" w:line="240" w:lineRule="auto"/>
              <w:jc w:val="left"/>
            </w:pPr>
            <w:r>
              <w:rPr>
                <w:rFonts w:ascii="Arial" w:hAnsi="Arial"/>
                <w:sz w:val="16"/>
              </w:rPr>
              <w:t xml:space="preserve">Validates PL ÷ 1.06 and adds a 2026 volume read</w:t>
            </w:r>
          </w:p>
        </w:tc>
        <w:tc>
          <w:tcPr>
            <w:tcW w:type="dxa" w:w="3364"/>
          </w:tcPr>
          <w:p>
            <w:pPr>
              <w:pStyle w:val="Compact"/>
              <w:spacing w:after="0" w:before="0" w:line="240" w:lineRule="auto"/>
              <w:jc w:val="left"/>
            </w:pPr>
            <w:hyperlink r:id="rId26">
              <w:r>
                <w:rPr>
                  <w:rStyle w:val="Hyperlink"/>
                  <w:sz w:val="16"/>
                </w:rPr>
                <w:t xml:space="preserve">CMS ASP files</w:t>
              </w:r>
            </w:hyperlink>
            <w:r>
              <w:rPr>
                <w:rFonts w:ascii="Arial" w:hAnsi="Arial"/>
                <w:sz w:val="16"/>
              </w:rPr>
              <w:t xml:space="preserve">;</w:t>
            </w:r>
            <w:r>
              <w:rPr>
                <w:rFonts w:ascii="Arial" w:hAnsi="Arial"/>
                <w:sz w:val="16"/>
              </w:rPr>
              <w:t xml:space="preserve"> </w:t>
            </w:r>
            <w:hyperlink r:id="rId105">
              <w:r>
                <w:rPr>
                  <w:rStyle w:val="Hyperlink"/>
                  <w:sz w:val="16"/>
                </w:rPr>
                <w:t xml:space="preserve">Part B quarterly file</w:t>
              </w:r>
            </w:hyperlink>
          </w:p>
        </w:tc>
      </w:tr>
    </w:tbl>
    <w:bookmarkEnd w:id="106"/>
    <w:bookmarkStart w:id="108" w:name="compliance-note-avendus-was-a-brlm"/>
    <w:p>
      <w:pPr>
        <w:pStyle w:val="Heading2"/>
      </w:pPr>
      <w:r>
        <w:rPr>
          <w:rFonts w:ascii="Arial" w:hAnsi="Arial"/>
        </w:rPr>
        <w:t xml:space="preserve">Compliance note: Avendus was a BRLM</w:t>
      </w:r>
    </w:p>
    <w:p>
      <w:pPr>
        <w:pStyle w:val="FirstParagraph"/>
      </w:pPr>
      <w:r>
        <w:rPr>
          <w:rFonts w:ascii="Arial" w:hAnsi="Arial"/>
        </w:rPr>
        <w:t xml:space="preserve">The December 2025 DRHP coverage names</w:t>
      </w:r>
      <w:r>
        <w:rPr>
          <w:rFonts w:ascii="Arial" w:hAnsi="Arial"/>
        </w:rPr>
        <w:t xml:space="preserve"> </w:t>
      </w:r>
      <w:r>
        <w:rPr>
          <w:bCs/>
          <w:rFonts w:ascii="Arial" w:hAnsi="Arial"/>
          <w:b/>
        </w:rPr>
        <w:t xml:space="preserve">JM Financial, Nomura, Motilal Oswal and Avendus</w:t>
      </w:r>
      <w:r>
        <w:rPr>
          <w:rFonts w:ascii="Arial" w:hAnsi="Arial"/>
        </w:rPr>
        <w:t xml:space="preserve"> </w:t>
      </w:r>
      <w:r>
        <w:rPr>
          <w:rFonts w:ascii="Arial" w:hAnsi="Arial"/>
        </w:rPr>
        <w:t xml:space="preserve">as book-running lead managers on Symbiotec's IPO (</w:t>
      </w:r>
      <w:hyperlink r:id="rId107">
        <w:r>
          <w:rPr>
            <w:rStyle w:val="Hyperlink"/>
          </w:rPr>
          <w:t xml:space="preserve">The Week/PTI, 19 Dec 2025</w:t>
        </w:r>
      </w:hyperlink>
      <w:r>
        <w:rPr>
          <w:rFonts w:ascii="Arial" w:hAnsi="Arial"/>
        </w:rPr>
        <w:t xml:space="preserve">). Motilal Oswal was confined to marketing because of its link to selling shareholder India Business Excellence Fund-III (</w:t>
      </w:r>
      <w:hyperlink r:id="rId33">
        <w:r>
          <w:rPr>
            <w:rStyle w:val="Hyperlink"/>
          </w:rPr>
          <w:t xml:space="preserve">RHP p.44</w:t>
        </w:r>
      </w:hyperlink>
      <w:r>
        <w:rPr>
          <w:rFonts w:ascii="Arial" w:hAnsi="Arial"/>
        </w:rPr>
        <w:t xml:space="preserve">). If your desk is part of the Avendus group, confirm with compliance whether Symbiotec is on a restricted or watch list, whether any post-listing research blackout still applies, and what conflict disclosures a note must carry, before publishing or circulating this work externally.</w:t>
      </w:r>
    </w:p>
    <w:bookmarkEnd w:id="108"/>
    <w:bookmarkStart w:id="109" w:name="conclusion"/>
    <w:p>
      <w:pPr>
        <w:pStyle w:val="Heading2"/>
      </w:pPr>
      <w:r>
        <w:rPr>
          <w:rFonts w:ascii="Arial" w:hAnsi="Arial"/>
        </w:rPr>
        <w:t xml:space="preserve">Conclusion</w:t>
      </w:r>
    </w:p>
    <w:p>
      <w:pPr>
        <w:pStyle w:val="FirstParagraph"/>
      </w:pPr>
      <w:r>
        <w:rPr>
          <w:rFonts w:ascii="Arial" w:hAnsi="Arial"/>
        </w:rPr>
        <w:t xml:space="preserve">Symbiotec's opportunity is a format-and-strength arbitrage, not a molecule arbitrage. In MPSS the generic market already prices single vials at about US$3. There a DCV competes only for Pfizer's convenience premium, against an incumbent that has shown it will cut price. In HSS the protected ground is narrow but real: three Act-O-Vial-only strengths with no ANDA, list prices up 18–29% in two years, and a plausible CGT route.</w:t>
      </w:r>
    </w:p>
    <w:p>
      <w:pPr>
        <w:pStyle w:val="BodyText"/>
      </w:pPr>
      <w:r>
        <w:rPr>
          <w:rFonts w:ascii="Arial" w:hAnsi="Arial"/>
        </w:rPr>
        <w:t xml:space="preserve">Whether that ground is worth much depends on two numbers the public data cannot give: hospital-channel dollars for HSS 250 mg to 1 g, and which molecule went into the September 2026 filing. Your IQVIA pack data and one management question resolve both. The next hard checkpoint is the January 2027 ASP file, the first to show whether the 2026 HSS generic launches, or CMS's quiet change to 250 mg billing units, break J1720's decade-long climb.</w:t>
      </w:r>
    </w:p>
    <w:bookmarkEnd w:id="109"/>
    <w:bookmarkStart w:id="110" w:name="appendix-a-calculation-workbook"/>
    <w:p>
      <w:pPr>
        <w:pStyle w:val="Heading2"/>
      </w:pPr>
      <w:r>
        <w:rPr>
          <w:rFonts w:ascii="Arial" w:hAnsi="Arial"/>
        </w:rPr>
        <w:t xml:space="preserve">Appendix A: Calculation workbook</w:t>
      </w:r>
    </w:p>
    <w:p>
      <w:pPr>
        <w:pStyle w:val="FirstParagraph"/>
        <w:keepNext/>
      </w:pPr>
      <w:r>
        <w:rPr>
          <w:rFonts w:ascii="Arial" w:hAnsi="Arial"/>
        </w:rPr>
        <w:t xml:space="preserve">Every figure marked "our calculation" is rebuilt with live formulas in</w:t>
      </w:r>
      <w:r>
        <w:rPr>
          <w:rFonts w:ascii="Arial" w:hAnsi="Arial"/>
        </w:rPr>
        <w:t xml:space="preserve"> </w:t>
      </w:r>
      <w:r>
        <w:rPr>
          <w:bCs/>
          <w:rFonts w:ascii="Arial" w:hAnsi="Arial"/>
          <w:b/>
        </w:rPr>
        <w:t xml:space="preserve">Symbiotec DCV calculations.xlsx</w:t>
      </w:r>
      <w:r>
        <w:rPr>
          <w:rFonts w:ascii="Arial" w:hAnsi="Arial"/>
        </w:rPr>
        <w:t xml:space="preserve">. Inputs are blue and cite their source, formulas are black, cross-sheet links are green, and the two analyst assumptions (FX rate and the assumed filing day) are shaded yellow.</w:t>
      </w:r>
    </w:p>
    <w:tbl>
      <w:tblPr>
        <w:tblStyle w:val="Table"/>
        <w:tblLook w:firstRow="1" w:lastRow="0" w:firstColumn="0" w:lastColumn="0" w:noHBand="0" w:noVBand="0" w:val="002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20" w:type="dxa"/>
          <w:bottom w:w="20" w:type="dxa"/>
          <w:left w:w="50" w:type="dxa"/>
          <w:right w:w="50" w:type="dxa"/>
        </w:tblCellMar>
        <w:tblW w:w="5000" w:type="pct"/>
        <w:tblLayout w:type="fixed"/>
      </w:tblPr>
      <w:tblGrid>
        <w:gridCol w:w="2385"/>
        <w:gridCol w:w="5504"/>
        <w:gridCol w:w="2201"/>
      </w:tblGrid>
      <w:tr>
        <w:trPr>
          <w:tblHeader w:val="true"/>
          <w:tblHeader w:val="true"/>
          <w:cantSplit/>
        </w:trPr>
        <w:tc>
          <w:tcPr>
            <w:tcW w:type="dxa" w:w="2385"/>
            <w:shd w:val="clear" w:color="auto" w:fill="1F3864"/>
          </w:tcPr>
          <w:p>
            <w:pPr>
              <w:pStyle w:val="Compact"/>
              <w:spacing w:after="0" w:before="0" w:line="240" w:lineRule="auto"/>
              <w:jc w:val="left"/>
            </w:pPr>
            <w:r>
              <w:rPr>
                <w:rFonts w:ascii="Arial" w:hAnsi="Arial"/>
                <w:b/>
                <w:color w:val="FFFFFF"/>
                <w:sz w:val="16"/>
              </w:rPr>
              <w:t xml:space="preserve">Sheet</w:t>
            </w:r>
          </w:p>
        </w:tc>
        <w:tc>
          <w:tcPr>
            <w:tcW w:type="dxa" w:w="5504"/>
            <w:shd w:val="clear" w:color="auto" w:fill="1F3864"/>
          </w:tcPr>
          <w:p>
            <w:pPr>
              <w:pStyle w:val="Compact"/>
              <w:spacing w:after="0" w:before="0" w:line="240" w:lineRule="auto"/>
              <w:jc w:val="left"/>
            </w:pPr>
            <w:r>
              <w:rPr>
                <w:rFonts w:ascii="Arial" w:hAnsi="Arial"/>
                <w:b/>
                <w:color w:val="FFFFFF"/>
                <w:sz w:val="16"/>
              </w:rPr>
              <w:t xml:space="preserve">What it calculates</w:t>
            </w:r>
          </w:p>
        </w:tc>
        <w:tc>
          <w:tcPr>
            <w:tcW w:type="dxa" w:w="2202"/>
            <w:shd w:val="clear" w:color="auto" w:fill="1F3864"/>
          </w:tcPr>
          <w:p>
            <w:pPr>
              <w:pStyle w:val="Compact"/>
              <w:spacing w:after="0" w:before="0" w:line="240" w:lineRule="auto"/>
              <w:jc w:val="left"/>
            </w:pPr>
            <w:r>
              <w:rPr>
                <w:rFonts w:ascii="Arial" w:hAnsi="Arial"/>
                <w:b/>
                <w:color w:val="FFFFFF"/>
                <w:sz w:val="16"/>
              </w:rPr>
              <w:t xml:space="preserve">Report sections</w:t>
            </w:r>
          </w:p>
        </w:tc>
      </w:tr>
      <w:tr>
        <w:trPr>
          <w:cantSplit/>
        </w:trPr>
        <w:tc>
          <w:tcPr>
            <w:tcW w:type="dxa" w:w="2385"/>
          </w:tcPr>
          <w:p>
            <w:pPr>
              <w:pStyle w:val="Compact"/>
              <w:spacing w:after="0" w:before="0" w:line="240" w:lineRule="auto"/>
              <w:jc w:val="left"/>
            </w:pPr>
            <w:r>
              <w:rPr>
                <w:rFonts w:ascii="Arial" w:hAnsi="Arial"/>
                <w:sz w:val="16"/>
              </w:rPr>
              <w:t xml:space="preserve">Report_Map</w:t>
            </w:r>
          </w:p>
        </w:tc>
        <w:tc>
          <w:tcPr>
            <w:tcW w:type="dxa" w:w="5504"/>
          </w:tcPr>
          <w:p>
            <w:pPr>
              <w:pStyle w:val="Compact"/>
              <w:spacing w:after="0" w:before="0" w:line="240" w:lineRule="auto"/>
              <w:jc w:val="left"/>
            </w:pPr>
            <w:r>
              <w:rPr>
                <w:rFonts w:ascii="Arial" w:hAnsi="Arial"/>
                <w:sz w:val="16"/>
              </w:rPr>
              <w:t xml:space="preserve">Every number quoted in this report, linked live to the cell that calculates it, with a check against the rounding shown here</w:t>
            </w:r>
          </w:p>
        </w:tc>
        <w:tc>
          <w:tcPr>
            <w:tcW w:type="dxa" w:w="2202"/>
          </w:tcPr>
          <w:p>
            <w:pPr>
              <w:pStyle w:val="Compact"/>
              <w:spacing w:after="0" w:before="0" w:line="240" w:lineRule="auto"/>
              <w:jc w:val="left"/>
            </w:pPr>
            <w:r>
              <w:rPr>
                <w:rFonts w:ascii="Arial" w:hAnsi="Arial"/>
                <w:sz w:val="16"/>
              </w:rPr>
              <w:t xml:space="preserve">All</w:t>
            </w:r>
          </w:p>
        </w:tc>
      </w:tr>
      <w:tr>
        <w:trPr>
          <w:cantSplit/>
        </w:trPr>
        <w:tc>
          <w:tcPr>
            <w:tcW w:type="dxa" w:w="2385"/>
          </w:tcPr>
          <w:p>
            <w:pPr>
              <w:pStyle w:val="Compact"/>
              <w:spacing w:after="0" w:before="0" w:line="240" w:lineRule="auto"/>
              <w:jc w:val="left"/>
            </w:pPr>
            <w:r>
              <w:rPr>
                <w:rFonts w:ascii="Arial" w:hAnsi="Arial"/>
                <w:sz w:val="16"/>
              </w:rPr>
              <w:t xml:space="preserve">Assumptions</w:t>
            </w:r>
          </w:p>
        </w:tc>
        <w:tc>
          <w:tcPr>
            <w:tcW w:type="dxa" w:w="5504"/>
          </w:tcPr>
          <w:p>
            <w:pPr>
              <w:pStyle w:val="Compact"/>
              <w:spacing w:after="0" w:before="0" w:line="240" w:lineRule="auto"/>
              <w:jc w:val="left"/>
            </w:pPr>
            <w:r>
              <w:rPr>
                <w:rFonts w:ascii="Arial" w:hAnsi="Arial"/>
                <w:sz w:val="16"/>
              </w:rPr>
              <w:t xml:space="preserve">ASP divisor (1.06), billing units per vial, code-change quarter, FX, 10-month review goal, key dates</w:t>
            </w:r>
          </w:p>
        </w:tc>
        <w:tc>
          <w:tcPr>
            <w:tcW w:type="dxa" w:w="2202"/>
          </w:tcPr>
          <w:p>
            <w:pPr>
              <w:pStyle w:val="Compact"/>
              <w:spacing w:after="0" w:before="0" w:line="240" w:lineRule="auto"/>
              <w:jc w:val="left"/>
            </w:pPr>
            <w:r>
              <w:rPr>
                <w:rFonts w:ascii="Arial" w:hAnsi="Arial"/>
                <w:sz w:val="16"/>
              </w:rPr>
              <w:t xml:space="preserve">All</w:t>
            </w:r>
          </w:p>
        </w:tc>
      </w:tr>
      <w:tr>
        <w:trPr>
          <w:cantSplit/>
        </w:trPr>
        <w:tc>
          <w:tcPr>
            <w:tcW w:type="dxa" w:w="2385"/>
          </w:tcPr>
          <w:p>
            <w:pPr>
              <w:pStyle w:val="Compact"/>
              <w:spacing w:after="0" w:before="0" w:line="240" w:lineRule="auto"/>
              <w:jc w:val="left"/>
            </w:pPr>
            <w:r>
              <w:rPr>
                <w:rFonts w:ascii="Arial" w:hAnsi="Arial"/>
                <w:sz w:val="16"/>
              </w:rPr>
              <w:t xml:space="preserve">CMS_PL</w:t>
            </w:r>
          </w:p>
        </w:tc>
        <w:tc>
          <w:tcPr>
            <w:tcW w:type="dxa" w:w="5504"/>
          </w:tcPr>
          <w:p>
            <w:pPr>
              <w:pStyle w:val="Compact"/>
              <w:spacing w:after="0" w:before="0" w:line="240" w:lineRule="auto"/>
              <w:jc w:val="left"/>
            </w:pPr>
            <w:r>
              <w:rPr>
                <w:rFonts w:ascii="Arial" w:hAnsi="Arial"/>
                <w:sz w:val="16"/>
              </w:rPr>
              <w:t xml:space="preserve">Input: Part B payment limit per billing unit for J2920, J2930, J2919, J1720, J1020, J1030, J1040, J1010, Q1 2016 to Q4 2026</w:t>
            </w:r>
          </w:p>
        </w:tc>
        <w:tc>
          <w:tcPr>
            <w:tcW w:type="dxa" w:w="2202"/>
          </w:tcPr>
          <w:p>
            <w:pPr>
              <w:pStyle w:val="Compact"/>
              <w:spacing w:after="0" w:before="0" w:line="240" w:lineRule="auto"/>
              <w:jc w:val="left"/>
            </w:pPr>
            <w:r>
              <w:rPr>
                <w:rFonts w:ascii="Arial" w:hAnsi="Arial"/>
                <w:sz w:val="16"/>
              </w:rPr>
              <w:t xml:space="preserve">ASP</w:t>
            </w:r>
          </w:p>
        </w:tc>
      </w:tr>
      <w:tr>
        <w:trPr>
          <w:cantSplit/>
        </w:trPr>
        <w:tc>
          <w:tcPr>
            <w:tcW w:type="dxa" w:w="2385"/>
          </w:tcPr>
          <w:p>
            <w:pPr>
              <w:pStyle w:val="Compact"/>
              <w:spacing w:after="0" w:before="0" w:line="240" w:lineRule="auto"/>
              <w:jc w:val="left"/>
            </w:pPr>
            <w:r>
              <w:rPr>
                <w:rFonts w:ascii="Arial" w:hAnsi="Arial"/>
                <w:sz w:val="16"/>
              </w:rPr>
              <w:t xml:space="preserve">ASP_per_vial</w:t>
            </w:r>
          </w:p>
        </w:tc>
        <w:tc>
          <w:tcPr>
            <w:tcW w:type="dxa" w:w="5504"/>
          </w:tcPr>
          <w:p>
            <w:pPr>
              <w:pStyle w:val="Compact"/>
              <w:spacing w:after="0" w:before="0" w:line="240" w:lineRule="auto"/>
              <w:jc w:val="left"/>
            </w:pPr>
            <w:r>
              <w:rPr>
                <w:rFonts w:ascii="Arial" w:hAnsi="Arial"/>
                <w:sz w:val="16"/>
              </w:rPr>
              <w:t xml:space="preserve">Implied ASP per vial by quarter and annual average</w:t>
            </w:r>
          </w:p>
        </w:tc>
        <w:tc>
          <w:tcPr>
            <w:tcW w:type="dxa" w:w="2202"/>
          </w:tcPr>
          <w:p>
            <w:pPr>
              <w:pStyle w:val="Compact"/>
              <w:spacing w:after="0" w:before="0" w:line="240" w:lineRule="auto"/>
              <w:jc w:val="left"/>
            </w:pPr>
            <w:r>
              <w:rPr>
                <w:rFonts w:ascii="Arial" w:hAnsi="Arial"/>
                <w:sz w:val="16"/>
              </w:rPr>
              <w:t xml:space="preserve">At a glance; ASP tables</w:t>
            </w:r>
          </w:p>
        </w:tc>
      </w:tr>
      <w:tr>
        <w:trPr>
          <w:cantSplit/>
        </w:trPr>
        <w:tc>
          <w:tcPr>
            <w:tcW w:type="dxa" w:w="2385"/>
          </w:tcPr>
          <w:p>
            <w:pPr>
              <w:pStyle w:val="Compact"/>
              <w:spacing w:after="0" w:before="0" w:line="240" w:lineRule="auto"/>
              <w:jc w:val="left"/>
            </w:pPr>
            <w:r>
              <w:rPr>
                <w:rFonts w:ascii="Arial" w:hAnsi="Arial"/>
                <w:sz w:val="16"/>
              </w:rPr>
              <w:t xml:space="preserve">ASP_growth</w:t>
            </w:r>
          </w:p>
        </w:tc>
        <w:tc>
          <w:tcPr>
            <w:tcW w:type="dxa" w:w="5504"/>
          </w:tcPr>
          <w:p>
            <w:pPr>
              <w:pStyle w:val="Compact"/>
              <w:spacing w:after="0" w:before="0" w:line="240" w:lineRule="auto"/>
              <w:jc w:val="left"/>
            </w:pPr>
            <w:r>
              <w:rPr>
                <w:rFonts w:ascii="Arial" w:hAnsi="Arial"/>
                <w:sz w:val="16"/>
              </w:rPr>
              <w:t xml:space="preserve">Old-code and new-code peaks, 1y change, 3y and 5y CAGRs, quarter-on-quarter moves</w:t>
            </w:r>
          </w:p>
        </w:tc>
        <w:tc>
          <w:tcPr>
            <w:tcW w:type="dxa" w:w="2202"/>
          </w:tcPr>
          <w:p>
            <w:pPr>
              <w:pStyle w:val="Compact"/>
              <w:spacing w:after="0" w:before="0" w:line="240" w:lineRule="auto"/>
              <w:jc w:val="left"/>
            </w:pPr>
            <w:r>
              <w:rPr>
                <w:rFonts w:ascii="Arial" w:hAnsi="Arial"/>
                <w:sz w:val="16"/>
              </w:rPr>
              <w:t xml:space="preserve">ASP</w:t>
            </w:r>
          </w:p>
        </w:tc>
      </w:tr>
      <w:tr>
        <w:trPr>
          <w:cantSplit/>
        </w:trPr>
        <w:tc>
          <w:tcPr>
            <w:tcW w:type="dxa" w:w="2385"/>
          </w:tcPr>
          <w:p>
            <w:pPr>
              <w:pStyle w:val="Compact"/>
              <w:spacing w:after="0" w:before="0" w:line="240" w:lineRule="auto"/>
              <w:jc w:val="left"/>
            </w:pPr>
            <w:r>
              <w:rPr>
                <w:rFonts w:ascii="Arial" w:hAnsi="Arial"/>
                <w:sz w:val="16"/>
              </w:rPr>
              <w:t xml:space="preserve">Pfizer_WAC</w:t>
            </w:r>
          </w:p>
        </w:tc>
        <w:tc>
          <w:tcPr>
            <w:tcW w:type="dxa" w:w="5504"/>
          </w:tcPr>
          <w:p>
            <w:pPr>
              <w:pStyle w:val="Compact"/>
              <w:spacing w:after="0" w:before="0" w:line="240" w:lineRule="auto"/>
              <w:jc w:val="left"/>
            </w:pPr>
            <w:r>
              <w:rPr>
                <w:rFonts w:ascii="Arial" w:hAnsi="Arial"/>
                <w:sz w:val="16"/>
              </w:rPr>
              <w:t xml:space="preserve">List price per vial by presentation and date; 2024-26 changes; mid-2025 Solu-Medrol cuts; ASP vs WAC</w:t>
            </w:r>
          </w:p>
        </w:tc>
        <w:tc>
          <w:tcPr>
            <w:tcW w:type="dxa" w:w="2202"/>
          </w:tcPr>
          <w:p>
            <w:pPr>
              <w:pStyle w:val="Compact"/>
              <w:spacing w:after="0" w:before="0" w:line="240" w:lineRule="auto"/>
              <w:jc w:val="left"/>
            </w:pPr>
            <w:r>
              <w:rPr>
                <w:rFonts w:ascii="Arial" w:hAnsi="Arial"/>
                <w:sz w:val="16"/>
              </w:rPr>
              <w:t xml:space="preserve">Price points</w:t>
            </w:r>
          </w:p>
        </w:tc>
      </w:tr>
      <w:tr>
        <w:trPr>
          <w:cantSplit/>
        </w:trPr>
        <w:tc>
          <w:tcPr>
            <w:tcW w:type="dxa" w:w="2385"/>
          </w:tcPr>
          <w:p>
            <w:pPr>
              <w:pStyle w:val="Compact"/>
              <w:spacing w:after="0" w:before="0" w:line="240" w:lineRule="auto"/>
              <w:jc w:val="left"/>
            </w:pPr>
            <w:r>
              <w:rPr>
                <w:rFonts w:ascii="Arial" w:hAnsi="Arial"/>
                <w:sz w:val="16"/>
              </w:rPr>
              <w:t xml:space="preserve">NADAC</w:t>
            </w:r>
          </w:p>
        </w:tc>
        <w:tc>
          <w:tcPr>
            <w:tcW w:type="dxa" w:w="5504"/>
          </w:tcPr>
          <w:p>
            <w:pPr>
              <w:pStyle w:val="Compact"/>
              <w:spacing w:after="0" w:before="0" w:line="240" w:lineRule="auto"/>
              <w:jc w:val="left"/>
            </w:pPr>
            <w:r>
              <w:rPr>
                <w:rFonts w:ascii="Arial" w:hAnsi="Arial"/>
                <w:sz w:val="16"/>
              </w:rPr>
              <w:t xml:space="preserve">Generic acquisition cost as % of brand</w:t>
            </w:r>
          </w:p>
        </w:tc>
        <w:tc>
          <w:tcPr>
            <w:tcW w:type="dxa" w:w="2202"/>
          </w:tcPr>
          <w:p>
            <w:pPr>
              <w:pStyle w:val="Compact"/>
              <w:spacing w:after="0" w:before="0" w:line="240" w:lineRule="auto"/>
              <w:jc w:val="left"/>
            </w:pPr>
            <w:r>
              <w:rPr>
                <w:rFonts w:ascii="Arial" w:hAnsi="Arial"/>
                <w:sz w:val="16"/>
              </w:rPr>
              <w:t xml:space="preserve">Price points</w:t>
            </w:r>
          </w:p>
        </w:tc>
      </w:tr>
      <w:tr>
        <w:trPr>
          <w:cantSplit/>
        </w:trPr>
        <w:tc>
          <w:tcPr>
            <w:tcW w:type="dxa" w:w="2385"/>
          </w:tcPr>
          <w:p>
            <w:pPr>
              <w:pStyle w:val="Compact"/>
              <w:spacing w:after="0" w:before="0" w:line="240" w:lineRule="auto"/>
              <w:jc w:val="left"/>
            </w:pPr>
            <w:r>
              <w:rPr>
                <w:rFonts w:ascii="Arial" w:hAnsi="Arial"/>
                <w:sz w:val="16"/>
              </w:rPr>
              <w:t xml:space="preserve">SDUD_NDC_data</w:t>
            </w:r>
          </w:p>
        </w:tc>
        <w:tc>
          <w:tcPr>
            <w:tcW w:type="dxa" w:w="5504"/>
          </w:tcPr>
          <w:p>
            <w:pPr>
              <w:pStyle w:val="Compact"/>
              <w:spacing w:after="0" w:before="0" w:line="240" w:lineRule="auto"/>
              <w:jc w:val="left"/>
            </w:pPr>
            <w:r>
              <w:rPr>
                <w:rFonts w:ascii="Arial" w:hAnsi="Arial"/>
                <w:sz w:val="16"/>
              </w:rPr>
              <w:t xml:space="preserve">Input: Medicaid prescriptions, units and dollars by NDC and year</w:t>
            </w:r>
          </w:p>
        </w:tc>
        <w:tc>
          <w:tcPr>
            <w:tcW w:type="dxa" w:w="2202"/>
          </w:tcPr>
          <w:p>
            <w:pPr>
              <w:pStyle w:val="Compact"/>
              <w:spacing w:after="0" w:before="0" w:line="240" w:lineRule="auto"/>
              <w:jc w:val="left"/>
            </w:pPr>
            <w:r>
              <w:rPr>
                <w:rFonts w:ascii="Arial" w:hAnsi="Arial"/>
                <w:sz w:val="16"/>
              </w:rPr>
              <w:t xml:space="preserve">Share proxies</w:t>
            </w:r>
          </w:p>
        </w:tc>
      </w:tr>
      <w:tr>
        <w:trPr>
          <w:cantSplit/>
        </w:trPr>
        <w:tc>
          <w:tcPr>
            <w:tcW w:type="dxa" w:w="2385"/>
          </w:tcPr>
          <w:p>
            <w:pPr>
              <w:pStyle w:val="Compact"/>
              <w:spacing w:after="0" w:before="0" w:line="240" w:lineRule="auto"/>
              <w:jc w:val="left"/>
            </w:pPr>
            <w:r>
              <w:rPr>
                <w:rFonts w:ascii="Arial" w:hAnsi="Arial"/>
                <w:sz w:val="16"/>
              </w:rPr>
              <w:t xml:space="preserve">Medicaid_SDUD</w:t>
            </w:r>
          </w:p>
        </w:tc>
        <w:tc>
          <w:tcPr>
            <w:tcW w:type="dxa" w:w="5504"/>
          </w:tcPr>
          <w:p>
            <w:pPr>
              <w:pStyle w:val="Compact"/>
              <w:spacing w:after="0" w:before="0" w:line="240" w:lineRule="auto"/>
              <w:jc w:val="left"/>
            </w:pPr>
            <w:r>
              <w:rPr>
                <w:rFonts w:ascii="Arial" w:hAnsi="Arial"/>
                <w:sz w:val="16"/>
              </w:rPr>
              <w:t xml:space="preserve">Prescription and dollar shares by labeler and strength; HSS large-vial slice; 250 mg billing-unit drag</w:t>
            </w:r>
          </w:p>
        </w:tc>
        <w:tc>
          <w:tcPr>
            <w:tcW w:type="dxa" w:w="2202"/>
          </w:tcPr>
          <w:p>
            <w:pPr>
              <w:pStyle w:val="Compact"/>
              <w:spacing w:after="0" w:before="0" w:line="240" w:lineRule="auto"/>
              <w:jc w:val="left"/>
            </w:pPr>
            <w:r>
              <w:rPr>
                <w:rFonts w:ascii="Arial" w:hAnsi="Arial"/>
                <w:sz w:val="16"/>
              </w:rPr>
              <w:t xml:space="preserve">Share proxies; caveats</w:t>
            </w:r>
          </w:p>
        </w:tc>
      </w:tr>
      <w:tr>
        <w:trPr>
          <w:cantSplit/>
        </w:trPr>
        <w:tc>
          <w:tcPr>
            <w:tcW w:type="dxa" w:w="2385"/>
          </w:tcPr>
          <w:p>
            <w:pPr>
              <w:pStyle w:val="Compact"/>
              <w:spacing w:after="0" w:before="0" w:line="240" w:lineRule="auto"/>
              <w:jc w:val="left"/>
            </w:pPr>
            <w:r>
              <w:rPr>
                <w:rFonts w:ascii="Arial" w:hAnsi="Arial"/>
                <w:sz w:val="16"/>
              </w:rPr>
              <w:t xml:space="preserve">CMS_Spending</w:t>
            </w:r>
          </w:p>
        </w:tc>
        <w:tc>
          <w:tcPr>
            <w:tcW w:type="dxa" w:w="5504"/>
          </w:tcPr>
          <w:p>
            <w:pPr>
              <w:pStyle w:val="Compact"/>
              <w:spacing w:after="0" w:before="0" w:line="240" w:lineRule="auto"/>
              <w:jc w:val="left"/>
            </w:pPr>
            <w:r>
              <w:rPr>
                <w:rFonts w:ascii="Arial" w:hAnsi="Arial"/>
                <w:sz w:val="16"/>
              </w:rPr>
              <w:t xml:space="preserve">Part D and Medicaid Spending by Drug 2024; Part B volume and spend per unit; HSS vs MPSS spend ratios</w:t>
            </w:r>
          </w:p>
        </w:tc>
        <w:tc>
          <w:tcPr>
            <w:tcW w:type="dxa" w:w="2202"/>
          </w:tcPr>
          <w:p>
            <w:pPr>
              <w:pStyle w:val="Compact"/>
              <w:spacing w:after="0" w:before="0" w:line="240" w:lineRule="auto"/>
              <w:jc w:val="left"/>
            </w:pPr>
            <w:r>
              <w:rPr>
                <w:rFonts w:ascii="Arial" w:hAnsi="Arial"/>
                <w:sz w:val="16"/>
              </w:rPr>
              <w:t xml:space="preserve">Share proxies; market size</w:t>
            </w:r>
          </w:p>
        </w:tc>
      </w:tr>
      <w:tr>
        <w:trPr>
          <w:cantSplit/>
        </w:trPr>
        <w:tc>
          <w:tcPr>
            <w:tcW w:type="dxa" w:w="2385"/>
          </w:tcPr>
          <w:p>
            <w:pPr>
              <w:pStyle w:val="Compact"/>
              <w:spacing w:after="0" w:before="0" w:line="240" w:lineRule="auto"/>
              <w:jc w:val="left"/>
            </w:pPr>
            <w:r>
              <w:rPr>
                <w:rFonts w:ascii="Arial" w:hAnsi="Arial"/>
                <w:sz w:val="16"/>
              </w:rPr>
              <w:t xml:space="preserve">Market_Size</w:t>
            </w:r>
          </w:p>
        </w:tc>
        <w:tc>
          <w:tcPr>
            <w:tcW w:type="dxa" w:w="5504"/>
          </w:tcPr>
          <w:p>
            <w:pPr>
              <w:pStyle w:val="Compact"/>
              <w:spacing w:after="0" w:before="0" w:line="240" w:lineRule="auto"/>
              <w:jc w:val="left"/>
            </w:pPr>
            <w:r>
              <w:rPr>
                <w:rFonts w:ascii="Arial" w:hAnsi="Arial"/>
                <w:sz w:val="16"/>
              </w:rPr>
              <w:t xml:space="preserve">Market-size figures, ICICI estimates in US$, Pfizer Medrol revenue, capacity cross-check</w:t>
            </w:r>
          </w:p>
        </w:tc>
        <w:tc>
          <w:tcPr>
            <w:tcW w:type="dxa" w:w="2202"/>
          </w:tcPr>
          <w:p>
            <w:pPr>
              <w:pStyle w:val="Compact"/>
              <w:spacing w:after="0" w:before="0" w:line="240" w:lineRule="auto"/>
              <w:jc w:val="left"/>
            </w:pPr>
            <w:r>
              <w:rPr>
                <w:rFonts w:ascii="Arial" w:hAnsi="Arial"/>
                <w:sz w:val="16"/>
              </w:rPr>
              <w:t xml:space="preserve">Market size; implications</w:t>
            </w:r>
          </w:p>
        </w:tc>
      </w:tr>
      <w:tr>
        <w:trPr>
          <w:cantSplit/>
        </w:trPr>
        <w:tc>
          <w:tcPr>
            <w:tcW w:type="dxa" w:w="2385"/>
          </w:tcPr>
          <w:p>
            <w:pPr>
              <w:pStyle w:val="Compact"/>
              <w:spacing w:after="0" w:before="0" w:line="240" w:lineRule="auto"/>
              <w:jc w:val="left"/>
            </w:pPr>
            <w:r>
              <w:rPr>
                <w:rFonts w:ascii="Arial" w:hAnsi="Arial"/>
                <w:sz w:val="16"/>
              </w:rPr>
              <w:t xml:space="preserve">Timing</w:t>
            </w:r>
          </w:p>
        </w:tc>
        <w:tc>
          <w:tcPr>
            <w:tcW w:type="dxa" w:w="5504"/>
          </w:tcPr>
          <w:p>
            <w:pPr>
              <w:pStyle w:val="Compact"/>
              <w:spacing w:after="0" w:before="0" w:line="240" w:lineRule="auto"/>
              <w:jc w:val="left"/>
            </w:pPr>
            <w:r>
              <w:rPr>
                <w:rFonts w:ascii="Arial" w:hAnsi="Arial"/>
                <w:sz w:val="16"/>
              </w:rPr>
              <w:t xml:space="preserve">Earliest FDA action date, fiscal year, CGT exclusivity end</w:t>
            </w:r>
          </w:p>
        </w:tc>
        <w:tc>
          <w:tcPr>
            <w:tcW w:type="dxa" w:w="2202"/>
          </w:tcPr>
          <w:p>
            <w:pPr>
              <w:pStyle w:val="Compact"/>
              <w:spacing w:after="0" w:before="0" w:line="240" w:lineRule="auto"/>
              <w:jc w:val="left"/>
            </w:pPr>
            <w:r>
              <w:rPr>
                <w:rFonts w:ascii="Arial" w:hAnsi="Arial"/>
                <w:sz w:val="16"/>
              </w:rPr>
              <w:t xml:space="preserve">Timing</w:t>
            </w:r>
          </w:p>
        </w:tc>
      </w:tr>
      <w:tr>
        <w:trPr>
          <w:cantSplit/>
        </w:trPr>
        <w:tc>
          <w:tcPr>
            <w:tcW w:type="dxa" w:w="2385"/>
          </w:tcPr>
          <w:p>
            <w:pPr>
              <w:pStyle w:val="Compact"/>
              <w:spacing w:after="0" w:before="0" w:line="240" w:lineRule="auto"/>
              <w:jc w:val="left"/>
            </w:pPr>
            <w:r>
              <w:rPr>
                <w:rFonts w:ascii="Arial" w:hAnsi="Arial"/>
                <w:sz w:val="16"/>
              </w:rPr>
              <w:t xml:space="preserve">Sources</w:t>
            </w:r>
          </w:p>
        </w:tc>
        <w:tc>
          <w:tcPr>
            <w:tcW w:type="dxa" w:w="5504"/>
          </w:tcPr>
          <w:p>
            <w:pPr>
              <w:pStyle w:val="Compact"/>
              <w:spacing w:after="0" w:before="0" w:line="240" w:lineRule="auto"/>
              <w:jc w:val="left"/>
            </w:pPr>
            <w:r>
              <w:rPr>
                <w:rFonts w:ascii="Arial" w:hAnsi="Arial"/>
                <w:sz w:val="16"/>
              </w:rPr>
              <w:t xml:space="preserve">Every source used in the workbook, with links</w:t>
            </w:r>
          </w:p>
        </w:tc>
        <w:tc>
          <w:tcPr>
            <w:tcW w:type="dxa" w:w="2202"/>
          </w:tcPr>
          <w:p>
            <w:pPr>
              <w:pStyle w:val="Compact"/>
              <w:spacing w:after="0" w:before="0" w:line="240" w:lineRule="auto"/>
              <w:jc w:val="left"/>
            </w:pPr>
            <w:r>
              <w:rPr>
                <w:rFonts w:ascii="Arial" w:hAnsi="Arial"/>
                <w:sz w:val="16"/>
              </w:rPr>
              <w:t xml:space="preserve">All</w:t>
            </w:r>
          </w:p>
        </w:tc>
      </w:tr>
    </w:tbl>
    <w:bookmarkEnd w:id="110"/>
    <w:bookmarkStart w:id="111" w:name="appendix-b-source-list"/>
    <w:p>
      <w:pPr>
        <w:pStyle w:val="Heading2"/>
      </w:pPr>
      <w:r>
        <w:rPr>
          <w:rFonts w:ascii="Arial" w:hAnsi="Arial"/>
        </w:rPr>
        <w:t xml:space="preserve">Appendix B: Source list</w:t>
      </w:r>
    </w:p>
    <w:p>
      <w:pPr>
        <w:pStyle w:val="FirstParagraph"/>
      </w:pPr>
      <w:r>
        <w:rPr>
          <w:rFonts w:ascii="Arial" w:hAnsi="Arial"/>
        </w:rPr>
        <w:t xml:space="preserve">All links were opened and checked on 21 October 2026.</w:t>
      </w:r>
    </w:p>
    <w:p>
      <w:pPr>
        <w:numPr>
          <w:ilvl w:val="0"/>
          <w:numId w:val="1016"/>
        </w:numPr>
        <w:pStyle w:val="Compact"/>
      </w:pPr>
      <w:r>
        <w:rPr>
          <w:rFonts w:ascii="Arial" w:hAnsi="Arial"/>
        </w:rPr>
        <w:t xml:space="preserve">FDA Orange Book data file (9 Oct 2026):</w:t>
      </w:r>
      <w:r>
        <w:rPr>
          <w:rFonts w:ascii="Arial" w:hAnsi="Arial"/>
        </w:rPr>
        <w:t xml:space="preserve"> </w:t>
      </w:r>
      <w:hyperlink r:id="rId20">
        <w:r>
          <w:rPr>
            <w:rStyle w:val="Hyperlink"/>
          </w:rPr>
          <w:t xml:space="preserve">https://www.fda.gov/media/76860/download</w:t>
        </w:r>
      </w:hyperlink>
    </w:p>
    <w:p>
      <w:pPr>
        <w:numPr>
          <w:ilvl w:val="0"/>
          <w:numId w:val="1016"/>
        </w:numPr>
        <w:pStyle w:val="Compact"/>
      </w:pPr>
      <w:r>
        <w:rPr>
          <w:rFonts w:ascii="Arial" w:hAnsi="Arial"/>
        </w:rPr>
        <w:t xml:space="preserve">openFDA NDC directory: methylprednisolone sodium succinate:</w:t>
      </w:r>
      <w:r>
        <w:rPr>
          <w:rFonts w:ascii="Arial" w:hAnsi="Arial"/>
        </w:rPr>
        <w:t xml:space="preserve"> </w:t>
      </w:r>
      <w:hyperlink r:id="rId21">
        <w:r>
          <w:rPr>
            <w:rStyle w:val="Hyperlink"/>
          </w:rPr>
          <w:t xml:space="preserve">https://api.fda.gov/drug/ndc.json?search=active_ingredients.name:%22METHYLPREDNISOLONE+SODIUM+SUCCINATE%22&amp;limit=200</w:t>
        </w:r>
      </w:hyperlink>
    </w:p>
    <w:p>
      <w:pPr>
        <w:numPr>
          <w:ilvl w:val="0"/>
          <w:numId w:val="1016"/>
        </w:numPr>
        <w:pStyle w:val="Compact"/>
      </w:pPr>
      <w:r>
        <w:rPr>
          <w:rFonts w:ascii="Arial" w:hAnsi="Arial"/>
        </w:rPr>
        <w:t xml:space="preserve">CMS October 2026 NDC-HCPCS crosswalk:</w:t>
      </w:r>
      <w:r>
        <w:rPr>
          <w:rFonts w:ascii="Arial" w:hAnsi="Arial"/>
        </w:rPr>
        <w:t xml:space="preserve"> </w:t>
      </w:r>
      <w:hyperlink r:id="rId22">
        <w:r>
          <w:rPr>
            <w:rStyle w:val="Hyperlink"/>
          </w:rPr>
          <w:t xml:space="preserve">https://www.cms.gov/files/zip/october-2026-ndc-hcpcs-crosswalk-final.zip</w:t>
        </w:r>
      </w:hyperlink>
    </w:p>
    <w:p>
      <w:pPr>
        <w:numPr>
          <w:ilvl w:val="0"/>
          <w:numId w:val="1016"/>
        </w:numPr>
        <w:pStyle w:val="Compact"/>
      </w:pPr>
      <w:r>
        <w:rPr>
          <w:rFonts w:ascii="Arial" w:hAnsi="Arial"/>
        </w:rPr>
        <w:t xml:space="preserve">DailyMed label: Dr. Reddy's methylprednisolone sodium succinate (made by Tianjin Kingyork):</w:t>
      </w:r>
      <w:r>
        <w:rPr>
          <w:rFonts w:ascii="Arial" w:hAnsi="Arial"/>
        </w:rPr>
        <w:t xml:space="preserve"> </w:t>
      </w:r>
      <w:hyperlink r:id="rId23">
        <w:r>
          <w:rPr>
            <w:rStyle w:val="Hyperlink"/>
          </w:rPr>
          <w:t xml:space="preserve">https://dailymed.nlm.nih.gov/dailymed/drugInfo.cfm?setid=738753c7-507d-4881-5194-02dd7597768b</w:t>
        </w:r>
      </w:hyperlink>
    </w:p>
    <w:p>
      <w:pPr>
        <w:numPr>
          <w:ilvl w:val="0"/>
          <w:numId w:val="1016"/>
        </w:numPr>
        <w:pStyle w:val="Compact"/>
      </w:pPr>
      <w:r>
        <w:rPr>
          <w:rFonts w:ascii="Arial" w:hAnsi="Arial"/>
        </w:rPr>
        <w:t xml:space="preserve">DailyMed label: Civica methylprednisolone sodium succinate:</w:t>
      </w:r>
      <w:r>
        <w:rPr>
          <w:rFonts w:ascii="Arial" w:hAnsi="Arial"/>
        </w:rPr>
        <w:t xml:space="preserve"> </w:t>
      </w:r>
      <w:hyperlink r:id="rId24">
        <w:r>
          <w:rPr>
            <w:rStyle w:val="Hyperlink"/>
          </w:rPr>
          <w:t xml:space="preserve">https://dailymed.nlm.nih.gov/dailymed/drugInfo.cfm?setid=2e6020f5-a486-41cc-8956-58b5f6751aa2</w:t>
        </w:r>
      </w:hyperlink>
    </w:p>
    <w:p>
      <w:pPr>
        <w:numPr>
          <w:ilvl w:val="0"/>
          <w:numId w:val="1016"/>
        </w:numPr>
        <w:pStyle w:val="Compact"/>
      </w:pPr>
      <w:r>
        <w:rPr>
          <w:rFonts w:ascii="Arial" w:hAnsi="Arial"/>
        </w:rPr>
        <w:t xml:space="preserve">Medicaid State Drug Utilization Data 2026:</w:t>
      </w:r>
      <w:r>
        <w:rPr>
          <w:rFonts w:ascii="Arial" w:hAnsi="Arial"/>
        </w:rPr>
        <w:t xml:space="preserve"> </w:t>
      </w:r>
      <w:hyperlink r:id="rId25">
        <w:r>
          <w:rPr>
            <w:rStyle w:val="Hyperlink"/>
          </w:rPr>
          <w:t xml:space="preserve">https://data.medicaid.gov/dataset/2957a7f9-9a15-453e-9afd-3bbdcbac8fd3</w:t>
        </w:r>
      </w:hyperlink>
    </w:p>
    <w:p>
      <w:pPr>
        <w:numPr>
          <w:ilvl w:val="0"/>
          <w:numId w:val="1016"/>
        </w:numPr>
        <w:pStyle w:val="Compact"/>
      </w:pPr>
      <w:r>
        <w:rPr>
          <w:rFonts w:ascii="Arial" w:hAnsi="Arial"/>
        </w:rPr>
        <w:t xml:space="preserve">CMS Part B ASP pricing files, 2016-2026 (index page):</w:t>
      </w:r>
      <w:r>
        <w:rPr>
          <w:rFonts w:ascii="Arial" w:hAnsi="Arial"/>
        </w:rPr>
        <w:t xml:space="preserve"> </w:t>
      </w:r>
      <w:hyperlink r:id="rId26">
        <w:r>
          <w:rPr>
            <w:rStyle w:val="Hyperlink"/>
          </w:rPr>
          <w:t xml:space="preserve">https://www.cms.gov/medicare/payment/part-b-drugs/asp-pricing-files</w:t>
        </w:r>
      </w:hyperlink>
    </w:p>
    <w:p>
      <w:pPr>
        <w:numPr>
          <w:ilvl w:val="0"/>
          <w:numId w:val="1016"/>
        </w:numPr>
        <w:pStyle w:val="Compact"/>
      </w:pPr>
      <w:r>
        <w:rPr>
          <w:rFonts w:ascii="Arial" w:hAnsi="Arial"/>
        </w:rPr>
        <w:t xml:space="preserve">NADAC 2026:</w:t>
      </w:r>
      <w:r>
        <w:rPr>
          <w:rFonts w:ascii="Arial" w:hAnsi="Arial"/>
        </w:rPr>
        <w:t xml:space="preserve"> </w:t>
      </w:r>
      <w:hyperlink r:id="rId27">
        <w:r>
          <w:rPr>
            <w:rStyle w:val="Hyperlink"/>
          </w:rPr>
          <w:t xml:space="preserve">https://data.medicaid.gov/dataset/fbb83258-11c7-47f5-8b18-5f8e79f7e704</w:t>
        </w:r>
      </w:hyperlink>
    </w:p>
    <w:p>
      <w:pPr>
        <w:numPr>
          <w:ilvl w:val="0"/>
          <w:numId w:val="1016"/>
        </w:numPr>
        <w:pStyle w:val="Compact"/>
      </w:pPr>
      <w:r>
        <w:rPr>
          <w:rFonts w:ascii="Arial" w:hAnsi="Arial"/>
        </w:rPr>
        <w:t xml:space="preserve">DailyMed label: Solu-Cortef (Pfizer):</w:t>
      </w:r>
      <w:r>
        <w:rPr>
          <w:rFonts w:ascii="Arial" w:hAnsi="Arial"/>
        </w:rPr>
        <w:t xml:space="preserve"> </w:t>
      </w:r>
      <w:hyperlink r:id="rId28">
        <w:r>
          <w:rPr>
            <w:rStyle w:val="Hyperlink"/>
          </w:rPr>
          <w:t xml:space="preserve">https://dailymed.nlm.nih.gov/dailymed/drugInfo.cfm?setid=65eefd58-b166-4d71-ade6-45c8fdf86922</w:t>
        </w:r>
      </w:hyperlink>
    </w:p>
    <w:p>
      <w:pPr>
        <w:numPr>
          <w:ilvl w:val="0"/>
          <w:numId w:val="1016"/>
        </w:numPr>
        <w:pStyle w:val="Compact"/>
      </w:pPr>
      <w:r>
        <w:rPr>
          <w:rFonts w:ascii="Arial" w:hAnsi="Arial"/>
        </w:rPr>
        <w:t xml:space="preserve">CMS October 2026 Part B payment limit file:</w:t>
      </w:r>
      <w:r>
        <w:rPr>
          <w:rFonts w:ascii="Arial" w:hAnsi="Arial"/>
        </w:rPr>
        <w:t xml:space="preserve"> </w:t>
      </w:r>
      <w:hyperlink r:id="rId29">
        <w:r>
          <w:rPr>
            <w:rStyle w:val="Hyperlink"/>
          </w:rPr>
          <w:t xml:space="preserve">https://www.cms.gov/files/zip/october-2026-medicare-part-b-payment-limit-files-final.zip</w:t>
        </w:r>
      </w:hyperlink>
    </w:p>
    <w:p>
      <w:pPr>
        <w:numPr>
          <w:ilvl w:val="0"/>
          <w:numId w:val="1016"/>
        </w:numPr>
        <w:pStyle w:val="Compact"/>
      </w:pPr>
      <w:r>
        <w:rPr>
          <w:rFonts w:ascii="Arial" w:hAnsi="Arial"/>
        </w:rPr>
        <w:t xml:space="preserve">openFDA NDC directory: hydrocortisone sodium succinate:</w:t>
      </w:r>
      <w:r>
        <w:rPr>
          <w:rFonts w:ascii="Arial" w:hAnsi="Arial"/>
        </w:rPr>
        <w:t xml:space="preserve"> </w:t>
      </w:r>
      <w:hyperlink r:id="rId30">
        <w:r>
          <w:rPr>
            <w:rStyle w:val="Hyperlink"/>
          </w:rPr>
          <w:t xml:space="preserve">https://api.fda.gov/drug/ndc.json?search=active_ingredients.name:%22HYDROCORTISONE+SODIUM+SUCCINATE%22&amp;limit=100</w:t>
        </w:r>
      </w:hyperlink>
    </w:p>
    <w:p>
      <w:pPr>
        <w:numPr>
          <w:ilvl w:val="0"/>
          <w:numId w:val="1016"/>
        </w:numPr>
        <w:pStyle w:val="Compact"/>
      </w:pPr>
      <w:r>
        <w:rPr>
          <w:rFonts w:ascii="Arial" w:hAnsi="Arial"/>
        </w:rPr>
        <w:t xml:space="preserve">Symbiotec Q1FY27 investor presentation (BSE):</w:t>
      </w:r>
      <w:r>
        <w:rPr>
          <w:rFonts w:ascii="Arial" w:hAnsi="Arial"/>
        </w:rPr>
        <w:t xml:space="preserve"> </w:t>
      </w:r>
      <w:hyperlink r:id="rId31">
        <w:r>
          <w:rPr>
            <w:rStyle w:val="Hyperlink"/>
          </w:rPr>
          <w:t xml:space="preserve">https://www.bseindia.com/xml-data/corpfiling/Attachhis/91eed093-577e-4264-babd-546a03192722.pdf</w:t>
        </w:r>
      </w:hyperlink>
    </w:p>
    <w:p>
      <w:pPr>
        <w:numPr>
          <w:ilvl w:val="0"/>
          <w:numId w:val="1016"/>
        </w:numPr>
        <w:pStyle w:val="Compact"/>
      </w:pPr>
      <w:r>
        <w:rPr>
          <w:rFonts w:ascii="Arial" w:hAnsi="Arial"/>
        </w:rPr>
        <w:t xml:space="preserve">Symbiotec BSE Reg. 30 filing: DCV licensing agreement, 30 Sep 2026:</w:t>
      </w:r>
      <w:r>
        <w:rPr>
          <w:rFonts w:ascii="Arial" w:hAnsi="Arial"/>
        </w:rPr>
        <w:t xml:space="preserve"> </w:t>
      </w:r>
      <w:hyperlink r:id="rId32">
        <w:r>
          <w:rPr>
            <w:rStyle w:val="Hyperlink"/>
          </w:rPr>
          <w:t xml:space="preserve">https://www.bseindia.com/xml-data/corpfiling/AttachLive/47a96a6d-0348-40db-a957-9ae203f20580.pdf</w:t>
        </w:r>
      </w:hyperlink>
    </w:p>
    <w:p>
      <w:pPr>
        <w:numPr>
          <w:ilvl w:val="0"/>
          <w:numId w:val="1016"/>
        </w:numPr>
        <w:pStyle w:val="Compact"/>
      </w:pPr>
      <w:r>
        <w:rPr>
          <w:rFonts w:ascii="Arial" w:hAnsi="Arial"/>
        </w:rPr>
        <w:t xml:space="preserve">Symbiotec Pharmalab Red Herring Prospectus, 18 Aug 2026 (SEBI):</w:t>
      </w:r>
      <w:r>
        <w:rPr>
          <w:rFonts w:ascii="Arial" w:hAnsi="Arial"/>
        </w:rPr>
        <w:t xml:space="preserve"> </w:t>
      </w:r>
      <w:hyperlink r:id="rId33">
        <w:r>
          <w:rPr>
            <w:rStyle w:val="Hyperlink"/>
          </w:rPr>
          <w:t xml:space="preserve">https://www.sebi.gov.in/sebi_data/attachdocs/aug-2026/1787119258529.pdf</w:t>
        </w:r>
      </w:hyperlink>
    </w:p>
    <w:p>
      <w:pPr>
        <w:numPr>
          <w:ilvl w:val="0"/>
          <w:numId w:val="1016"/>
        </w:numPr>
        <w:pStyle w:val="Compact"/>
      </w:pPr>
      <w:r>
        <w:rPr>
          <w:rFonts w:ascii="Arial" w:hAnsi="Arial"/>
        </w:rPr>
        <w:t xml:space="preserve">FDA Competitive Generic Therapy approvals list:</w:t>
      </w:r>
      <w:r>
        <w:rPr>
          <w:rFonts w:ascii="Arial" w:hAnsi="Arial"/>
        </w:rPr>
        <w:t xml:space="preserve"> </w:t>
      </w:r>
      <w:hyperlink r:id="rId34">
        <w:r>
          <w:rPr>
            <w:rStyle w:val="Hyperlink"/>
          </w:rPr>
          <w:t xml:space="preserve">https://www.fda.gov/drugs/generic-drugs/competitive-generic-therapy-approvals</w:t>
        </w:r>
      </w:hyperlink>
    </w:p>
    <w:p>
      <w:pPr>
        <w:numPr>
          <w:ilvl w:val="0"/>
          <w:numId w:val="1016"/>
        </w:numPr>
        <w:pStyle w:val="Compact"/>
      </w:pPr>
      <w:r>
        <w:rPr>
          <w:rFonts w:ascii="Arial" w:hAnsi="Arial"/>
        </w:rPr>
        <w:t xml:space="preserve">Medicaid State Drug Utilization Data 2025:</w:t>
      </w:r>
      <w:r>
        <w:rPr>
          <w:rFonts w:ascii="Arial" w:hAnsi="Arial"/>
        </w:rPr>
        <w:t xml:space="preserve"> </w:t>
      </w:r>
      <w:hyperlink r:id="rId35">
        <w:r>
          <w:rPr>
            <w:rStyle w:val="Hyperlink"/>
          </w:rPr>
          <w:t xml:space="preserve">https://data.medicaid.gov/dataset/158a1baa-5506-400a-8ec3-97756f0b0536</w:t>
        </w:r>
      </w:hyperlink>
    </w:p>
    <w:p>
      <w:pPr>
        <w:numPr>
          <w:ilvl w:val="0"/>
          <w:numId w:val="1016"/>
        </w:numPr>
        <w:pStyle w:val="Compact"/>
      </w:pPr>
      <w:r>
        <w:rPr>
          <w:rFonts w:ascii="Arial" w:hAnsi="Arial"/>
        </w:rPr>
        <w:t xml:space="preserve">FDA GDUFA III performance goals letter:</w:t>
      </w:r>
      <w:r>
        <w:rPr>
          <w:rFonts w:ascii="Arial" w:hAnsi="Arial"/>
        </w:rPr>
        <w:t xml:space="preserve"> </w:t>
      </w:r>
      <w:hyperlink r:id="rId36">
        <w:r>
          <w:rPr>
            <w:rStyle w:val="Hyperlink"/>
          </w:rPr>
          <w:t xml:space="preserve">https://www.fda.gov/media/153631/download</w:t>
        </w:r>
      </w:hyperlink>
    </w:p>
    <w:p>
      <w:pPr>
        <w:numPr>
          <w:ilvl w:val="0"/>
          <w:numId w:val="1016"/>
        </w:numPr>
        <w:pStyle w:val="Compact"/>
      </w:pPr>
      <w:r>
        <w:rPr>
          <w:rFonts w:ascii="Arial" w:hAnsi="Arial"/>
        </w:rPr>
        <w:t xml:space="preserve">Pfizer Connecticut WAC disclosure: Solu-Cortef, 6 Jul 2026:</w:t>
      </w:r>
      <w:r>
        <w:rPr>
          <w:rFonts w:ascii="Arial" w:hAnsi="Arial"/>
        </w:rPr>
        <w:t xml:space="preserve"> </w:t>
      </w:r>
      <w:hyperlink r:id="rId37">
        <w:r>
          <w:rPr>
            <w:rStyle w:val="Hyperlink"/>
          </w:rPr>
          <w:t xml:space="preserve">https://cdn.pfizer.com/pfizercom/products/ctprescribers/SOLU-CORTEFCTPriceDisclosureShortForm07062026.pdf</w:t>
        </w:r>
      </w:hyperlink>
    </w:p>
    <w:p>
      <w:pPr>
        <w:numPr>
          <w:ilvl w:val="0"/>
          <w:numId w:val="1016"/>
        </w:numPr>
        <w:pStyle w:val="Compact"/>
      </w:pPr>
      <w:r>
        <w:rPr>
          <w:rFonts w:ascii="Arial" w:hAnsi="Arial"/>
        </w:rPr>
        <w:t xml:space="preserve">Pfizer Connecticut WAC disclosure: Solu-Medrol, 6 Jul 2026:</w:t>
      </w:r>
      <w:r>
        <w:rPr>
          <w:rFonts w:ascii="Arial" w:hAnsi="Arial"/>
        </w:rPr>
        <w:t xml:space="preserve"> </w:t>
      </w:r>
      <w:hyperlink r:id="rId38">
        <w:r>
          <w:rPr>
            <w:rStyle w:val="Hyperlink"/>
          </w:rPr>
          <w:t xml:space="preserve">https://cdn.pfizer.com/pfizercom/products/ctprescribers/SOLU-MEDROLCTPriceDisclosureShortForm07062026.pdf</w:t>
        </w:r>
      </w:hyperlink>
    </w:p>
    <w:p>
      <w:pPr>
        <w:numPr>
          <w:ilvl w:val="0"/>
          <w:numId w:val="1016"/>
        </w:numPr>
        <w:pStyle w:val="Compact"/>
      </w:pPr>
      <w:r>
        <w:rPr>
          <w:rFonts w:ascii="Arial" w:hAnsi="Arial"/>
        </w:rPr>
        <w:t xml:space="preserve">DailyMed label: Solu-Medrol (Pfizer):</w:t>
      </w:r>
      <w:r>
        <w:rPr>
          <w:rFonts w:ascii="Arial" w:hAnsi="Arial"/>
        </w:rPr>
        <w:t xml:space="preserve"> </w:t>
      </w:r>
      <w:hyperlink r:id="rId39">
        <w:r>
          <w:rPr>
            <w:rStyle w:val="Hyperlink"/>
          </w:rPr>
          <w:t xml:space="preserve">https://dailymed.nlm.nih.gov/dailymed/drugInfo.cfm?setid=cd99be87-c8d9-48d6-a8e5-e081052e3f19</w:t>
        </w:r>
      </w:hyperlink>
    </w:p>
    <w:p>
      <w:pPr>
        <w:numPr>
          <w:ilvl w:val="0"/>
          <w:numId w:val="1016"/>
        </w:numPr>
        <w:pStyle w:val="Compact"/>
      </w:pPr>
      <w:r>
        <w:rPr>
          <w:rFonts w:ascii="Arial" w:hAnsi="Arial"/>
        </w:rPr>
        <w:t xml:space="preserve">DailyMed label: Cipla hydrocortisone sodium succinate:</w:t>
      </w:r>
      <w:r>
        <w:rPr>
          <w:rFonts w:ascii="Arial" w:hAnsi="Arial"/>
        </w:rPr>
        <w:t xml:space="preserve"> </w:t>
      </w:r>
      <w:hyperlink r:id="rId41">
        <w:r>
          <w:rPr>
            <w:rStyle w:val="Hyperlink"/>
          </w:rPr>
          <w:t xml:space="preserve">https://dailymed.nlm.nih.gov/dailymed/drugInfo.cfm?setid=451d6d04-b7d9-47d9-ba71-43cc5b9b3054</w:t>
        </w:r>
      </w:hyperlink>
    </w:p>
    <w:p>
      <w:pPr>
        <w:numPr>
          <w:ilvl w:val="0"/>
          <w:numId w:val="1016"/>
        </w:numPr>
        <w:pStyle w:val="Compact"/>
      </w:pPr>
      <w:r>
        <w:rPr>
          <w:rFonts w:ascii="Arial" w:hAnsi="Arial"/>
        </w:rPr>
        <w:t xml:space="preserve">DailyMed label: Apotex hydrocortisone sodium succinate:</w:t>
      </w:r>
      <w:r>
        <w:rPr>
          <w:rFonts w:ascii="Arial" w:hAnsi="Arial"/>
        </w:rPr>
        <w:t xml:space="preserve"> </w:t>
      </w:r>
      <w:hyperlink r:id="rId42">
        <w:r>
          <w:rPr>
            <w:rStyle w:val="Hyperlink"/>
          </w:rPr>
          <w:t xml:space="preserve">https://dailymed.nlm.nih.gov/dailymed/drugInfo.cfm?setid=bfe185a6-b657-2fbb-4ac2-e085373f15f3</w:t>
        </w:r>
      </w:hyperlink>
    </w:p>
    <w:p>
      <w:pPr>
        <w:numPr>
          <w:ilvl w:val="0"/>
          <w:numId w:val="1016"/>
        </w:numPr>
        <w:pStyle w:val="Compact"/>
      </w:pPr>
      <w:r>
        <w:rPr>
          <w:rFonts w:ascii="Arial" w:hAnsi="Arial"/>
        </w:rPr>
        <w:t xml:space="preserve">DailyMed label: Zydus hydrocortisone sodium succinate:</w:t>
      </w:r>
      <w:r>
        <w:rPr>
          <w:rFonts w:ascii="Arial" w:hAnsi="Arial"/>
        </w:rPr>
        <w:t xml:space="preserve"> </w:t>
      </w:r>
      <w:hyperlink r:id="rId43">
        <w:r>
          <w:rPr>
            <w:rStyle w:val="Hyperlink"/>
          </w:rPr>
          <w:t xml:space="preserve">https://dailymed.nlm.nih.gov/dailymed/drugInfo.cfm?setid=37534164-9de5-4bb3-9f87-341dfcf90883</w:t>
        </w:r>
      </w:hyperlink>
    </w:p>
    <w:p>
      <w:pPr>
        <w:numPr>
          <w:ilvl w:val="0"/>
          <w:numId w:val="1016"/>
        </w:numPr>
        <w:pStyle w:val="Compact"/>
      </w:pPr>
      <w:r>
        <w:rPr>
          <w:rFonts w:ascii="Arial" w:hAnsi="Arial"/>
        </w:rPr>
        <w:t xml:space="preserve">openFDA Drugs@FDA: methylprednisolone sodium succinate applications:</w:t>
      </w:r>
      <w:r>
        <w:rPr>
          <w:rFonts w:ascii="Arial" w:hAnsi="Arial"/>
        </w:rPr>
        <w:t xml:space="preserve"> </w:t>
      </w:r>
      <w:hyperlink r:id="rId45">
        <w:r>
          <w:rPr>
            <w:rStyle w:val="Hyperlink"/>
          </w:rPr>
          <w:t xml:space="preserve">https://api.fda.gov/drug/drugsfda.json?search=products.active_ingredients.name:%22METHYLPREDNISOLONE+SODIUM+SUCCINATE%22&amp;limit=100</w:t>
        </w:r>
      </w:hyperlink>
    </w:p>
    <w:p>
      <w:pPr>
        <w:numPr>
          <w:ilvl w:val="0"/>
          <w:numId w:val="1016"/>
        </w:numPr>
        <w:pStyle w:val="Compact"/>
      </w:pPr>
      <w:r>
        <w:rPr>
          <w:rFonts w:ascii="Arial" w:hAnsi="Arial"/>
        </w:rPr>
        <w:t xml:space="preserve">FDA draft guidance: comparative analyses for drug-device combination ANDAs:</w:t>
      </w:r>
      <w:r>
        <w:rPr>
          <w:rFonts w:ascii="Arial" w:hAnsi="Arial"/>
        </w:rPr>
        <w:t xml:space="preserve"> </w:t>
      </w:r>
      <w:hyperlink r:id="rId47">
        <w:r>
          <w:rPr>
            <w:rStyle w:val="Hyperlink"/>
          </w:rPr>
          <w:t xml:space="preserve">https://www.fda.gov/regulatory-information/search-fda-guidance-documents/comparative-analyses-and-related-comparative-use-human-factors-studies-drug-device-combination</w:t>
        </w:r>
      </w:hyperlink>
    </w:p>
    <w:p>
      <w:pPr>
        <w:numPr>
          <w:ilvl w:val="0"/>
          <w:numId w:val="1016"/>
        </w:numPr>
        <w:pStyle w:val="Compact"/>
      </w:pPr>
      <w:r>
        <w:rPr>
          <w:rFonts w:ascii="Arial" w:hAnsi="Arial"/>
        </w:rPr>
        <w:t xml:space="preserve">FDA Drug Master File list, 3Q2026:</w:t>
      </w:r>
      <w:r>
        <w:rPr>
          <w:rFonts w:ascii="Arial" w:hAnsi="Arial"/>
        </w:rPr>
        <w:t xml:space="preserve"> </w:t>
      </w:r>
      <w:hyperlink r:id="rId49">
        <w:r>
          <w:rPr>
            <w:rStyle w:val="Hyperlink"/>
          </w:rPr>
          <w:t xml:space="preserve">https://www.fda.gov/media/192069/download</w:t>
        </w:r>
      </w:hyperlink>
    </w:p>
    <w:p>
      <w:pPr>
        <w:numPr>
          <w:ilvl w:val="0"/>
          <w:numId w:val="1016"/>
        </w:numPr>
        <w:pStyle w:val="Compact"/>
      </w:pPr>
      <w:r>
        <w:rPr>
          <w:rFonts w:ascii="Arial" w:hAnsi="Arial"/>
        </w:rPr>
        <w:t xml:space="preserve">Pfizer Solu-Cortef supply update, 22 Mar 2023:</w:t>
      </w:r>
      <w:r>
        <w:rPr>
          <w:rFonts w:ascii="Arial" w:hAnsi="Arial"/>
        </w:rPr>
        <w:t xml:space="preserve"> </w:t>
      </w:r>
      <w:hyperlink r:id="rId50">
        <w:r>
          <w:rPr>
            <w:rStyle w:val="Hyperlink"/>
          </w:rPr>
          <w:t xml:space="preserve">https://www.pfizerhospitalus.com/sites/default/files/news_announcements/Solu-Cortef%20Supply%20Update%20%203-22-23.pdf</w:t>
        </w:r>
      </w:hyperlink>
    </w:p>
    <w:p>
      <w:pPr>
        <w:numPr>
          <w:ilvl w:val="0"/>
          <w:numId w:val="1016"/>
        </w:numPr>
        <w:pStyle w:val="Compact"/>
      </w:pPr>
      <w:r>
        <w:rPr>
          <w:rFonts w:ascii="Arial" w:hAnsi="Arial"/>
        </w:rPr>
        <w:t xml:space="preserve">Pfizer Solu-Cortef supply letter, 14 Apr 2025 (FDA-hosted):</w:t>
      </w:r>
      <w:r>
        <w:rPr>
          <w:rFonts w:ascii="Arial" w:hAnsi="Arial"/>
        </w:rPr>
        <w:t xml:space="preserve"> </w:t>
      </w:r>
      <w:hyperlink r:id="rId51">
        <w:r>
          <w:rPr>
            <w:rStyle w:val="Hyperlink"/>
          </w:rPr>
          <w:t xml:space="preserve">https://www.fda.gov/media/186195/download</w:t>
        </w:r>
      </w:hyperlink>
    </w:p>
    <w:p>
      <w:pPr>
        <w:numPr>
          <w:ilvl w:val="0"/>
          <w:numId w:val="1016"/>
        </w:numPr>
        <w:pStyle w:val="Compact"/>
      </w:pPr>
      <w:r>
        <w:rPr>
          <w:rFonts w:ascii="Arial" w:hAnsi="Arial"/>
        </w:rPr>
        <w:t xml:space="preserve">Isaacs et al., corticosteroid shortages (PMC12646679):</w:t>
      </w:r>
      <w:r>
        <w:rPr>
          <w:rFonts w:ascii="Arial" w:hAnsi="Arial"/>
        </w:rPr>
        <w:t xml:space="preserve"> </w:t>
      </w:r>
      <w:hyperlink r:id="rId52">
        <w:r>
          <w:rPr>
            <w:rStyle w:val="Hyperlink"/>
          </w:rPr>
          <w:t xml:space="preserve">https://pmc.ncbi.nlm.nih.gov/articles/PMC12646679/</w:t>
        </w:r>
      </w:hyperlink>
    </w:p>
    <w:p>
      <w:pPr>
        <w:numPr>
          <w:ilvl w:val="0"/>
          <w:numId w:val="1016"/>
        </w:numPr>
        <w:pStyle w:val="Compact"/>
      </w:pPr>
      <w:r>
        <w:rPr>
          <w:rFonts w:ascii="Arial" w:hAnsi="Arial"/>
        </w:rPr>
        <w:t xml:space="preserve">CMS SDUD field descriptions:</w:t>
      </w:r>
      <w:r>
        <w:rPr>
          <w:rFonts w:ascii="Arial" w:hAnsi="Arial"/>
        </w:rPr>
        <w:t xml:space="preserve"> </w:t>
      </w:r>
      <w:hyperlink r:id="rId55">
        <w:r>
          <w:rPr>
            <w:rStyle w:val="Hyperlink"/>
          </w:rPr>
          <w:t xml:space="preserve">https://www.cms.gov/files/document/medicaid-state-drug-utilization-data-field-descriptions.pdf</w:t>
        </w:r>
      </w:hyperlink>
    </w:p>
    <w:p>
      <w:pPr>
        <w:numPr>
          <w:ilvl w:val="0"/>
          <w:numId w:val="1016"/>
        </w:numPr>
        <w:pStyle w:val="Compact"/>
      </w:pPr>
      <w:r>
        <w:rPr>
          <w:rFonts w:ascii="Arial" w:hAnsi="Arial"/>
        </w:rPr>
        <w:t xml:space="preserve">Medicaid State Drug Utilization Data 2018:</w:t>
      </w:r>
      <w:r>
        <w:rPr>
          <w:rFonts w:ascii="Arial" w:hAnsi="Arial"/>
        </w:rPr>
        <w:t xml:space="preserve"> </w:t>
      </w:r>
      <w:hyperlink r:id="rId56">
        <w:r>
          <w:rPr>
            <w:rStyle w:val="Hyperlink"/>
          </w:rPr>
          <w:t xml:space="preserve">https://data.medicaid.gov/dataset/a1f3598e-fc71-51aa-8560-78e7e1a61b09</w:t>
        </w:r>
      </w:hyperlink>
    </w:p>
    <w:p>
      <w:pPr>
        <w:numPr>
          <w:ilvl w:val="0"/>
          <w:numId w:val="1016"/>
        </w:numPr>
        <w:pStyle w:val="Compact"/>
      </w:pPr>
      <w:r>
        <w:rPr>
          <w:rFonts w:ascii="Arial" w:hAnsi="Arial"/>
        </w:rPr>
        <w:t xml:space="preserve">Medicaid State Drug Utilization Data 2024:</w:t>
      </w:r>
      <w:r>
        <w:rPr>
          <w:rFonts w:ascii="Arial" w:hAnsi="Arial"/>
        </w:rPr>
        <w:t xml:space="preserve"> </w:t>
      </w:r>
      <w:hyperlink r:id="rId57">
        <w:r>
          <w:rPr>
            <w:rStyle w:val="Hyperlink"/>
          </w:rPr>
          <w:t xml:space="preserve">https://data.medicaid.gov/dataset/61729e5a-7aa8-448c-8903-ba3e0cd0ea3c</w:t>
        </w:r>
      </w:hyperlink>
    </w:p>
    <w:p>
      <w:pPr>
        <w:numPr>
          <w:ilvl w:val="0"/>
          <w:numId w:val="1016"/>
        </w:numPr>
        <w:pStyle w:val="Compact"/>
      </w:pPr>
      <w:r>
        <w:rPr>
          <w:rFonts w:ascii="Arial" w:hAnsi="Arial"/>
        </w:rPr>
        <w:t xml:space="preserve">CMS Medicaid Spending by Drug, data year 2024:</w:t>
      </w:r>
      <w:r>
        <w:rPr>
          <w:rFonts w:ascii="Arial" w:hAnsi="Arial"/>
        </w:rPr>
        <w:t xml:space="preserve"> </w:t>
      </w:r>
      <w:hyperlink r:id="rId58">
        <w:r>
          <w:rPr>
            <w:rStyle w:val="Hyperlink"/>
          </w:rPr>
          <w:t xml:space="preserve">https://data.cms.gov/sites/default/files/2026-06/ae1c5e06-957d-42dd-b783-e7fe598c01c9/DSD_MCD_RY26_P06_V20_D24_BGM.csv</w:t>
        </w:r>
      </w:hyperlink>
    </w:p>
    <w:p>
      <w:pPr>
        <w:numPr>
          <w:ilvl w:val="0"/>
          <w:numId w:val="1016"/>
        </w:numPr>
        <w:pStyle w:val="Compact"/>
      </w:pPr>
      <w:r>
        <w:rPr>
          <w:rFonts w:ascii="Arial" w:hAnsi="Arial"/>
        </w:rPr>
        <w:t xml:space="preserve">CMS Medicare Part D Spending by Drug, data year 2024:</w:t>
      </w:r>
      <w:r>
        <w:rPr>
          <w:rFonts w:ascii="Arial" w:hAnsi="Arial"/>
        </w:rPr>
        <w:t xml:space="preserve"> </w:t>
      </w:r>
      <w:hyperlink r:id="rId59">
        <w:r>
          <w:rPr>
            <w:rStyle w:val="Hyperlink"/>
          </w:rPr>
          <w:t xml:space="preserve">https://data.cms.gov/sites/default/files/2026-06/98218f98-166c-4723-8438-c344a4ef96a6/DSD_PTD_RY26_P04_V10_DY24_BGM.csv</w:t>
        </w:r>
      </w:hyperlink>
    </w:p>
    <w:p>
      <w:pPr>
        <w:numPr>
          <w:ilvl w:val="0"/>
          <w:numId w:val="1016"/>
        </w:numPr>
        <w:pStyle w:val="Compact"/>
      </w:pPr>
      <w:r>
        <w:rPr>
          <w:rFonts w:ascii="Arial" w:hAnsi="Arial"/>
        </w:rPr>
        <w:t xml:space="preserve">NLM RxNav: historical NDCs for hydrocortisone sodium succinate 100 mg injection:</w:t>
      </w:r>
      <w:r>
        <w:rPr>
          <w:rFonts w:ascii="Arial" w:hAnsi="Arial"/>
        </w:rPr>
        <w:t xml:space="preserve"> </w:t>
      </w:r>
      <w:hyperlink r:id="rId60">
        <w:r>
          <w:rPr>
            <w:rStyle w:val="Hyperlink"/>
          </w:rPr>
          <w:t xml:space="preserve">https://rxnav.nlm.nih.gov/REST/rxcui/238755/allhistoricalndcs.json</w:t>
        </w:r>
      </w:hyperlink>
    </w:p>
    <w:p>
      <w:pPr>
        <w:numPr>
          <w:ilvl w:val="0"/>
          <w:numId w:val="1016"/>
        </w:numPr>
        <w:pStyle w:val="Compact"/>
      </w:pPr>
      <w:r>
        <w:rPr>
          <w:rFonts w:ascii="Arial" w:hAnsi="Arial"/>
        </w:rPr>
        <w:t xml:space="preserve">CMS Medicare Part B Spending by Drug methodology:</w:t>
      </w:r>
      <w:r>
        <w:rPr>
          <w:rFonts w:ascii="Arial" w:hAnsi="Arial"/>
        </w:rPr>
        <w:t xml:space="preserve"> </w:t>
      </w:r>
      <w:hyperlink r:id="rId62">
        <w:r>
          <w:rPr>
            <w:rStyle w:val="Hyperlink"/>
          </w:rPr>
          <w:t xml:space="preserve">https://data.cms.gov/sites/default/files/2023-02/DSD_PTB_R22_20230125_Methodology%20508.pdf</w:t>
        </w:r>
      </w:hyperlink>
    </w:p>
    <w:p>
      <w:pPr>
        <w:numPr>
          <w:ilvl w:val="0"/>
          <w:numId w:val="1016"/>
        </w:numPr>
        <w:pStyle w:val="Compact"/>
      </w:pPr>
      <w:r>
        <w:rPr>
          <w:rFonts w:ascii="Arial" w:hAnsi="Arial"/>
        </w:rPr>
        <w:t xml:space="preserve">CMS Medicare Part B Spending by Drug dashboard:</w:t>
      </w:r>
      <w:r>
        <w:rPr>
          <w:rFonts w:ascii="Arial" w:hAnsi="Arial"/>
        </w:rPr>
        <w:t xml:space="preserve"> </w:t>
      </w:r>
      <w:hyperlink r:id="rId65">
        <w:r>
          <w:rPr>
            <w:rStyle w:val="Hyperlink"/>
          </w:rPr>
          <w:t xml:space="preserve">https://data.cms.gov/summary-statistics-on-use-and-payments/medicare-medicaid-spending-by-drug/medicare-part-b-spending-by-drug</w:t>
        </w:r>
      </w:hyperlink>
    </w:p>
    <w:p>
      <w:pPr>
        <w:numPr>
          <w:ilvl w:val="0"/>
          <w:numId w:val="1016"/>
        </w:numPr>
        <w:pStyle w:val="Compact"/>
      </w:pPr>
      <w:r>
        <w:rPr>
          <w:rFonts w:ascii="Arial" w:hAnsi="Arial"/>
        </w:rPr>
        <w:t xml:space="preserve">Pfizer Connecticut WAC disclosure: Solu-Cortef, 9 Jul 2024:</w:t>
      </w:r>
      <w:r>
        <w:rPr>
          <w:rFonts w:ascii="Arial" w:hAnsi="Arial"/>
        </w:rPr>
        <w:t xml:space="preserve"> </w:t>
      </w:r>
      <w:hyperlink r:id="rId68">
        <w:r>
          <w:rPr>
            <w:rStyle w:val="Hyperlink"/>
          </w:rPr>
          <w:t xml:space="preserve">https://cdn.pfizer.com/pfizercom/products/ctprescribers/SOLU-CORTEFCTPriceDisclosureShortForm07092024.pdf</w:t>
        </w:r>
      </w:hyperlink>
    </w:p>
    <w:p>
      <w:pPr>
        <w:numPr>
          <w:ilvl w:val="0"/>
          <w:numId w:val="1016"/>
        </w:numPr>
        <w:pStyle w:val="Compact"/>
      </w:pPr>
      <w:r>
        <w:rPr>
          <w:rFonts w:ascii="Arial" w:hAnsi="Arial"/>
        </w:rPr>
        <w:t xml:space="preserve">Pfizer Connecticut WAC disclosure: Solu-Medrol, 9 Jul 2024:</w:t>
      </w:r>
      <w:r>
        <w:rPr>
          <w:rFonts w:ascii="Arial" w:hAnsi="Arial"/>
        </w:rPr>
        <w:t xml:space="preserve"> </w:t>
      </w:r>
      <w:hyperlink r:id="rId69">
        <w:r>
          <w:rPr>
            <w:rStyle w:val="Hyperlink"/>
          </w:rPr>
          <w:t xml:space="preserve">https://cdn.pfizer.com/pfizercom/products/ctprescribers/SOLU-MEDROLCTPriceDisclosureShortForm07092024.pdf</w:t>
        </w:r>
      </w:hyperlink>
    </w:p>
    <w:p>
      <w:pPr>
        <w:numPr>
          <w:ilvl w:val="0"/>
          <w:numId w:val="1016"/>
        </w:numPr>
        <w:pStyle w:val="Compact"/>
      </w:pPr>
      <w:r>
        <w:rPr>
          <w:rFonts w:ascii="Arial" w:hAnsi="Arial"/>
        </w:rPr>
        <w:t xml:space="preserve">Pfizer Connecticut WAC disclosure: Solu-Medrol, 28 Mar 2025:</w:t>
      </w:r>
      <w:r>
        <w:rPr>
          <w:rFonts w:ascii="Arial" w:hAnsi="Arial"/>
        </w:rPr>
        <w:t xml:space="preserve"> </w:t>
      </w:r>
      <w:hyperlink r:id="rId70">
        <w:r>
          <w:rPr>
            <w:rStyle w:val="Hyperlink"/>
          </w:rPr>
          <w:t xml:space="preserve">https://cdn.pfizer.com/pfizercom/products/ctprescribers/SOLU-MEDROLCTPriceDisclosureShortForm03282025.pdf</w:t>
        </w:r>
      </w:hyperlink>
    </w:p>
    <w:p>
      <w:pPr>
        <w:numPr>
          <w:ilvl w:val="0"/>
          <w:numId w:val="1016"/>
        </w:numPr>
        <w:pStyle w:val="Compact"/>
      </w:pPr>
      <w:r>
        <w:rPr>
          <w:rFonts w:ascii="Arial" w:hAnsi="Arial"/>
        </w:rPr>
        <w:t xml:space="preserve">Pfizer Connecticut WAC disclosure: Solu-Medrol, 28 Jul 2025:</w:t>
      </w:r>
      <w:r>
        <w:rPr>
          <w:rFonts w:ascii="Arial" w:hAnsi="Arial"/>
        </w:rPr>
        <w:t xml:space="preserve"> </w:t>
      </w:r>
      <w:hyperlink r:id="rId71">
        <w:r>
          <w:rPr>
            <w:rStyle w:val="Hyperlink"/>
          </w:rPr>
          <w:t xml:space="preserve">https://cdn.pfizer.com/pfizercom/products/ctprescribers/SOLU-MEDROLCTPriceDisclosureShortForm07282025.pdf</w:t>
        </w:r>
      </w:hyperlink>
    </w:p>
    <w:p>
      <w:pPr>
        <w:numPr>
          <w:ilvl w:val="0"/>
          <w:numId w:val="1016"/>
        </w:numPr>
        <w:pStyle w:val="Compact"/>
      </w:pPr>
      <w:r>
        <w:rPr>
          <w:rFonts w:ascii="Arial" w:hAnsi="Arial"/>
        </w:rPr>
        <w:t xml:space="preserve">CMS April 2024 ASP pricing file (first J2919 / J1010 quarter):</w:t>
      </w:r>
      <w:r>
        <w:rPr>
          <w:rFonts w:ascii="Arial" w:hAnsi="Arial"/>
        </w:rPr>
        <w:t xml:space="preserve"> </w:t>
      </w:r>
      <w:hyperlink r:id="rId73">
        <w:r>
          <w:rPr>
            <w:rStyle w:val="Hyperlink"/>
          </w:rPr>
          <w:t xml:space="preserve">https://www.cms.gov/files/zip/april-2024-asp-pricing-file.zip</w:t>
        </w:r>
      </w:hyperlink>
    </w:p>
    <w:p>
      <w:pPr>
        <w:numPr>
          <w:ilvl w:val="0"/>
          <w:numId w:val="1016"/>
        </w:numPr>
        <w:pStyle w:val="Compact"/>
      </w:pPr>
      <w:r>
        <w:rPr>
          <w:rFonts w:ascii="Arial" w:hAnsi="Arial"/>
        </w:rPr>
        <w:t xml:space="preserve">AAPC: HCPCS J2919 descriptor:</w:t>
      </w:r>
      <w:r>
        <w:rPr>
          <w:rFonts w:ascii="Arial" w:hAnsi="Arial"/>
        </w:rPr>
        <w:t xml:space="preserve"> </w:t>
      </w:r>
      <w:hyperlink r:id="rId74">
        <w:r>
          <w:rPr>
            <w:rStyle w:val="Hyperlink"/>
          </w:rPr>
          <w:t xml:space="preserve">https://www.aapc.com/codes/hcpcs-codes/J2919</w:t>
        </w:r>
      </w:hyperlink>
    </w:p>
    <w:p>
      <w:pPr>
        <w:numPr>
          <w:ilvl w:val="0"/>
          <w:numId w:val="1016"/>
        </w:numPr>
        <w:pStyle w:val="Compact"/>
      </w:pPr>
      <w:r>
        <w:rPr>
          <w:rFonts w:ascii="Arial" w:hAnsi="Arial"/>
        </w:rPr>
        <w:t xml:space="preserve">Sahi: Symbiotec Pithampur USFDA EIR with VAI status:</w:t>
      </w:r>
      <w:r>
        <w:rPr>
          <w:rFonts w:ascii="Arial" w:hAnsi="Arial"/>
        </w:rPr>
        <w:t xml:space="preserve"> </w:t>
      </w:r>
      <w:hyperlink r:id="rId77">
        <w:r>
          <w:rPr>
            <w:rStyle w:val="Hyperlink"/>
          </w:rPr>
          <w:t xml:space="preserve">https://www.sahi.com/news/symbiotec-pharmalab-receives-u-s-fda-eir-with-vai-status-for-pithampur-facility</w:t>
        </w:r>
      </w:hyperlink>
    </w:p>
    <w:p>
      <w:pPr>
        <w:numPr>
          <w:ilvl w:val="0"/>
          <w:numId w:val="1016"/>
        </w:numPr>
        <w:pStyle w:val="Compact"/>
      </w:pPr>
      <w:r>
        <w:rPr>
          <w:rFonts w:ascii="Arial" w:hAnsi="Arial"/>
        </w:rPr>
        <w:t xml:space="preserve">ICICI Direct: Symbiotec conviction idea, 1 Oct 2026:</w:t>
      </w:r>
      <w:r>
        <w:rPr>
          <w:rFonts w:ascii="Arial" w:hAnsi="Arial"/>
        </w:rPr>
        <w:t xml:space="preserve"> </w:t>
      </w:r>
      <w:hyperlink r:id="rId78">
        <w:r>
          <w:rPr>
            <w:rStyle w:val="Hyperlink"/>
          </w:rPr>
          <w:t xml:space="preserve">https://mailcontent.icicidirect.com/mailcontent/idirect_symbiotec_convictionidea.pdf</w:t>
        </w:r>
      </w:hyperlink>
    </w:p>
    <w:p>
      <w:pPr>
        <w:numPr>
          <w:ilvl w:val="0"/>
          <w:numId w:val="1016"/>
        </w:numPr>
        <w:pStyle w:val="Compact"/>
      </w:pPr>
      <w:r>
        <w:rPr>
          <w:rFonts w:ascii="Arial" w:hAnsi="Arial"/>
        </w:rPr>
        <w:t xml:space="preserve">BioSpectrum: Aurobindo methylprednisolone approval (IMS US$102 mn):</w:t>
      </w:r>
      <w:r>
        <w:rPr>
          <w:rFonts w:ascii="Arial" w:hAnsi="Arial"/>
        </w:rPr>
        <w:t xml:space="preserve"> </w:t>
      </w:r>
      <w:hyperlink r:id="rId79">
        <w:r>
          <w:rPr>
            <w:rStyle w:val="Hyperlink"/>
          </w:rPr>
          <w:t xml:space="preserve">https://biospectrumindia.com/news/95/6186/another-fda-approval-in-aurobindos-kitty.html</w:t>
        </w:r>
      </w:hyperlink>
    </w:p>
    <w:p>
      <w:pPr>
        <w:numPr>
          <w:ilvl w:val="0"/>
          <w:numId w:val="1016"/>
        </w:numPr>
        <w:pStyle w:val="Compact"/>
      </w:pPr>
      <w:r>
        <w:rPr>
          <w:rFonts w:ascii="Arial" w:hAnsi="Arial"/>
        </w:rPr>
        <w:t xml:space="preserve">Hikma: methylprednisolone sodium succinate approval, 9 Mar 2016 (IMS US$123.5 mn):</w:t>
      </w:r>
      <w:r>
        <w:rPr>
          <w:rFonts w:ascii="Arial" w:hAnsi="Arial"/>
        </w:rPr>
        <w:t xml:space="preserve"> </w:t>
      </w:r>
      <w:hyperlink r:id="rId80">
        <w:r>
          <w:rPr>
            <w:rStyle w:val="Hyperlink"/>
          </w:rPr>
          <w:t xml:space="preserve">https://hikma.com/media/3cpbifha/09032016-product-hikma-receives-fda-approval-for-methylprednisolone-sodium-succinate-injection.pdf</w:t>
        </w:r>
      </w:hyperlink>
    </w:p>
    <w:p>
      <w:pPr>
        <w:numPr>
          <w:ilvl w:val="0"/>
          <w:numId w:val="1016"/>
        </w:numPr>
        <w:pStyle w:val="Compact"/>
      </w:pPr>
      <w:r>
        <w:rPr>
          <w:rFonts w:ascii="Arial" w:hAnsi="Arial"/>
        </w:rPr>
        <w:t xml:space="preserve">Dr. Reddy's: methylprednisolone launch release, Mar 2022 (IQVIA US$144 mn):</w:t>
      </w:r>
      <w:r>
        <w:rPr>
          <w:rFonts w:ascii="Arial" w:hAnsi="Arial"/>
        </w:rPr>
        <w:t xml:space="preserve"> </w:t>
      </w:r>
      <w:hyperlink r:id="rId81">
        <w:r>
          <w:rPr>
            <w:rStyle w:val="Hyperlink"/>
          </w:rPr>
          <w:t xml:space="preserve">https://www.sec.gov/Archives/edgar/data/1135951/000157587222000246/drr0379_ex99-2.htm</w:t>
        </w:r>
      </w:hyperlink>
    </w:p>
    <w:p>
      <w:pPr>
        <w:numPr>
          <w:ilvl w:val="0"/>
          <w:numId w:val="1016"/>
        </w:numPr>
        <w:pStyle w:val="Compact"/>
      </w:pPr>
      <w:r>
        <w:rPr>
          <w:rFonts w:ascii="Arial" w:hAnsi="Arial"/>
        </w:rPr>
        <w:t xml:space="preserve">CMS Medicare Part B Spending by Drug, data year 2024 (by HCPCS):</w:t>
      </w:r>
      <w:r>
        <w:rPr>
          <w:rFonts w:ascii="Arial" w:hAnsi="Arial"/>
        </w:rPr>
        <w:t xml:space="preserve"> </w:t>
      </w:r>
      <w:hyperlink r:id="rId82">
        <w:r>
          <w:rPr>
            <w:rStyle w:val="Hyperlink"/>
          </w:rPr>
          <w:t xml:space="preserve">https://data.cms.gov/sites/default/files/2026-06/6616fc91-eb70-404c-9f27-1448e47a3a73/DSD_PTB_RY26_P06_V10_DYT24_HCPCS-%20260602.csv</w:t>
        </w:r>
      </w:hyperlink>
    </w:p>
    <w:p>
      <w:pPr>
        <w:numPr>
          <w:ilvl w:val="0"/>
          <w:numId w:val="1016"/>
        </w:numPr>
        <w:pStyle w:val="Compact"/>
      </w:pPr>
      <w:r>
        <w:rPr>
          <w:rFonts w:ascii="Arial" w:hAnsi="Arial"/>
        </w:rPr>
        <w:t xml:space="preserve">Pfizer FY2019 results release (SEC exhibit 99):</w:t>
      </w:r>
      <w:r>
        <w:rPr>
          <w:rFonts w:ascii="Arial" w:hAnsi="Arial"/>
        </w:rPr>
        <w:t xml:space="preserve"> </w:t>
      </w:r>
      <w:hyperlink r:id="rId83">
        <w:r>
          <w:rPr>
            <w:rStyle w:val="Hyperlink"/>
          </w:rPr>
          <w:t xml:space="preserve">https://www.sec.gov/Archives/edgar/data/78003/000007800320000003/pfe-12312019xex99.htm</w:t>
        </w:r>
      </w:hyperlink>
    </w:p>
    <w:p>
      <w:pPr>
        <w:numPr>
          <w:ilvl w:val="0"/>
          <w:numId w:val="1016"/>
        </w:numPr>
        <w:pStyle w:val="Compact"/>
      </w:pPr>
      <w:r>
        <w:rPr>
          <w:rFonts w:ascii="Arial" w:hAnsi="Arial"/>
        </w:rPr>
        <w:t xml:space="preserve">Pfizer FY2023 results release (SEC exhibit 99):</w:t>
      </w:r>
      <w:r>
        <w:rPr>
          <w:rFonts w:ascii="Arial" w:hAnsi="Arial"/>
        </w:rPr>
        <w:t xml:space="preserve"> </w:t>
      </w:r>
      <w:hyperlink r:id="rId84">
        <w:r>
          <w:rPr>
            <w:rStyle w:val="Hyperlink"/>
          </w:rPr>
          <w:t xml:space="preserve">https://www.sec.gov/Archives/edgar/data/78003/000007800324000017/pfe-12312023xex99.htm</w:t>
        </w:r>
      </w:hyperlink>
    </w:p>
    <w:p>
      <w:pPr>
        <w:numPr>
          <w:ilvl w:val="0"/>
          <w:numId w:val="1016"/>
        </w:numPr>
        <w:pStyle w:val="Compact"/>
      </w:pPr>
      <w:r>
        <w:rPr>
          <w:rFonts w:ascii="Arial" w:hAnsi="Arial"/>
        </w:rPr>
        <w:t xml:space="preserve">Pfizer 2024 Form 10-K:</w:t>
      </w:r>
      <w:r>
        <w:rPr>
          <w:rFonts w:ascii="Arial" w:hAnsi="Arial"/>
        </w:rPr>
        <w:t xml:space="preserve"> </w:t>
      </w:r>
      <w:hyperlink r:id="rId85">
        <w:r>
          <w:rPr>
            <w:rStyle w:val="Hyperlink"/>
          </w:rPr>
          <w:t xml:space="preserve">https://www.sec.gov/Archives/edgar/data/78003/000007800325000054/pfe-20241231.htm</w:t>
        </w:r>
      </w:hyperlink>
    </w:p>
    <w:p>
      <w:pPr>
        <w:numPr>
          <w:ilvl w:val="0"/>
          <w:numId w:val="1016"/>
        </w:numPr>
        <w:pStyle w:val="Compact"/>
      </w:pPr>
      <w:r>
        <w:rPr>
          <w:rFonts w:ascii="Arial" w:hAnsi="Arial"/>
        </w:rPr>
        <w:t xml:space="preserve">Federal Register 2024-26916: Hydrocortone determination, 19 Nov 2024:</w:t>
      </w:r>
      <w:r>
        <w:rPr>
          <w:rFonts w:ascii="Arial" w:hAnsi="Arial"/>
        </w:rPr>
        <w:t xml:space="preserve"> </w:t>
      </w:r>
      <w:hyperlink r:id="rId93">
        <w:r>
          <w:rPr>
            <w:rStyle w:val="Hyperlink"/>
          </w:rPr>
          <w:t xml:space="preserve">https://www.federalregister.gov/documents/2024/11/19/2024-26916/determination-that-hydrocortone-hydrocortisone-sodium-phosphate-injection-equivalent-to-50</w:t>
        </w:r>
      </w:hyperlink>
    </w:p>
    <w:p>
      <w:pPr>
        <w:numPr>
          <w:ilvl w:val="0"/>
          <w:numId w:val="1016"/>
        </w:numPr>
        <w:pStyle w:val="Compact"/>
      </w:pPr>
      <w:r>
        <w:rPr>
          <w:rFonts w:ascii="Arial" w:hAnsi="Arial"/>
        </w:rPr>
        <w:t xml:space="preserve">openFDA NDC directory: Symbiotec bulk API listings:</w:t>
      </w:r>
      <w:r>
        <w:rPr>
          <w:rFonts w:ascii="Arial" w:hAnsi="Arial"/>
        </w:rPr>
        <w:t xml:space="preserve"> </w:t>
      </w:r>
      <w:hyperlink r:id="rId96">
        <w:r>
          <w:rPr>
            <w:rStyle w:val="Hyperlink"/>
          </w:rPr>
          <w:t xml:space="preserve">https://api.fda.gov/drug/ndc.json?search=labeler_name:%22Symbiotec%22&amp;limit=100</w:t>
        </w:r>
      </w:hyperlink>
    </w:p>
    <w:p>
      <w:pPr>
        <w:numPr>
          <w:ilvl w:val="0"/>
          <w:numId w:val="1016"/>
        </w:numPr>
        <w:pStyle w:val="Compact"/>
      </w:pPr>
      <w:r>
        <w:rPr>
          <w:rFonts w:ascii="Arial" w:hAnsi="Arial"/>
        </w:rPr>
        <w:t xml:space="preserve">NLM RxNav: NDC status lookup (example Solu-Medrol NDC):</w:t>
      </w:r>
      <w:r>
        <w:rPr>
          <w:rFonts w:ascii="Arial" w:hAnsi="Arial"/>
        </w:rPr>
        <w:t xml:space="preserve"> </w:t>
      </w:r>
      <w:hyperlink r:id="rId97">
        <w:r>
          <w:rPr>
            <w:rStyle w:val="Hyperlink"/>
          </w:rPr>
          <w:t xml:space="preserve">https://rxnav.nlm.nih.gov/REST/ndcstatus.json?ndc=00009003928</w:t>
        </w:r>
      </w:hyperlink>
    </w:p>
    <w:p>
      <w:pPr>
        <w:numPr>
          <w:ilvl w:val="0"/>
          <w:numId w:val="1016"/>
        </w:numPr>
        <w:pStyle w:val="Compact"/>
      </w:pPr>
      <w:r>
        <w:rPr>
          <w:rFonts w:ascii="Arial" w:hAnsi="Arial"/>
        </w:rPr>
        <w:t xml:space="preserve">Caplin Steriles: methylprednisolone acetate approval filing, Jan 2026 (IQVIA US$57.4 mn):</w:t>
      </w:r>
      <w:r>
        <w:rPr>
          <w:rFonts w:ascii="Arial" w:hAnsi="Arial"/>
        </w:rPr>
        <w:t xml:space="preserve"> </w:t>
      </w:r>
      <w:hyperlink r:id="rId100">
        <w:r>
          <w:rPr>
            <w:rStyle w:val="Hyperlink"/>
          </w:rPr>
          <w:t xml:space="preserve">https://bsmedia.business-standard.com/_media/bs/data/announcements/bse/27012026/a9ea92dd-a2a8-4632-8e08-e434fdcec6fc.pdf</w:t>
        </w:r>
      </w:hyperlink>
    </w:p>
    <w:p>
      <w:pPr>
        <w:numPr>
          <w:ilvl w:val="0"/>
          <w:numId w:val="1016"/>
        </w:numPr>
        <w:pStyle w:val="Compact"/>
      </w:pPr>
      <w:r>
        <w:rPr>
          <w:rFonts w:ascii="Arial" w:hAnsi="Arial"/>
        </w:rPr>
        <w:t xml:space="preserve">openFDA drug shortages: methylprednisolone:</w:t>
      </w:r>
      <w:r>
        <w:rPr>
          <w:rFonts w:ascii="Arial" w:hAnsi="Arial"/>
        </w:rPr>
        <w:t xml:space="preserve"> </w:t>
      </w:r>
      <w:hyperlink r:id="rId101">
        <w:r>
          <w:rPr>
            <w:rStyle w:val="Hyperlink"/>
          </w:rPr>
          <w:t xml:space="preserve">https://api.fda.gov/drug/shortages.json?search=generic_name:methylprednisolone&amp;limit=100</w:t>
        </w:r>
      </w:hyperlink>
    </w:p>
    <w:p>
      <w:pPr>
        <w:numPr>
          <w:ilvl w:val="0"/>
          <w:numId w:val="1016"/>
        </w:numPr>
        <w:pStyle w:val="Compact"/>
      </w:pPr>
      <w:r>
        <w:rPr>
          <w:rFonts w:ascii="Arial" w:hAnsi="Arial"/>
        </w:rPr>
        <w:t xml:space="preserve">CMS Medicare Part B quarterly spending file, Q1 2026:</w:t>
      </w:r>
      <w:r>
        <w:rPr>
          <w:rFonts w:ascii="Arial" w:hAnsi="Arial"/>
        </w:rPr>
        <w:t xml:space="preserve"> </w:t>
      </w:r>
      <w:hyperlink r:id="rId105">
        <w:r>
          <w:rPr>
            <w:rStyle w:val="Hyperlink"/>
          </w:rPr>
          <w:t xml:space="preserve">https://data.cms.gov/sites/default/files/2026-07/6d9e955a-d199-42cf-9f73-7e0d93c33b3e/qddptb_r2603_p06_v10_dqt2601_260722.csv</w:t>
        </w:r>
      </w:hyperlink>
    </w:p>
    <w:p>
      <w:pPr>
        <w:numPr>
          <w:ilvl w:val="0"/>
          <w:numId w:val="1016"/>
        </w:numPr>
        <w:pStyle w:val="Compact"/>
      </w:pPr>
      <w:r>
        <w:rPr>
          <w:rFonts w:ascii="Arial" w:hAnsi="Arial"/>
        </w:rPr>
        <w:t xml:space="preserve">The Week / PTI: Symbiotec files DRHP, 19 Dec 2025 (lead managers):</w:t>
      </w:r>
      <w:r>
        <w:rPr>
          <w:rFonts w:ascii="Arial" w:hAnsi="Arial"/>
        </w:rPr>
        <w:t xml:space="preserve"> </w:t>
      </w:r>
      <w:hyperlink r:id="rId107">
        <w:r>
          <w:rPr>
            <w:rStyle w:val="Hyperlink"/>
          </w:rPr>
          <w:t xml:space="preserve">https://www.theweek.in/wire-updates/business/2025/12/19/dcm91-biz-ipo-symbiotec-pharmalab.html</w:t>
        </w:r>
      </w:hyperlink>
    </w:p>
    <w:bookmarkEnd w:id="111"/>
    <w:bookmarkEnd w:id="112"/>
    <w:sectPr>
      <w:footerReference w:type="default" r:id="rId9"/>
      <w:pgSz w:w="11906" w:h="16838"/>
      <w:pgMar w:left="907" w:right="907"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595959"/>
        <w:sz w:val="15"/>
      </w:rPr>
      <w:t>Symbiotec DCV: Solu-Medrol vs Solu-Cortef. Data as of 21 October 2026. Sources linked inline and listed in Appendix B.</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64" w:lineRule="auto"/>
    </w:pPr>
    <w:rPr>
      <w:rFonts w:ascii="Arial" w:eastAsia="Arial" w:hAnsi="Arial"/>
      <w:sz w:val="19"/>
    </w:rPr>
  </w:style>
  <w:style w:styleId="BodyText" w:type="paragraph">
    <w:name w:val="Body Text"/>
    <w:basedOn w:val="Normal"/>
    <w:link w:val="BodyTextChar"/>
    <w:pPr>
      <w:spacing w:after="80" w:before="0" w:line="264" w:lineRule="auto"/>
    </w:pPr>
    <w:qFormat/>
    <w:rPr>
      <w:rFonts w:ascii="Arial" w:eastAsia="Arial" w:hAnsi="Arial"/>
      <w:sz w:val="19"/>
    </w:rPr>
  </w:style>
  <w:style w:customStyle="1" w:styleId="FirstParagraph" w:type="paragraph">
    <w:name w:val="First Paragraph"/>
    <w:basedOn w:val="BodyText"/>
    <w:next w:val="BodyText"/>
    <w:qFormat/>
    <w:pPr>
      <w:spacing w:after="80" w:before="0" w:line="264" w:lineRule="auto"/>
    </w:pPr>
    <w:rPr>
      <w:rFonts w:ascii="Arial" w:eastAsia="Arial" w:hAnsi="Arial"/>
      <w:sz w:val="19"/>
    </w:rPr>
  </w:style>
  <w:style w:customStyle="1" w:styleId="Compact" w:type="paragraph">
    <w:name w:val="Compact"/>
    <w:basedOn w:val="BodyText"/>
    <w:qFormat/>
    <w:pPr>
      <w:spacing w:after="80" w:before="0" w:line="264" w:lineRule="auto"/>
    </w:pPr>
    <w:rPr>
      <w:rFonts w:ascii="Arial" w:eastAsia="Arial" w:hAnsi="Arial"/>
      <w:sz w:val="19"/>
    </w:rPr>
  </w:style>
  <w:style w:styleId="Title" w:type="paragraph">
    <w:name w:val="Title"/>
    <w:basedOn w:val="Normal"/>
    <w:next w:val="BodyText"/>
    <w:qFormat/>
    <w:pPr>
      <w:keepNext/>
      <w:keepLines/>
      <w:spacing w:after="80" w:before="200"/>
      <w:jc w:val="center"/>
    </w:pPr>
    <w:rPr>
      <w:rFonts w:ascii="Arial" w:asciiTheme="majorHAnsi" w:cstheme="majorBidi" w:eastAsiaTheme="majorEastAsia" w:hAnsi="Arial" w:hAnsiTheme="majorHAns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0"/>
      <w:outlineLvl w:val="0"/>
    </w:pPr>
    <w:rPr>
      <w:rFonts w:ascii="Arial" w:asciiTheme="majorHAnsi" w:cstheme="majorBidi" w:eastAsiaTheme="majorEastAsia" w:hAnsi="Arial" w:hAnsiTheme="majorHAnsi"/>
      <w:b/>
      <w:bCs/>
      <w:color w:val="1F3864"/>
      <w:sz w:val="32"/>
      <w:szCs w:val="32"/>
    </w:rPr>
  </w:style>
  <w:style w:styleId="Heading2" w:type="paragraph">
    <w:name w:val="Heading 2"/>
    <w:basedOn w:val="Normal"/>
    <w:next w:val="BodyText"/>
    <w:uiPriority w:val="9"/>
    <w:unhideWhenUsed/>
    <w:qFormat/>
    <w:pPr>
      <w:keepNext/>
      <w:keepLines/>
      <w:spacing w:after="80" w:before="200"/>
      <w:outlineLvl w:val="1"/>
    </w:pPr>
    <w:rPr>
      <w:rFonts w:ascii="Arial" w:asciiTheme="majorHAnsi" w:cstheme="majorBidi" w:eastAsiaTheme="majorEastAsia" w:hAnsi="Arial" w:hAnsiTheme="majorHAnsi"/>
      <w:b/>
      <w:bCs/>
      <w:color w:val="1F3864"/>
      <w:sz w:val="26"/>
      <w:szCs w:val="28"/>
    </w:rPr>
  </w:style>
  <w:style w:styleId="Heading3" w:type="paragraph">
    <w:name w:val="Heading 3"/>
    <w:basedOn w:val="Normal"/>
    <w:next w:val="BodyText"/>
    <w:uiPriority w:val="9"/>
    <w:unhideWhenUsed/>
    <w:qFormat/>
    <w:pPr>
      <w:keepNext/>
      <w:keepLines/>
      <w:spacing w:after="80" w:before="200"/>
      <w:outlineLvl w:val="2"/>
    </w:pPr>
    <w:rPr>
      <w:rFonts w:ascii="Arial" w:asciiTheme="majorHAnsi" w:cstheme="majorBidi" w:eastAsiaTheme="majorEastAsia" w:hAnsi="Arial" w:hAnsiTheme="majorHAnsi"/>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0" w:line="264" w:lineRule="auto"/>
      <w:ind w:firstLine="0" w:left="480" w:right="480"/>
    </w:pPr>
    <w:rPr>
      <w:rFonts w:ascii="Arial" w:eastAsia="Arial" w:hAnsi="Arial"/>
      <w:sz w:val="19"/>
    </w:rPr>
  </w:style>
  <w:style w:styleId="FootnoteText" w:type="paragraph">
    <w:name w:val="Footnote Text"/>
    <w:basedOn w:val="Normal"/>
    <w:next w:val="FootnoteText"/>
    <w:uiPriority w:val="9"/>
    <w:unhideWhenUsed/>
    <w:qFormat/>
    <w:pPr>
      <w:spacing w:after="80" w:before="0" w:line="264" w:lineRule="auto"/>
    </w:pPr>
    <w:rPr>
      <w:rFonts w:ascii="Arial" w:eastAsia="Arial" w:hAnsi="Arial"/>
      <w:sz w:val="19"/>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5" Type="http://schemas.openxmlformats.org/officeDocument/2006/relationships/hyperlink" Target="https://api.fda.gov/drug/drugsfda.json?search=products.active_ingredients.name:%22METHYLPREDNISOLONE+SODIUM+SUCCINATE%22&amp;limit=100" TargetMode="External"/><Relationship Id="rId30" Type="http://schemas.openxmlformats.org/officeDocument/2006/relationships/hyperlink" Target="https://api.fda.gov/drug/ndc.json?search=active_ingredients.name:%22HYDROCORTISONE+SODIUM+SUCCINATE%22&amp;limit=100" TargetMode="External"/><Relationship Id="rId21" Type="http://schemas.openxmlformats.org/officeDocument/2006/relationships/hyperlink" Target="https://api.fda.gov/drug/ndc.json?search=active_ingredients.name:%22METHYLPREDNISOLONE+SODIUM+SUCCINATE%22&amp;limit=200" TargetMode="External"/><Relationship Id="rId96" Type="http://schemas.openxmlformats.org/officeDocument/2006/relationships/hyperlink" Target="https://api.fda.gov/drug/ndc.json?search=labeler_name:%22Symbiotec%22&amp;limit=100" TargetMode="External"/><Relationship Id="rId101" Type="http://schemas.openxmlformats.org/officeDocument/2006/relationships/hyperlink" Target="https://api.fda.gov/drug/shortages.json?search=generic_name:methylprednisolone&amp;limit=100" TargetMode="External"/><Relationship Id="rId79" Type="http://schemas.openxmlformats.org/officeDocument/2006/relationships/hyperlink" Target="https://biospectrumindia.com/news/95/6186/another-fda-approval-in-aurobindos-kitty.html" TargetMode="External"/><Relationship Id="rId100" Type="http://schemas.openxmlformats.org/officeDocument/2006/relationships/hyperlink" Target="https://bsmedia.business-standard.com/_media/bs/data/announcements/bse/27012026/a9ea92dd-a2a8-4632-8e08-e434fdcec6fc.pdf" TargetMode="External"/><Relationship Id="rId37" Type="http://schemas.openxmlformats.org/officeDocument/2006/relationships/hyperlink" Target="https://cdn.pfizer.com/pfizercom/products/ctprescribers/SOLU-CORTEFCTPriceDisclosureShortForm07062026.pdf" TargetMode="External"/><Relationship Id="rId68" Type="http://schemas.openxmlformats.org/officeDocument/2006/relationships/hyperlink" Target="https://cdn.pfizer.com/pfizercom/products/ctprescribers/SOLU-CORTEFCTPriceDisclosureShortForm07092024.pdf" TargetMode="External"/><Relationship Id="rId70" Type="http://schemas.openxmlformats.org/officeDocument/2006/relationships/hyperlink" Target="https://cdn.pfizer.com/pfizercom/products/ctprescribers/SOLU-MEDROLCTPriceDisclosureShortForm03282025.pdf" TargetMode="External"/><Relationship Id="rId38" Type="http://schemas.openxmlformats.org/officeDocument/2006/relationships/hyperlink" Target="https://cdn.pfizer.com/pfizercom/products/ctprescribers/SOLU-MEDROLCTPriceDisclosureShortForm07062026.pdf" TargetMode="External"/><Relationship Id="rId69" Type="http://schemas.openxmlformats.org/officeDocument/2006/relationships/hyperlink" Target="https://cdn.pfizer.com/pfizercom/products/ctprescribers/SOLU-MEDROLCTPriceDisclosureShortForm07092024.pdf" TargetMode="External"/><Relationship Id="rId71" Type="http://schemas.openxmlformats.org/officeDocument/2006/relationships/hyperlink" Target="https://cdn.pfizer.com/pfizercom/products/ctprescribers/SOLU-MEDROLCTPriceDisclosureShortForm07282025.pdf" TargetMode="External"/><Relationship Id="rId24" Type="http://schemas.openxmlformats.org/officeDocument/2006/relationships/hyperlink" Target="https://dailymed.nlm.nih.gov/dailymed/drugInfo.cfm?setid=2e6020f5-a486-41cc-8956-58b5f6751aa2" TargetMode="External"/><Relationship Id="rId43" Type="http://schemas.openxmlformats.org/officeDocument/2006/relationships/hyperlink" Target="https://dailymed.nlm.nih.gov/dailymed/drugInfo.cfm?setid=37534164-9de5-4bb3-9f87-341dfcf90883" TargetMode="External"/><Relationship Id="rId41" Type="http://schemas.openxmlformats.org/officeDocument/2006/relationships/hyperlink" Target="https://dailymed.nlm.nih.gov/dailymed/drugInfo.cfm?setid=451d6d04-b7d9-47d9-ba71-43cc5b9b3054" TargetMode="External"/><Relationship Id="rId28" Type="http://schemas.openxmlformats.org/officeDocument/2006/relationships/hyperlink" Target="https://dailymed.nlm.nih.gov/dailymed/drugInfo.cfm?setid=65eefd58-b166-4d71-ade6-45c8fdf86922" TargetMode="External"/><Relationship Id="rId23" Type="http://schemas.openxmlformats.org/officeDocument/2006/relationships/hyperlink" Target="https://dailymed.nlm.nih.gov/dailymed/drugInfo.cfm?setid=738753c7-507d-4881-5194-02dd7597768b" TargetMode="External"/><Relationship Id="rId42" Type="http://schemas.openxmlformats.org/officeDocument/2006/relationships/hyperlink" Target="https://dailymed.nlm.nih.gov/dailymed/drugInfo.cfm?setid=bfe185a6-b657-2fbb-4ac2-e085373f15f3" TargetMode="External"/><Relationship Id="rId39" Type="http://schemas.openxmlformats.org/officeDocument/2006/relationships/hyperlink" Target="https://dailymed.nlm.nih.gov/dailymed/drugInfo.cfm?setid=cd99be87-c8d9-48d6-a8e5-e081052e3f19" TargetMode="External"/><Relationship Id="rId62" Type="http://schemas.openxmlformats.org/officeDocument/2006/relationships/hyperlink" Target="https://data.cms.gov/sites/default/files/2023-02/DSD_PTB_R22_20230125_Methodology%20508.pdf" TargetMode="External"/><Relationship Id="rId82" Type="http://schemas.openxmlformats.org/officeDocument/2006/relationships/hyperlink" Target="https://data.cms.gov/sites/default/files/2026-06/6616fc91-eb70-404c-9f27-1448e47a3a73/DSD_PTB_RY26_P06_V10_DYT24_HCPCS-%20260602.csv" TargetMode="External"/><Relationship Id="rId59" Type="http://schemas.openxmlformats.org/officeDocument/2006/relationships/hyperlink" Target="https://data.cms.gov/sites/default/files/2026-06/98218f98-166c-4723-8438-c344a4ef96a6/DSD_PTD_RY26_P04_V10_DY24_BGM.csv" TargetMode="External"/><Relationship Id="rId58" Type="http://schemas.openxmlformats.org/officeDocument/2006/relationships/hyperlink" Target="https://data.cms.gov/sites/default/files/2026-06/ae1c5e06-957d-42dd-b783-e7fe598c01c9/DSD_MCD_RY26_P06_V20_D24_BGM.csv" TargetMode="External"/><Relationship Id="rId105" Type="http://schemas.openxmlformats.org/officeDocument/2006/relationships/hyperlink" Target="https://data.cms.gov/sites/default/files/2026-07/6d9e955a-d199-42cf-9f73-7e0d93c33b3e/qddptb_r2603_p06_v10_dqt2601_260722.csv" TargetMode="External"/><Relationship Id="rId65" Type="http://schemas.openxmlformats.org/officeDocument/2006/relationships/hyperlink" Target="https://data.cms.gov/summary-statistics-on-use-and-payments/medicare-medicaid-spending-by-drug/medicare-part-b-spending-by-drug" TargetMode="External"/><Relationship Id="rId35" Type="http://schemas.openxmlformats.org/officeDocument/2006/relationships/hyperlink" Target="https://data.medicaid.gov/dataset/158a1baa-5506-400a-8ec3-97756f0b0536" TargetMode="External"/><Relationship Id="rId25" Type="http://schemas.openxmlformats.org/officeDocument/2006/relationships/hyperlink" Target="https://data.medicaid.gov/dataset/2957a7f9-9a15-453e-9afd-3bbdcbac8fd3" TargetMode="External"/><Relationship Id="rId57" Type="http://schemas.openxmlformats.org/officeDocument/2006/relationships/hyperlink" Target="https://data.medicaid.gov/dataset/61729e5a-7aa8-448c-8903-ba3e0cd0ea3c" TargetMode="External"/><Relationship Id="rId56" Type="http://schemas.openxmlformats.org/officeDocument/2006/relationships/hyperlink" Target="https://data.medicaid.gov/dataset/a1f3598e-fc71-51aa-8560-78e7e1a61b09" TargetMode="External"/><Relationship Id="rId27" Type="http://schemas.openxmlformats.org/officeDocument/2006/relationships/hyperlink" Target="https://data.medicaid.gov/dataset/fbb83258-11c7-47f5-8b18-5f8e79f7e704" TargetMode="External"/><Relationship Id="rId80" Type="http://schemas.openxmlformats.org/officeDocument/2006/relationships/hyperlink" Target="https://hikma.com/media/3cpbifha/09032016-product-hikma-receives-fda-approval-for-methylprednisolone-sodium-succinate-injection.pdf" TargetMode="External"/><Relationship Id="rId78" Type="http://schemas.openxmlformats.org/officeDocument/2006/relationships/hyperlink" Target="https://mailcontent.icicidirect.com/mailcontent/idirect_symbiotec_convictionidea.pdf" TargetMode="External"/><Relationship Id="rId52" Type="http://schemas.openxmlformats.org/officeDocument/2006/relationships/hyperlink" Target="https://pmc.ncbi.nlm.nih.gov/articles/PMC12646679/" TargetMode="External"/><Relationship Id="rId97" Type="http://schemas.openxmlformats.org/officeDocument/2006/relationships/hyperlink" Target="https://rxnav.nlm.nih.gov/REST/ndcstatus.json?ndc=00009003928" TargetMode="External"/><Relationship Id="rId60" Type="http://schemas.openxmlformats.org/officeDocument/2006/relationships/hyperlink" Target="https://rxnav.nlm.nih.gov/REST/rxcui/238755/allhistoricalndcs.json" TargetMode="External"/><Relationship Id="rId74" Type="http://schemas.openxmlformats.org/officeDocument/2006/relationships/hyperlink" Target="https://www.aapc.com/codes/hcpcs-codes/J2919" TargetMode="External"/><Relationship Id="rId32" Type="http://schemas.openxmlformats.org/officeDocument/2006/relationships/hyperlink" Target="https://www.bseindia.com/xml-data/corpfiling/AttachLive/47a96a6d-0348-40db-a957-9ae203f20580.pdf" TargetMode="External"/><Relationship Id="rId31" Type="http://schemas.openxmlformats.org/officeDocument/2006/relationships/hyperlink" Target="https://www.bseindia.com/xml-data/corpfiling/Attachhis/91eed093-577e-4264-babd-546a03192722.pdf" TargetMode="External"/><Relationship Id="rId55" Type="http://schemas.openxmlformats.org/officeDocument/2006/relationships/hyperlink" Target="https://www.cms.gov/files/document/medicaid-state-drug-utilization-data-field-descriptions.pdf" TargetMode="External"/><Relationship Id="rId73" Type="http://schemas.openxmlformats.org/officeDocument/2006/relationships/hyperlink" Target="https://www.cms.gov/files/zip/april-2024-asp-pricing-file.zip" TargetMode="External"/><Relationship Id="rId29" Type="http://schemas.openxmlformats.org/officeDocument/2006/relationships/hyperlink" Target="https://www.cms.gov/files/zip/october-2026-medicare-part-b-payment-limit-files-final.zip" TargetMode="External"/><Relationship Id="rId22" Type="http://schemas.openxmlformats.org/officeDocument/2006/relationships/hyperlink" Target="https://www.cms.gov/files/zip/october-2026-ndc-hcpcs-crosswalk-final.zip" TargetMode="External"/><Relationship Id="rId26" Type="http://schemas.openxmlformats.org/officeDocument/2006/relationships/hyperlink" Target="https://www.cms.gov/medicare/payment/part-b-drugs/asp-pricing-files" TargetMode="External"/><Relationship Id="rId34" Type="http://schemas.openxmlformats.org/officeDocument/2006/relationships/hyperlink" Target="https://www.fda.gov/drugs/generic-drugs/competitive-generic-therapy-approvals" TargetMode="External"/><Relationship Id="rId36" Type="http://schemas.openxmlformats.org/officeDocument/2006/relationships/hyperlink" Target="https://www.fda.gov/media/153631/download" TargetMode="External"/><Relationship Id="rId51" Type="http://schemas.openxmlformats.org/officeDocument/2006/relationships/hyperlink" Target="https://www.fda.gov/media/186195/download" TargetMode="External"/><Relationship Id="rId49" Type="http://schemas.openxmlformats.org/officeDocument/2006/relationships/hyperlink" Target="https://www.fda.gov/media/192069/download" TargetMode="External"/><Relationship Id="rId20" Type="http://schemas.openxmlformats.org/officeDocument/2006/relationships/hyperlink" Target="https://www.fda.gov/media/76860/download" TargetMode="External"/><Relationship Id="rId47" Type="http://schemas.openxmlformats.org/officeDocument/2006/relationships/hyperlink" Target="https://www.fda.gov/regulatory-information/search-fda-guidance-documents/comparative-analyses-and-related-comparative-use-human-factors-studies-drug-device-combination" TargetMode="External"/><Relationship Id="rId93" Type="http://schemas.openxmlformats.org/officeDocument/2006/relationships/hyperlink" Target="https://www.federalregister.gov/documents/2024/11/19/2024-26916/determination-that-hydrocortone-hydrocortisone-sodium-phosphate-injection-equivalent-to-50" TargetMode="External"/><Relationship Id="rId50" Type="http://schemas.openxmlformats.org/officeDocument/2006/relationships/hyperlink" Target="https://www.pfizerhospitalus.com/sites/default/files/news_announcements/Solu-Cortef%20Supply%20Update%20%203-22-23.pdf" TargetMode="External"/><Relationship Id="rId77" Type="http://schemas.openxmlformats.org/officeDocument/2006/relationships/hyperlink" Target="https://www.sahi.com/news/symbiotec-pharmalab-receives-u-s-fda-eir-with-vai-status-for-pithampur-facility" TargetMode="External"/><Relationship Id="rId33" Type="http://schemas.openxmlformats.org/officeDocument/2006/relationships/hyperlink" Target="https://www.sebi.gov.in/sebi_data/attachdocs/aug-2026/1787119258529.pdf" TargetMode="External"/><Relationship Id="rId81" Type="http://schemas.openxmlformats.org/officeDocument/2006/relationships/hyperlink" Target="https://www.sec.gov/Archives/edgar/data/1135951/000157587222000246/drr0379_ex99-2.htm" TargetMode="External"/><Relationship Id="rId83" Type="http://schemas.openxmlformats.org/officeDocument/2006/relationships/hyperlink" Target="https://www.sec.gov/Archives/edgar/data/78003/000007800320000003/pfe-12312019xex99.htm" TargetMode="External"/><Relationship Id="rId84" Type="http://schemas.openxmlformats.org/officeDocument/2006/relationships/hyperlink" Target="https://www.sec.gov/Archives/edgar/data/78003/000007800324000017/pfe-12312023xex99.htm" TargetMode="External"/><Relationship Id="rId85" Type="http://schemas.openxmlformats.org/officeDocument/2006/relationships/hyperlink" Target="https://www.sec.gov/Archives/edgar/data/78003/000007800325000054/pfe-20241231.htm" TargetMode="External"/><Relationship Id="rId107" Type="http://schemas.openxmlformats.org/officeDocument/2006/relationships/hyperlink" Target="https://www.theweek.in/wire-updates/business/2025/12/19/dcm91-biz-ipo-symbiotec-pharmalab.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5" Type="http://schemas.openxmlformats.org/officeDocument/2006/relationships/hyperlink" Target="https://api.fda.gov/drug/drugsfda.json?search=products.active_ingredients.name:%22METHYLPREDNISOLONE+SODIUM+SUCCINATE%22&amp;limit=100" TargetMode="External"/><Relationship Id="rId30" Type="http://schemas.openxmlformats.org/officeDocument/2006/relationships/hyperlink" Target="https://api.fda.gov/drug/ndc.json?search=active_ingredients.name:%22HYDROCORTISONE+SODIUM+SUCCINATE%22&amp;limit=100" TargetMode="External"/><Relationship Id="rId21" Type="http://schemas.openxmlformats.org/officeDocument/2006/relationships/hyperlink" Target="https://api.fda.gov/drug/ndc.json?search=active_ingredients.name:%22METHYLPREDNISOLONE+SODIUM+SUCCINATE%22&amp;limit=200" TargetMode="External"/><Relationship Id="rId96" Type="http://schemas.openxmlformats.org/officeDocument/2006/relationships/hyperlink" Target="https://api.fda.gov/drug/ndc.json?search=labeler_name:%22Symbiotec%22&amp;limit=100" TargetMode="External"/><Relationship Id="rId101" Type="http://schemas.openxmlformats.org/officeDocument/2006/relationships/hyperlink" Target="https://api.fda.gov/drug/shortages.json?search=generic_name:methylprednisolone&amp;limit=100" TargetMode="External"/><Relationship Id="rId79" Type="http://schemas.openxmlformats.org/officeDocument/2006/relationships/hyperlink" Target="https://biospectrumindia.com/news/95/6186/another-fda-approval-in-aurobindos-kitty.html" TargetMode="External"/><Relationship Id="rId100" Type="http://schemas.openxmlformats.org/officeDocument/2006/relationships/hyperlink" Target="https://bsmedia.business-standard.com/_media/bs/data/announcements/bse/27012026/a9ea92dd-a2a8-4632-8e08-e434fdcec6fc.pdf" TargetMode="External"/><Relationship Id="rId37" Type="http://schemas.openxmlformats.org/officeDocument/2006/relationships/hyperlink" Target="https://cdn.pfizer.com/pfizercom/products/ctprescribers/SOLU-CORTEFCTPriceDisclosureShortForm07062026.pdf" TargetMode="External"/><Relationship Id="rId68" Type="http://schemas.openxmlformats.org/officeDocument/2006/relationships/hyperlink" Target="https://cdn.pfizer.com/pfizercom/products/ctprescribers/SOLU-CORTEFCTPriceDisclosureShortForm07092024.pdf" TargetMode="External"/><Relationship Id="rId70" Type="http://schemas.openxmlformats.org/officeDocument/2006/relationships/hyperlink" Target="https://cdn.pfizer.com/pfizercom/products/ctprescribers/SOLU-MEDROLCTPriceDisclosureShortForm03282025.pdf" TargetMode="External"/><Relationship Id="rId38" Type="http://schemas.openxmlformats.org/officeDocument/2006/relationships/hyperlink" Target="https://cdn.pfizer.com/pfizercom/products/ctprescribers/SOLU-MEDROLCTPriceDisclosureShortForm07062026.pdf" TargetMode="External"/><Relationship Id="rId69" Type="http://schemas.openxmlformats.org/officeDocument/2006/relationships/hyperlink" Target="https://cdn.pfizer.com/pfizercom/products/ctprescribers/SOLU-MEDROLCTPriceDisclosureShortForm07092024.pdf" TargetMode="External"/><Relationship Id="rId71" Type="http://schemas.openxmlformats.org/officeDocument/2006/relationships/hyperlink" Target="https://cdn.pfizer.com/pfizercom/products/ctprescribers/SOLU-MEDROLCTPriceDisclosureShortForm07282025.pdf" TargetMode="External"/><Relationship Id="rId24" Type="http://schemas.openxmlformats.org/officeDocument/2006/relationships/hyperlink" Target="https://dailymed.nlm.nih.gov/dailymed/drugInfo.cfm?setid=2e6020f5-a486-41cc-8956-58b5f6751aa2" TargetMode="External"/><Relationship Id="rId43" Type="http://schemas.openxmlformats.org/officeDocument/2006/relationships/hyperlink" Target="https://dailymed.nlm.nih.gov/dailymed/drugInfo.cfm?setid=37534164-9de5-4bb3-9f87-341dfcf90883" TargetMode="External"/><Relationship Id="rId41" Type="http://schemas.openxmlformats.org/officeDocument/2006/relationships/hyperlink" Target="https://dailymed.nlm.nih.gov/dailymed/drugInfo.cfm?setid=451d6d04-b7d9-47d9-ba71-43cc5b9b3054" TargetMode="External"/><Relationship Id="rId28" Type="http://schemas.openxmlformats.org/officeDocument/2006/relationships/hyperlink" Target="https://dailymed.nlm.nih.gov/dailymed/drugInfo.cfm?setid=65eefd58-b166-4d71-ade6-45c8fdf86922" TargetMode="External"/><Relationship Id="rId23" Type="http://schemas.openxmlformats.org/officeDocument/2006/relationships/hyperlink" Target="https://dailymed.nlm.nih.gov/dailymed/drugInfo.cfm?setid=738753c7-507d-4881-5194-02dd7597768b" TargetMode="External"/><Relationship Id="rId42" Type="http://schemas.openxmlformats.org/officeDocument/2006/relationships/hyperlink" Target="https://dailymed.nlm.nih.gov/dailymed/drugInfo.cfm?setid=bfe185a6-b657-2fbb-4ac2-e085373f15f3" TargetMode="External"/><Relationship Id="rId39" Type="http://schemas.openxmlformats.org/officeDocument/2006/relationships/hyperlink" Target="https://dailymed.nlm.nih.gov/dailymed/drugInfo.cfm?setid=cd99be87-c8d9-48d6-a8e5-e081052e3f19" TargetMode="External"/><Relationship Id="rId62" Type="http://schemas.openxmlformats.org/officeDocument/2006/relationships/hyperlink" Target="https://data.cms.gov/sites/default/files/2023-02/DSD_PTB_R22_20230125_Methodology%20508.pdf" TargetMode="External"/><Relationship Id="rId82" Type="http://schemas.openxmlformats.org/officeDocument/2006/relationships/hyperlink" Target="https://data.cms.gov/sites/default/files/2026-06/6616fc91-eb70-404c-9f27-1448e47a3a73/DSD_PTB_RY26_P06_V10_DYT24_HCPCS-%20260602.csv" TargetMode="External"/><Relationship Id="rId59" Type="http://schemas.openxmlformats.org/officeDocument/2006/relationships/hyperlink" Target="https://data.cms.gov/sites/default/files/2026-06/98218f98-166c-4723-8438-c344a4ef96a6/DSD_PTD_RY26_P04_V10_DY24_BGM.csv" TargetMode="External"/><Relationship Id="rId58" Type="http://schemas.openxmlformats.org/officeDocument/2006/relationships/hyperlink" Target="https://data.cms.gov/sites/default/files/2026-06/ae1c5e06-957d-42dd-b783-e7fe598c01c9/DSD_MCD_RY26_P06_V20_D24_BGM.csv" TargetMode="External"/><Relationship Id="rId105" Type="http://schemas.openxmlformats.org/officeDocument/2006/relationships/hyperlink" Target="https://data.cms.gov/sites/default/files/2026-07/6d9e955a-d199-42cf-9f73-7e0d93c33b3e/qddptb_r2603_p06_v10_dqt2601_260722.csv" TargetMode="External"/><Relationship Id="rId65" Type="http://schemas.openxmlformats.org/officeDocument/2006/relationships/hyperlink" Target="https://data.cms.gov/summary-statistics-on-use-and-payments/medicare-medicaid-spending-by-drug/medicare-part-b-spending-by-drug" TargetMode="External"/><Relationship Id="rId35" Type="http://schemas.openxmlformats.org/officeDocument/2006/relationships/hyperlink" Target="https://data.medicaid.gov/dataset/158a1baa-5506-400a-8ec3-97756f0b0536" TargetMode="External"/><Relationship Id="rId25" Type="http://schemas.openxmlformats.org/officeDocument/2006/relationships/hyperlink" Target="https://data.medicaid.gov/dataset/2957a7f9-9a15-453e-9afd-3bbdcbac8fd3" TargetMode="External"/><Relationship Id="rId57" Type="http://schemas.openxmlformats.org/officeDocument/2006/relationships/hyperlink" Target="https://data.medicaid.gov/dataset/61729e5a-7aa8-448c-8903-ba3e0cd0ea3c" TargetMode="External"/><Relationship Id="rId56" Type="http://schemas.openxmlformats.org/officeDocument/2006/relationships/hyperlink" Target="https://data.medicaid.gov/dataset/a1f3598e-fc71-51aa-8560-78e7e1a61b09" TargetMode="External"/><Relationship Id="rId27" Type="http://schemas.openxmlformats.org/officeDocument/2006/relationships/hyperlink" Target="https://data.medicaid.gov/dataset/fbb83258-11c7-47f5-8b18-5f8e79f7e704" TargetMode="External"/><Relationship Id="rId80" Type="http://schemas.openxmlformats.org/officeDocument/2006/relationships/hyperlink" Target="https://hikma.com/media/3cpbifha/09032016-product-hikma-receives-fda-approval-for-methylprednisolone-sodium-succinate-injection.pdf" TargetMode="External"/><Relationship Id="rId78" Type="http://schemas.openxmlformats.org/officeDocument/2006/relationships/hyperlink" Target="https://mailcontent.icicidirect.com/mailcontent/idirect_symbiotec_convictionidea.pdf" TargetMode="External"/><Relationship Id="rId52" Type="http://schemas.openxmlformats.org/officeDocument/2006/relationships/hyperlink" Target="https://pmc.ncbi.nlm.nih.gov/articles/PMC12646679/" TargetMode="External"/><Relationship Id="rId97" Type="http://schemas.openxmlformats.org/officeDocument/2006/relationships/hyperlink" Target="https://rxnav.nlm.nih.gov/REST/ndcstatus.json?ndc=00009003928" TargetMode="External"/><Relationship Id="rId60" Type="http://schemas.openxmlformats.org/officeDocument/2006/relationships/hyperlink" Target="https://rxnav.nlm.nih.gov/REST/rxcui/238755/allhistoricalndcs.json" TargetMode="External"/><Relationship Id="rId74" Type="http://schemas.openxmlformats.org/officeDocument/2006/relationships/hyperlink" Target="https://www.aapc.com/codes/hcpcs-codes/J2919" TargetMode="External"/><Relationship Id="rId32" Type="http://schemas.openxmlformats.org/officeDocument/2006/relationships/hyperlink" Target="https://www.bseindia.com/xml-data/corpfiling/AttachLive/47a96a6d-0348-40db-a957-9ae203f20580.pdf" TargetMode="External"/><Relationship Id="rId31" Type="http://schemas.openxmlformats.org/officeDocument/2006/relationships/hyperlink" Target="https://www.bseindia.com/xml-data/corpfiling/Attachhis/91eed093-577e-4264-babd-546a03192722.pdf" TargetMode="External"/><Relationship Id="rId55" Type="http://schemas.openxmlformats.org/officeDocument/2006/relationships/hyperlink" Target="https://www.cms.gov/files/document/medicaid-state-drug-utilization-data-field-descriptions.pdf" TargetMode="External"/><Relationship Id="rId73" Type="http://schemas.openxmlformats.org/officeDocument/2006/relationships/hyperlink" Target="https://www.cms.gov/files/zip/april-2024-asp-pricing-file.zip" TargetMode="External"/><Relationship Id="rId29" Type="http://schemas.openxmlformats.org/officeDocument/2006/relationships/hyperlink" Target="https://www.cms.gov/files/zip/october-2026-medicare-part-b-payment-limit-files-final.zip" TargetMode="External"/><Relationship Id="rId22" Type="http://schemas.openxmlformats.org/officeDocument/2006/relationships/hyperlink" Target="https://www.cms.gov/files/zip/october-2026-ndc-hcpcs-crosswalk-final.zip" TargetMode="External"/><Relationship Id="rId26" Type="http://schemas.openxmlformats.org/officeDocument/2006/relationships/hyperlink" Target="https://www.cms.gov/medicare/payment/part-b-drugs/asp-pricing-files" TargetMode="External"/><Relationship Id="rId34" Type="http://schemas.openxmlformats.org/officeDocument/2006/relationships/hyperlink" Target="https://www.fda.gov/drugs/generic-drugs/competitive-generic-therapy-approvals" TargetMode="External"/><Relationship Id="rId36" Type="http://schemas.openxmlformats.org/officeDocument/2006/relationships/hyperlink" Target="https://www.fda.gov/media/153631/download" TargetMode="External"/><Relationship Id="rId51" Type="http://schemas.openxmlformats.org/officeDocument/2006/relationships/hyperlink" Target="https://www.fda.gov/media/186195/download" TargetMode="External"/><Relationship Id="rId49" Type="http://schemas.openxmlformats.org/officeDocument/2006/relationships/hyperlink" Target="https://www.fda.gov/media/192069/download" TargetMode="External"/><Relationship Id="rId20" Type="http://schemas.openxmlformats.org/officeDocument/2006/relationships/hyperlink" Target="https://www.fda.gov/media/76860/download" TargetMode="External"/><Relationship Id="rId47" Type="http://schemas.openxmlformats.org/officeDocument/2006/relationships/hyperlink" Target="https://www.fda.gov/regulatory-information/search-fda-guidance-documents/comparative-analyses-and-related-comparative-use-human-factors-studies-drug-device-combination" TargetMode="External"/><Relationship Id="rId93" Type="http://schemas.openxmlformats.org/officeDocument/2006/relationships/hyperlink" Target="https://www.federalregister.gov/documents/2024/11/19/2024-26916/determination-that-hydrocortone-hydrocortisone-sodium-phosphate-injection-equivalent-to-50" TargetMode="External"/><Relationship Id="rId50" Type="http://schemas.openxmlformats.org/officeDocument/2006/relationships/hyperlink" Target="https://www.pfizerhospitalus.com/sites/default/files/news_announcements/Solu-Cortef%20Supply%20Update%20%203-22-23.pdf" TargetMode="External"/><Relationship Id="rId77" Type="http://schemas.openxmlformats.org/officeDocument/2006/relationships/hyperlink" Target="https://www.sahi.com/news/symbiotec-pharmalab-receives-u-s-fda-eir-with-vai-status-for-pithampur-facility" TargetMode="External"/><Relationship Id="rId33" Type="http://schemas.openxmlformats.org/officeDocument/2006/relationships/hyperlink" Target="https://www.sebi.gov.in/sebi_data/attachdocs/aug-2026/1787119258529.pdf" TargetMode="External"/><Relationship Id="rId81" Type="http://schemas.openxmlformats.org/officeDocument/2006/relationships/hyperlink" Target="https://www.sec.gov/Archives/edgar/data/1135951/000157587222000246/drr0379_ex99-2.htm" TargetMode="External"/><Relationship Id="rId83" Type="http://schemas.openxmlformats.org/officeDocument/2006/relationships/hyperlink" Target="https://www.sec.gov/Archives/edgar/data/78003/000007800320000003/pfe-12312019xex99.htm" TargetMode="External"/><Relationship Id="rId84" Type="http://schemas.openxmlformats.org/officeDocument/2006/relationships/hyperlink" Target="https://www.sec.gov/Archives/edgar/data/78003/000007800324000017/pfe-12312023xex99.htm" TargetMode="External"/><Relationship Id="rId85" Type="http://schemas.openxmlformats.org/officeDocument/2006/relationships/hyperlink" Target="https://www.sec.gov/Archives/edgar/data/78003/000007800325000054/pfe-20241231.htm" TargetMode="External"/><Relationship Id="rId107" Type="http://schemas.openxmlformats.org/officeDocument/2006/relationships/hyperlink" Target="https://www.theweek.in/wire-updates/business/2025/12/19/dcm91-biz-ipo-symbiotec-pharmala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Pfizer-only Cortef vials anchor Symbiotec's DCV case</dc:title>
  <dc:creator/>
  <cp:keywords/>
  <dcterms:created xsi:type="dcterms:W3CDTF">2026-10-21T06:15:42Z</dcterms:created>
  <dcterms:modified xsi:type="dcterms:W3CDTF">2026-10-21T06:15:42Z</dcterms:modified>
  <dc:subject>Symbiotec DCV: Solu-Medrol vs Solu-Cortef generics, shares and ASP</dc:subject>
</cp:coreProperties>
</file>

<file path=docProps/custom.xml><?xml version="1.0" encoding="utf-8"?>
<Properties xmlns="http://schemas.openxmlformats.org/officeDocument/2006/custom-properties" xmlns:vt="http://schemas.openxmlformats.org/officeDocument/2006/docPropsVTypes"/>
</file>