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 w:line="360" w:lineRule="auto"/>
      </w:pPr>
      <w:r>
        <w:rPr>
          <w:rFonts w:ascii="Times New Roman" w:hAnsi="Times New Roman"/>
          <w:b/>
          <w:i w:val="0"/>
          <w:sz w:val="28"/>
        </w:rPr>
        <w:t>MASTER CHECKLIST — Dissertation Submission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Praveen Pal Rawal | 240031105151008 | MTech DS &amp; ML Sem 4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Rashtriya Raksha University | Supervisor: Dr. Mayur Makwana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Update status as: [ ] = Pending | [x] = Done | [~] = In Progress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0 — Preparation (Before Writing)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Information to Collect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Confirm exact dissertation title — FINQUANT-NEXUS: AN AI-POWERED PORTFOLIO OPTIMIZATION SYSTEM FOR NIFTY 50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Dr. Makwana's designation — Assistant Professor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School name — School of Information Technology Artificial Intelligence and Cyber Security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Submission month and year — May 2026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Hardware specs — Intel Core i5-13420H, 16GB RAM, NVIDIA RTX 3050 4GB (CPU-only PyTorch environment)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Data &amp; Results to Collect From System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Sharpe Ratios — PPO: 0.7829 | SAC: 0.7288 | TD3: 0.7480 | A2C: 0.7520 | DDPG: 0.8909 | Ensemble: 0.8316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Total Return % — PPO: +15.22% | SAC: +14.31% | TD3: +14.86% | A2C: +14.52% | DDPG: +21.27% | Ensemble: +16.75%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Benchmark data — Portfolio: +8.27% | NIFTY 50: +0.65% | FD 7%: +4.96%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Sortino Ratio per algorithm — PPO: 1.0721 | SAC: 1.0089 | TD3: 1.0212 | A2C: 1.0447 | DDPG: 1.1279 | Ensemble: 1.1086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Volatility per algorithm — PPO: 12.76% | SAC: 12.58% | TD3: 12.98% | A2C: 12.42% | DDPG: 17.84% | Ensemble: 13.76%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Max Drawdown per algorithm — PPO: -17.06% | SAC: -16.42% | TD3: -16.14% | A2C: -16.29% | DDPG: -21.37% | Ensemble: -17.80%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All 8 stress scenarios fully confirmed — see Table 4.5 in 06_CH4_IMPLEMENTATION.md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FL system — 50 rounds, epsilon=8.0, delta=0.00001, Global Sharpe 0.729, FedProx faster than FedAvg confirmed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FL client fairness — Banking +0.298, IT +0.339, Pharma +0.134, Energy -0.138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Graph stats — 44 nodes, 250 edges (Sector 79, Supply Chain 24, Correlation 147), Density 0.264, Avg Degree 11.4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Risk constraints — Max Position 12%, Stop Loss -3%, Max Drawdown -12%, Transaction Cost 0.1%, Slippage 0.05%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T-GAT embedding dimension CORRECTED — 32-dim (not 64-dim), updated in all files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pytest results — 244 passed, 1 failed (config value mismatch: expected 0.07 got 0.05), 1 skipped, 11 warnings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RL training steps — 500,000 steps per algorithm (PPO/SAC/TD3/A2C/DDPG) confirmed from configs/base.yaml (total_timesteps: 500000). Actual wall-clock time not captured in logs (logs only show test runs of 200 steps). Policy networks: PPO 45,835 params, SAC 117,070 params (confirmed from rl_agent.log).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Screenshots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fig_4_2_portfolio.png — Portfolio tab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fig_4_3_rl_agent_ensemble.png — RL Agent (Ensemble selected)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fig_4_3_rl_comparison_table.png — RL comparison table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fig_4_5_sentiment1.png — Sentiment main view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fig_4_5_sentiment2.png — Sentiment portfolio impact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fig_4_5_sentiment3.png — Sentiment sector scores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fig_4_6_graph_all_edges.png — Graph all 3 edges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fig_4_6_graph_correlation_only.png — Correlation only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fig_4_7_stress_normal.png — Stress testing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fig_4_8_federated.png — Federated learning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fig_4_9_pipeline.png — Pipeline annotated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fig_4_9_pipeline2.png — Pipeline diagram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fig_4_10_future_prediction.png — Future Prediction tab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fig_5_1_benchmark.png — Growth Chart vs NIFTY 50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ALL SCREENSHOTS COMPLETE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Architecture Diagrams (for Chapter 3)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Mermaid source code written for all 5 diagrams — DIAGRAMS_MERMAID.md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fig_3_1_architecture.png — confirmed in imgs/ folder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fig_3_4_sentiment_pipeline.png — confirmed in imgs/ folder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fig_3_6_tgat.png — confirmed in imgs/ folder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fig_3_7_rl_env.png — confirmed in imgs/ folder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fig_3_8_fl.png — confirmed in imgs/ folder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Research Papers to Find (Google Scholar)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Markowitz H., "Portfolio Selection," Journal of Finance, 1952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Mnih V. et al., "Human-level control through DRL," Nature, 2015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Schulman J. et al., "Proximal Policy Optimization," arXiv, 2017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Haarnoja T. et al., "Soft Actor-Critic," ICML, 2018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Fujimoto S. et al., "TD3," ICML, 2018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Velickovic P. et al., "Graph Attention Networks," ICLR, 2018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Kipf T. &amp; Welling M., "GCN," ICLR, 2017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Araci D., "FinBERT," arXiv, 2019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Devlin J. et al., "BERT," NAACL, 2019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McMahan B. et al., "FedAvg," AISTATS, 2017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Li T. et al., "FedProx," MLSys, 2020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Abadi M. et al., "DP-SGD," CCS, 2016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Mnih V. et al., "DQN," 2013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Silver D. et al., "DDPG," ICML, 2014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Mnih V. et al., "A3C/A2C," ICML, 2016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Liu X. et al., "FinRL," arXiv, 2020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Raffin A. et al., "Stable-Baselines3," JMLR, 2021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Fey M. &amp; Lenssen J., "PyTorch Geometric," 2019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Beutel D. et al., "Flower (flwr)," 2020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yfinance — cite as software/documentation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Loughran T. &amp; McDonald B., "Finance-specific sentiment," JoF, 2011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Vaswani A. et al., "Attention is All You Need," NeurIPS, 2017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Black F. &amp; Litterman R., "Black-Litterman Model," 1992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Merton R., "An intertemporal CAPM," 1973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Sharpe W., "Capital Asset Pricing Model," 1964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Find 20–25 more Indian stock market / NIFTY specific papers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1 — Writing Chapters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Front Matter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Title Page — filled in 01_FRONT_MATTER.md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[~] Declaration — template ready, fill with actual title before printing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Certificate — template complete in 01_FRONT_MATTER.md | physical signature from Dr. Makwana + School Director + RRU seal required at time of printing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[x] Acknowledgements — written and pasted into 01_FRONT_MATTER.md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Dedication — optional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Chapter Writing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CH1 — Introduction</w:t>
      </w:r>
      <w:r>
        <w:rPr>
          <w:rFonts w:ascii="Times New Roman" w:hAnsi="Times New Roman"/>
          <w:b w:val="0"/>
          <w:i w:val="0"/>
          <w:sz w:val="24"/>
        </w:rPr>
        <w:t xml:space="preserve"> (~8–10 pages) — 03_CH1_INTRODUCTION.md —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1.1 Background of the Work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1.2 Motivation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1.3 Problem Statement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1.4 Objectives of the Work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1.5 Scope of the Work</w:t>
      </w:r>
    </w:p>
    <w:p>
      <w:pPr>
        <w:spacing w:before="40" w:after="40" w:line="360" w:lineRule="auto"/>
      </w:pPr>
      <w:r>
        <w:rPr>
          <w:rFonts w:ascii="Times New Roman" w:hAnsi="Times New Roman"/>
          <w:i/>
          <w:color w:val="505050"/>
          <w:sz w:val="22"/>
        </w:rPr>
        <w:t>Section 1.6 (Organization of Dissertation) removed — irrelevant filler section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CH2 — Literature Review</w:t>
      </w:r>
      <w:r>
        <w:rPr>
          <w:rFonts w:ascii="Times New Roman" w:hAnsi="Times New Roman"/>
          <w:b w:val="0"/>
          <w:i w:val="0"/>
          <w:sz w:val="24"/>
        </w:rPr>
        <w:t xml:space="preserve"> (~15–20 pages) — 04_CH2_LITERATURE_REVIEW.md — DONE (Topic-wise, 6–7 key papers in depth)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2.1 Classical Portfolio Optimisation — Markowitz (1952) focused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2.2 Deep RL in Finance — PPO (Schulman 2017) + FinRL (Liu 2021) focused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2.3 GNN for Stock Markets — GAT (Velickovic 2018) focused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2.4 Financial Sentiment Analysis — FinBERT (Araci 2019) focused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2.5 Federated Learning — FedAvg (McMahan 2017) + FedProx (Li 2020) focused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2.6 Monte Carlo Methods in Risk Management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2.7 Research Gap and Contribution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CH3 — System Design &amp; Methodology</w:t>
      </w:r>
      <w:r>
        <w:rPr>
          <w:rFonts w:ascii="Times New Roman" w:hAnsi="Times New Roman"/>
          <w:b w:val="0"/>
          <w:i w:val="0"/>
          <w:sz w:val="24"/>
        </w:rPr>
        <w:t xml:space="preserve"> (~28–35 pages) — 05_CH3_METHODOLOGY.md —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3.1 Overall System Architecture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3.2 Dataset Description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3.3 Data Preprocessing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3.4 Feature Engineering (21 indicators)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3.5 Sentiment Analysis Module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3.6 Stock Relationship Graph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3.7 T-GAT Model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3.8 RL Environment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3.9 RL Agents (PPO/SAC/TD3/A2C/DDPG/Ensemble)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3.10 Stress Testing Framework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3.11 Federated Learning System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3.12 REST API Design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3.13 Dashboard Design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CH4 — Implementation &amp; Results</w:t>
      </w:r>
      <w:r>
        <w:rPr>
          <w:rFonts w:ascii="Times New Roman" w:hAnsi="Times New Roman"/>
          <w:b w:val="0"/>
          <w:i w:val="0"/>
          <w:sz w:val="24"/>
        </w:rPr>
        <w:t xml:space="preserve"> (~25–30 pages) — 06_CH4_IMPLEMENTATION.md —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4.1 Development Environment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4.2 Data Pipeline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4.3 Portfolio Analytics Dashboard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4.4 RL Training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4.5 Sentiment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4.6 Graph Visualization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4.7 Stress Testing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4.8 Federated Learning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4.9 Pipeline Workflow Visualization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4.10 Future Prediction Results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4.11 Testing &amp; Validation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CH5 — Analysis &amp; Discussion</w:t>
      </w:r>
      <w:r>
        <w:rPr>
          <w:rFonts w:ascii="Times New Roman" w:hAnsi="Times New Roman"/>
          <w:b w:val="0"/>
          <w:i w:val="0"/>
          <w:sz w:val="24"/>
        </w:rPr>
        <w:t xml:space="preserve"> (~15–18 pages) — 07_CH5_ANALYSIS.md —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5.1 Portfolio Performance vs Benchmark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5.2 RL Algorithm Comparative Analysis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5.3 Sentiment Impact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5.4 T-GAT Embedding Quality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5.5 Stress Testing Interpretation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5.6 Federated Learning Analysis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5.7 Future Prediction Analysis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5.8 Limitations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CH6 — Conclusions</w:t>
      </w:r>
      <w:r>
        <w:rPr>
          <w:rFonts w:ascii="Times New Roman" w:hAnsi="Times New Roman"/>
          <w:b w:val="0"/>
          <w:i w:val="0"/>
          <w:sz w:val="24"/>
        </w:rPr>
        <w:t xml:space="preserve"> (~5–7 pages) — 08_CH6_CONCLUSIONS.md —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6.1 Summary of Work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6.2 Key Contributions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6.3 Conclusions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6.4 Future Work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References</w:t>
      </w:r>
      <w:r>
        <w:rPr>
          <w:rFonts w:ascii="Times New Roman" w:hAnsi="Times New Roman"/>
          <w:b w:val="0"/>
          <w:i w:val="0"/>
          <w:sz w:val="24"/>
        </w:rPr>
        <w:t xml:space="preserve"> (~4–5 pages) — 09_REFERENCES.md — DONE (47 refs, ordered by appearance)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Collect all 50–60 references — 47 confirmed legit papers done; 6 Indian-market papers ([41],[43]–[47])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Format in RRU superscript style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 ] Cross-check all [REF] placeholders in chapters — pending final pass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Abstract</w:t>
      </w:r>
      <w:r>
        <w:rPr>
          <w:rFonts w:ascii="Times New Roman" w:hAnsi="Times New Roman"/>
          <w:b w:val="0"/>
          <w:i w:val="0"/>
          <w:sz w:val="24"/>
        </w:rPr>
        <w:t xml:space="preserve"> (~1 page, MAX 250 words) — 02_ABSTRACT.md — DONE (exactly 250 words)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Write LAST after all chapters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Must include: Objective, Work Done, Results, Conclusions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Count words — 250 / 250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 xml:space="preserve">[x] </w:t>
      </w:r>
      <w:r>
        <w:rPr>
          <w:rFonts w:ascii="Times New Roman" w:hAnsi="Times New Roman"/>
          <w:b/>
          <w:i w:val="0"/>
          <w:sz w:val="24"/>
        </w:rPr>
        <w:t>Appendices</w:t>
      </w:r>
      <w:r>
        <w:rPr>
          <w:rFonts w:ascii="Times New Roman" w:hAnsi="Times New Roman"/>
          <w:b w:val="0"/>
          <w:i w:val="0"/>
          <w:sz w:val="24"/>
        </w:rPr>
        <w:t xml:space="preserve"> — 10_APPENDICES.md — DONE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Appendix A: System Architecture Diagram — red marker for fig_3_1_architecture.png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Appendix B: configs/base.yaml (full) — actual file pasted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Appendix C: API Endpoint List — 18 endpoints listed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Appendix D: Test Results Summary — 244 passed, 1 failed, 1 skipped confirmed</w:t>
      </w:r>
    </w:p>
    <w:p>
      <w:pPr>
        <w:pStyle w:val="ListBullet"/>
        <w:spacing w:before="20" w:after="20" w:line="360" w:lineRule="auto"/>
        <w:ind w:left="624"/>
      </w:pPr>
      <w:r>
        <w:rPr>
          <w:rFonts w:ascii="Times New Roman" w:hAnsi="Times New Roman"/>
          <w:b w:val="0"/>
          <w:i w:val="0"/>
          <w:sz w:val="24"/>
        </w:rPr>
        <w:t>[x] Appendix E: List of Abbreviations — complete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2 — Formatting (In MS Word / LibreOffice)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Typography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Font: Times New Roman everywhere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Body text: 12pt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Chapter headings: 14pt Bold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Section headings: 12pt Bold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Line spacing: 1.5 throughout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Paragraph spacing: consistent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Page Setup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Paper: A4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Left margin: 38 mm (1.5 inch)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Right margin: 25.4 mm (1 inch)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Top margin: 25.4 mm (1 inch)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Bottom margin: 25.4 mm (1 inch)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Print: Single side only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Page Numbering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Front matter: Roman numerals (i, ii, iii...)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Body chapters: Arabic numerals starting from Chapter 1 page 1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References and Appendices: continues Arabic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Figures &amp; Tables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Every figure has number + caption below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Every table has number + title above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List of Figures page complete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List of Tables page complete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All figures clear and readable (min 300 DPI)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References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All in-text citations are superscript numbers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Reference list matches all in-text citations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RRU citation format used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3 — Review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Self-review: read entire dissertation once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Check all [REF] placeholders replaced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Check all [TO WRITE] placeholders removed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Check figure/table numbers are sequential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Spell check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Grammar check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Give draft to Dr. Makwana for review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Incorporate supervisor feedback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Final proofread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4 — Plagiarism Check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Submit to Turnitin or iThenticate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Review similarity report (target &lt; 10–15%)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Rewrite any flagged sections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Show report to Dr. Makwana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Submit to RRU Central Library for final check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Obtain Plagiarism Verification Certificate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Keep certificate — goes at back of hardbound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5 — Printing &amp; Binding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Final PDF ready and approved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Print 2 complete copies — A4, 80–90 gsm, single side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Get Navy Blue hardbound covers made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Cover text in Golden color font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Cover: Title, Name, Enrollment, Degree, Supervisor, School, University, Month &amp; Year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Paste Plagiarism Verification Certificate at back of each hardbound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6 — Digital Submission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Export dissertation as PDF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File 1: 240031105151008_PraveenPalRawal_Abstract.pdf (Title Page + Certificate + Abstract)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File 2: 240031105151008_PraveenPalRawal_Dissertation.pdf (full body)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Prepare 1 CD/DVD with both files in correct folder structure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Label CD/DVD with name, enrollment, degree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Email PDF to School Head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7 — Hardbound Submission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Submit 1 hardbound to School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Submit 1 hardbound to Library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Submit CD/DVD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Get acknowledgement receipt from both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PHASE 8 — Viva Preparation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Prepare PowerPoint (15–20 slides)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Revise all 6 chapters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Know actual result numbers (Sharpe, VaR, convergence rounds)</w:t>
      </w:r>
    </w:p>
    <w:p>
      <w:pPr>
        <w:pStyle w:val="ListBullet"/>
        <w:spacing w:before="20" w:after="20" w:line="360" w:lineRule="auto"/>
        <w:ind w:left="283"/>
      </w:pPr>
      <w:r>
        <w:rPr>
          <w:rFonts w:ascii="Times New Roman" w:hAnsi="Times New Roman"/>
          <w:b w:val="0"/>
          <w:i w:val="0"/>
          <w:sz w:val="24"/>
        </w:rPr>
        <w:t>[ ] Bring all hardbound copies to viva hall</w:t>
      </w:r>
    </w:p>
    <w:p>
      <w:pPr>
        <w:spacing w:before="160" w:after="80" w:line="360" w:lineRule="auto"/>
      </w:pPr>
      <w:r>
        <w:rPr>
          <w:rFonts w:ascii="Times New Roman" w:hAnsi="Times New Roman"/>
          <w:b/>
          <w:i w:val="0"/>
          <w:sz w:val="24"/>
        </w:rPr>
        <w:t>Final Page Count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Section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Target Pages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Actual Pages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Front Matter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12–14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~13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Chapter 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8–10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~9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Chapter 2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15–20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~13 (trimmed)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Chapter 3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28–35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~18 (condensed)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Chapter 4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25–30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~18 (condensed)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Chapter 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15–18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~10 (condensed)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Chapter 6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5–7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~5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References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4–5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~5 (42 papers)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Appendices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8–10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~6 (trimmed)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Abstract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TOTAL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  <w:r>
              <w:rPr>
                <w:rFonts w:ascii="Times New Roman" w:hAnsi="Times New Roman"/>
                <w:b/>
                <w:i w:val="0"/>
                <w:sz w:val="22"/>
              </w:rPr>
              <w:t>~98 — UNDER 100 TARGET</w:t>
            </w:r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RRU LIMIT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150</w:t>
            </w:r>
          </w:p>
        </w:tc>
        <w:tc>
          <w:tcPr>
            <w:tcW w:type="dxa" w:w="2771"/>
          </w:tcPr>
          <w:p>
            <w:pPr>
              <w:spacing w:before="40" w:after="40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</w:tr>
    </w:tbl>
    <w:p/>
    <w:sectPr w:rsidR="00FC693F" w:rsidRPr="0006063C" w:rsidSect="00034616">
      <w:pgSz w:w="11906" w:h="16838"/>
      <w:pgMar w:top="1440" w:right="1440" w:bottom="1440" w:left="215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