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pPr>
      <w:r>
        <w:rPr>
          <w:rFonts w:ascii="Times New Roman" w:hAnsi="Times New Roman"/>
          <w:b/>
          <w:i w:val="0"/>
          <w:sz w:val="28"/>
        </w:rPr>
        <w:t>ABSTRACT</w:t>
      </w:r>
    </w:p>
    <w:p>
      <w:pPr>
        <w:spacing w:before="40" w:after="40" w:line="360" w:lineRule="auto"/>
      </w:pPr>
      <w:r>
        <w:rPr>
          <w:rFonts w:ascii="Times New Roman" w:hAnsi="Times New Roman"/>
          <w:i/>
          <w:color w:val="505050"/>
          <w:sz w:val="22"/>
        </w:rPr>
        <w:t>Word count: 250 / 250 (exact limit)</w:t>
      </w:r>
    </w:p>
    <w:p>
      <w:pPr>
        <w:spacing w:before="160" w:after="80" w:line="360" w:lineRule="auto"/>
      </w:pPr>
      <w:r>
        <w:rPr>
          <w:rFonts w:ascii="Times New Roman" w:hAnsi="Times New Roman"/>
          <w:b/>
          <w:i w:val="0"/>
          <w:sz w:val="24"/>
        </w:rPr>
        <w:t>RRU Abstract Header Format</w:t>
      </w:r>
    </w:p>
    <w:p>
      <w:pPr>
        <w:spacing w:before="80" w:after="80" w:line="360" w:lineRule="auto"/>
        <w:shd w:val="clear" w:color="auto" w:fill="F2F2F2"/>
      </w:pPr>
      <w:r>
        <w:rPr>
          <w:rFonts w:ascii="Courier New" w:hAnsi="Courier New"/>
          <w:sz w:val="18"/>
        </w:rPr>
        <w:t>Abstract</w:t>
        <w:br/>
        <w:br/>
        <w:t>FINQUANT-NEXUS: AN AI-POWERED PORTFOLIO OPTIMIZATION SYSTEM FOR NIFTY 50</w:t>
        <w:br/>
        <w:br/>
        <w:t>Submitted By: Praveen Pal Rawal (240031105151008)</w:t>
        <w:br/>
        <w:br/>
        <w:t>Supervised By: Dr. Mayur Makwana, Assistant Professor,</w:t>
        <w:br/>
        <w:t xml:space="preserve">               School of Information Technology Artificial Intelligence</w:t>
        <w:br/>
        <w:t xml:space="preserve">               and Cyber Security, Rashtriya Raksha University, Gandhinagar</w:t>
      </w:r>
    </w:p>
    <w:p>
      <w:pPr>
        <w:spacing w:before="160" w:after="80" w:line="360" w:lineRule="auto"/>
      </w:pPr>
      <w:r>
        <w:rPr>
          <w:rFonts w:ascii="Times New Roman" w:hAnsi="Times New Roman"/>
          <w:b/>
          <w:i w:val="0"/>
          <w:sz w:val="24"/>
        </w:rPr>
        <w:t>ABSTRACT</w:t>
      </w:r>
    </w:p>
    <w:p>
      <w:pPr>
        <w:spacing w:before="0" w:after="120" w:line="360" w:lineRule="auto"/>
      </w:pPr>
      <w:r>
        <w:rPr>
          <w:rFonts w:ascii="Times New Roman" w:hAnsi="Times New Roman"/>
          <w:b w:val="0"/>
          <w:i w:val="0"/>
          <w:sz w:val="24"/>
        </w:rPr>
        <w:t>FINQUANT-NEXUS is a portfolio management platform that targets the NIFTY 50 stock universe. The aim of the present work was to take four separate machine learning ideas and connect them inside one working system. These were deep reinforcement learning for portfolio weight allocation, graph neural networks for modelling how stocks relate to each other, FinBERT-based sentiment scoring from financial news, and federated learning with differential privacy for collaborative model training.</w:t>
      </w:r>
    </w:p>
    <w:p>
      <w:pPr>
        <w:spacing w:before="0" w:after="120" w:line="360" w:lineRule="auto"/>
      </w:pPr>
      <w:r>
        <w:rPr>
          <w:rFonts w:ascii="Times New Roman" w:hAnsi="Times New Roman"/>
          <w:b w:val="0"/>
          <w:i w:val="0"/>
          <w:sz w:val="24"/>
        </w:rPr>
        <w:t>For the data side, daily prices of 44 NIFTY 50 stocks were collected from Yahoo Finance across eleven years. Twenty-one technical indicators were computed and Z-score normalised per stock. A multi-relational stock graph was constructed using three edge types, namely sector membership, supply chain linkage, and rolling correlation. A Temporal Graph Attention Network then produced 32-dimensional per-stock embeddings, which were concatenated with indicator and sentiment values to form the RL observation vector. Six algorithms were trained in a Gymnasium-compatible environment: PPO, SAC, TD3, A2C, DDPG, and an Ensemble combining all five. Monte Carlo stress testing ran 1,000 paths over eight historical crisis scenarios. A FedProx federated system used DP-SGD at ε = 8.0 across four sector clients for 50 rounds.</w:t>
      </w:r>
    </w:p>
    <w:p>
      <w:pPr>
        <w:spacing w:before="0" w:after="120" w:line="360" w:lineRule="auto"/>
      </w:pPr>
      <w:r>
        <w:rPr>
          <w:rFonts w:ascii="Times New Roman" w:hAnsi="Times New Roman"/>
          <w:b w:val="0"/>
          <w:i w:val="0"/>
          <w:sz w:val="24"/>
        </w:rPr>
        <w:t>The Ensemble agent achieved a backtested Sharpe Ratio of 0.8316 and an annualised return of 16.75 percent on the 2024 to 2025 test set. Over 247 trading days of live-window evaluation (April 2025 to March 2026), the portfolio returned 8.27 percent (Sharpe 0.2996 on the shorter window) against 0.65 percent for the NIFTY 50 index and 4.96 percent for a fixed deposit baseline. The federated model reached a global Sharpe of 0.729. Stress test survival rates ranged from 76.4 percent under the Flash Crash down to 0.9 percent under the Dot-Com 2000 scenario.</w:t>
      </w:r>
    </w:p>
    <w:p>
      <w:pPr>
        <w:spacing w:before="0" w:after="120" w:line="360" w:lineRule="auto"/>
      </w:pPr>
      <w:r>
        <w:rPr>
          <w:rFonts w:ascii="Times New Roman" w:hAnsi="Times New Roman"/>
          <w:b w:val="0"/>
          <w:i w:val="0"/>
          <w:sz w:val="24"/>
        </w:rPr>
        <w:t>Taken together, the results suggest that combining RL, graph modelling, sentiment signals, and federated training yields real improvement over the passive benchmark for Indian equities. The present work also confirms that privacy-preserving collaborative training is feasible at this scale, though the system remains a research platform rather than a deployment-ready trading tool.</w:t>
      </w:r>
    </w:p>
    <w:p>
      <w:pPr>
        <w:spacing w:before="0" w:after="120" w:line="360" w:lineRule="auto"/>
      </w:pPr>
      <w:r>
        <w:rPr>
          <w:rFonts w:ascii="Times New Roman" w:hAnsi="Times New Roman"/>
          <w:b w:val="0"/>
          <w:i w:val="0"/>
          <w:sz w:val="24"/>
        </w:rPr>
      </w:r>
      <w:r>
        <w:rPr>
          <w:rFonts w:ascii="Times New Roman" w:hAnsi="Times New Roman"/>
          <w:b/>
          <w:i w:val="0"/>
          <w:sz w:val="24"/>
        </w:rPr>
        <w:t>Keywords:</w:t>
      </w:r>
      <w:r>
        <w:rPr>
          <w:rFonts w:ascii="Times New Roman" w:hAnsi="Times New Roman"/>
          <w:b w:val="0"/>
          <w:i w:val="0"/>
          <w:sz w:val="24"/>
        </w:rPr>
        <w:t xml:space="preserve"> Reinforcement Learning, Portfolio Optimisation, Graph Neural Networks, NIFTY 50, Federated Learning, Sentiment Analysis</w:t>
      </w:r>
    </w:p>
    <w:sectPr w:rsidR="00FC693F" w:rsidRPr="0006063C" w:rsidSect="00034616">
      <w:pgSz w:w="11906" w:h="16838"/>
      <w:pgMar w:top="1440" w:right="1440" w:bottom="1440"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