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360" w:lineRule="auto"/>
      </w:pPr>
      <w:r>
        <w:rPr>
          <w:rFonts w:ascii="Times New Roman" w:hAnsi="Times New Roman"/>
          <w:b/>
          <w:i w:val="0"/>
          <w:sz w:val="28"/>
        </w:rPr>
        <w:t>Dissertation Diagrams — Mermaid Source Code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How to use: Go to https://mermaid.live, paste code, screenshot</w:t>
      </w:r>
    </w:p>
    <w:p>
      <w:pPr>
        <w:spacing w:before="80" w:after="80" w:line="360" w:lineRule="auto"/>
      </w:pPr>
      <w:r>
        <w:rPr>
          <w:color w:val="B4B4B4"/>
          <w:sz w:val="20"/>
        </w:rPr>
        <w:t>------------------------------------------------------------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DIAGRAM 1 — fig_3_1_architecture.png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System Architecture (Chapter 3.1)</w:t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flowchart TD</w:t>
        <w:br/>
        <w:t xml:space="preserve">    subgraph SRC["DATA SOURCES"]</w:t>
        <w:br/>
        <w:t xml:space="preserve">        direction LR</w:t>
        <w:br/>
        <w:t xml:space="preserve">        A1["Yahoo Finance\nNIFTY 50 · 44 Stocks\n2015–2025"]</w:t>
        <w:br/>
        <w:t xml:space="preserve">        A2["News Sources\nGoogle News · Yahoo Finance\nIndian RSS Feeds"]</w:t>
        <w:br/>
        <w:t xml:space="preserve">    end</w:t>
        <w:br/>
        <w:br/>
        <w:t xml:space="preserve">    subgraph PROC["PROCESSING"]</w:t>
        <w:br/>
        <w:t xml:space="preserve">        direction LR</w:t>
        <w:br/>
        <w:t xml:space="preserve">        B1["Feature Engineering\n21 Technical Indicators\nRSI · MACD · Bollinger · ATR"]</w:t>
        <w:br/>
        <w:t xml:space="preserve">        B2["FinBERT NLP\nSentiment Score\n−1 to +1 per stock"]</w:t>
        <w:br/>
        <w:t xml:space="preserve">    end</w:t>
        <w:br/>
        <w:br/>
        <w:t xml:space="preserve">    subgraph GNN["GRAPH + T-GAT"]</w:t>
        <w:br/>
        <w:t xml:space="preserve">        C1["Graph Builder\nSector Edges\nSupply Chain Edges\nCorrelation Edges"]</w:t>
        <w:br/>
        <w:t xml:space="preserve">        C2["T-GAT Model\nRelational Attention x 3\nGRU Temporal Encoder\n32-dim Embeddings"]</w:t>
        <w:br/>
        <w:t xml:space="preserve">    end</w:t>
        <w:br/>
        <w:br/>
        <w:t xml:space="preserve">    subgraph RLENV["RL ENVIRONMENT"]</w:t>
        <w:br/>
        <w:t xml:space="preserve">        D1["Portfolio Env\nGymnasium Compatible\nState · Action · Reward"]</w:t>
        <w:br/>
        <w:t xml:space="preserve">    end</w:t>
        <w:br/>
        <w:br/>
        <w:t xml:space="preserve">    subgraph AGENTS["RL AGENTS"]</w:t>
        <w:br/>
        <w:t xml:space="preserve">        direction LR</w:t>
        <w:br/>
        <w:t xml:space="preserve">        E1["PPO"]</w:t>
        <w:br/>
        <w:t xml:space="preserve">        E2["SAC"]</w:t>
        <w:br/>
        <w:t xml:space="preserve">        E3["TD3"]</w:t>
        <w:br/>
        <w:t xml:space="preserve">        E4["A2C"]</w:t>
        <w:br/>
        <w:t xml:space="preserve">        E5["DDPG"]</w:t>
        <w:br/>
        <w:t xml:space="preserve">    end</w:t>
        <w:br/>
        <w:br/>
        <w:t xml:space="preserve">    F1["Ensemble Agent\nAverage of 5 Algorithms"]</w:t>
        <w:br/>
        <w:br/>
        <w:t xml:space="preserve">    subgraph FL["FEDERATED LEARNING"]</w:t>
        <w:br/>
        <w:t xml:space="preserve">        G1["FedProx Server\n4 Sector Clients\nDP-SGD · epsilon = 8.0"]</w:t>
        <w:br/>
        <w:t xml:space="preserve">    end</w:t>
        <w:br/>
        <w:br/>
        <w:t xml:space="preserve">    subgraph OUT["OUTPUT"]</w:t>
        <w:br/>
        <w:t xml:space="preserve">        direction LR</w:t>
        <w:br/>
        <w:t xml:space="preserve">        H1["FastAPI Backend\n50+ REST Endpoints"]</w:t>
        <w:br/>
        <w:t xml:space="preserve">        H2["React Dashboard\n8 Interactive Pages"]</w:t>
        <w:br/>
        <w:t xml:space="preserve">    end</w:t>
        <w:br/>
        <w:br/>
        <w:t xml:space="preserve">    A1 --&gt; B1</w:t>
        <w:br/>
        <w:t xml:space="preserve">    A2 --&gt; B2</w:t>
        <w:br/>
        <w:t xml:space="preserve">    B1 --&gt; C1</w:t>
        <w:br/>
        <w:t xml:space="preserve">    B2 --&gt; D1</w:t>
        <w:br/>
        <w:t xml:space="preserve">    C1 --&gt; C2</w:t>
        <w:br/>
        <w:t xml:space="preserve">    C2 --&gt; D1</w:t>
        <w:br/>
        <w:t xml:space="preserve">    D1 --&gt; E1 &amp; E2 &amp; E3 &amp; E4 &amp; E5</w:t>
        <w:br/>
        <w:t xml:space="preserve">    E1 &amp; E2 &amp; E3 &amp; E4 &amp; E5 --&gt; F1</w:t>
        <w:br/>
        <w:t xml:space="preserve">    F1 --&gt; G1</w:t>
        <w:br/>
        <w:t xml:space="preserve">    G1 --&gt; H1</w:t>
        <w:br/>
        <w:t xml:space="preserve">    H1 --&gt; H2</w:t>
        <w:br/>
        <w:br/>
        <w:t xml:space="preserve">    style SRC fill:#dbeafe,stroke:#3b82f6</w:t>
        <w:br/>
        <w:t xml:space="preserve">    style PROC fill:#dcfce7,stroke:#22c55e</w:t>
        <w:br/>
        <w:t xml:space="preserve">    style GNN fill:#fef9c3,stroke:#eab308</w:t>
        <w:br/>
        <w:t xml:space="preserve">    style RLENV fill:#fce7f3,stroke:#ec4899</w:t>
        <w:br/>
        <w:t xml:space="preserve">    style AGENTS fill:#ede9fe,stroke:#8b5cf6</w:t>
        <w:br/>
        <w:t xml:space="preserve">    style FL fill:#ffedd5,stroke:#f97316</w:t>
        <w:br/>
        <w:t xml:space="preserve">    style OUT fill:#f0fdf4,stroke:#16a34a</w:t>
      </w:r>
    </w:p>
    <w:p>
      <w:pPr>
        <w:spacing w:before="80" w:after="80" w:line="360" w:lineRule="auto"/>
      </w:pPr>
      <w:r>
        <w:rPr>
          <w:color w:val="B4B4B4"/>
          <w:sz w:val="20"/>
        </w:rPr>
        <w:t>------------------------------------------------------------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DIAGRAM 2 — fig_3_4_sentiment_pipeline.png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FinBERT Sentiment Pipeline (Chapter 3.5)</w:t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flowchart TD</w:t>
        <w:br/>
        <w:t xml:space="preserve">    subgraph SRC["News Sources"]</w:t>
        <w:br/>
        <w:t xml:space="preserve">        direction LR</w:t>
        <w:br/>
        <w:t xml:space="preserve">        N1["Google News\n(RSS Feed)"]</w:t>
        <w:br/>
        <w:t xml:space="preserve">        N2["Yahoo Finance\nNews API"]</w:t>
        <w:br/>
        <w:t xml:space="preserve">        N3["Indian RSS\nMoneycontrol · ET"]</w:t>
        <w:br/>
        <w:t xml:space="preserve">    end</w:t>
        <w:br/>
        <w:br/>
        <w:t xml:space="preserve">    F["News Fetcher\nThread-safe · 5s Timeout\nDeduplication"]</w:t>
        <w:br/>
        <w:br/>
        <w:t xml:space="preserve">    T["FinBERT Tokenizer\nMax 512 tokens\nWordPiece encoding"]</w:t>
        <w:br/>
        <w:br/>
        <w:t xml:space="preserve">    M["FinBERT Model\n(ProsusAI/finbert)\nLocally Cached"]</w:t>
        <w:br/>
        <w:br/>
        <w:t xml:space="preserve">    S["Score Extraction\nP(positive) minus P(negative)\nRange: −1 to +1"]</w:t>
        <w:br/>
        <w:br/>
        <w:t xml:space="preserve">    A["Daily Aggregation\nWeighted Average per Stock\n44 stocks x 1 score/day"]</w:t>
        <w:br/>
        <w:br/>
        <w:t xml:space="preserve">    subgraph OUT["Output"]</w:t>
        <w:br/>
        <w:t xml:space="preserve">        direction LR</w:t>
        <w:br/>
        <w:t xml:space="preserve">        C["SQLite Cache\nTTL: 3 minutes"]</w:t>
        <w:br/>
        <w:t xml:space="preserve">        R["RL Observation Space\nSentiment Feature Vector"]</w:t>
        <w:br/>
        <w:t xml:space="preserve">        D["Dashboard\nMarket Mood · Live Feed\nPortfolio Impact"]</w:t>
        <w:br/>
        <w:t xml:space="preserve">    end</w:t>
        <w:br/>
        <w:br/>
        <w:t xml:space="preserve">    N1 &amp; N2 &amp; N3 --&gt; F</w:t>
        <w:br/>
        <w:t xml:space="preserve">    F --&gt; T</w:t>
        <w:br/>
        <w:t xml:space="preserve">    T --&gt; M</w:t>
        <w:br/>
        <w:t xml:space="preserve">    M --&gt; S</w:t>
        <w:br/>
        <w:t xml:space="preserve">    S --&gt; A</w:t>
        <w:br/>
        <w:t xml:space="preserve">    A --&gt; C</w:t>
        <w:br/>
        <w:t xml:space="preserve">    A --&gt; R</w:t>
        <w:br/>
        <w:t xml:space="preserve">    A --&gt; D</w:t>
        <w:br/>
        <w:br/>
        <w:t xml:space="preserve">    style SRC fill:#dbeafe,stroke:#3b82f6</w:t>
        <w:br/>
        <w:t xml:space="preserve">    style OUT fill:#dcfce7,stroke:#22c55e</w:t>
        <w:br/>
        <w:t xml:space="preserve">    style M fill:#fef9c3,stroke:#eab308,stroke-width:2px</w:t>
        <w:br/>
        <w:t xml:space="preserve">    style F fill:#ede9fe,stroke:#8b5cf6</w:t>
      </w:r>
    </w:p>
    <w:p>
      <w:pPr>
        <w:spacing w:before="80" w:after="80" w:line="360" w:lineRule="auto"/>
      </w:pPr>
      <w:r>
        <w:rPr>
          <w:color w:val="B4B4B4"/>
          <w:sz w:val="20"/>
        </w:rPr>
        <w:t>------------------------------------------------------------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DIAGRAM 3 — fig_3_6_tgat.png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T-GAT Architecture (Chapter 3.7)</w:t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flowchart TD</w:t>
        <w:br/>
        <w:t xml:space="preserve">    NF["Node Features\n21 Technical Indicators\n+ Sentiment Score\nper stock per day"]</w:t>
        <w:br/>
        <w:br/>
        <w:t xml:space="preserve">    subgraph RGAT["RelationalGATLayer — 3 Parallel Attention Heads"]</w:t>
        <w:br/>
        <w:t xml:space="preserve">        direction LR</w:t>
        <w:br/>
        <w:t xml:space="preserve">        G1["Sector\nAttention\nW_sector"]</w:t>
        <w:br/>
        <w:t xml:space="preserve">        G2["Supply Chain\nAttention\nW_supply"]</w:t>
        <w:br/>
        <w:t xml:space="preserve">        G3["Correlation\nAttention\nW_corr"]</w:t>
        <w:br/>
        <w:t xml:space="preserve">    end</w:t>
        <w:br/>
        <w:br/>
        <w:t xml:space="preserve">    MH["Multi-Head Attention\n8 heads per edge type\nLeakyReLU activation"]</w:t>
        <w:br/>
        <w:br/>
        <w:t xml:space="preserve">    CAT["Concatenate\nAll edge-type outputs\nfused representation"]</w:t>
        <w:br/>
        <w:br/>
        <w:t xml:space="preserve">    GRU["GRU Temporal Encoder\n2-layer GRU\nHidden size: 128\nCaptures sequential dynamics"]</w:t>
        <w:br/>
        <w:br/>
        <w:t xml:space="preserve">    EMB["32-dim Stock Embedding\nOne vector per stock\nper time step"]</w:t>
        <w:br/>
        <w:br/>
        <w:t xml:space="preserve">    subgraph USE["Used By"]</w:t>
        <w:br/>
        <w:t xml:space="preserve">        direction LR</w:t>
        <w:br/>
        <w:t xml:space="preserve">        RL["RL Observation\nSpace"]</w:t>
        <w:br/>
        <w:t xml:space="preserve">        VIZ["Graph\nVisualization\nDashboard"]</w:t>
        <w:br/>
        <w:t xml:space="preserve">    end</w:t>
        <w:br/>
        <w:br/>
        <w:t xml:space="preserve">    NF --&gt; RGAT</w:t>
        <w:br/>
        <w:t xml:space="preserve">    G1 &amp; G2 &amp; G3 --&gt; MH</w:t>
        <w:br/>
        <w:t xml:space="preserve">    MH --&gt; CAT</w:t>
        <w:br/>
        <w:t xml:space="preserve">    CAT --&gt; GRU</w:t>
        <w:br/>
        <w:t xml:space="preserve">    GRU --&gt; EMB</w:t>
        <w:br/>
        <w:t xml:space="preserve">    EMB --&gt; RL</w:t>
        <w:br/>
        <w:t xml:space="preserve">    EMB --&gt; VIZ</w:t>
        <w:br/>
        <w:br/>
        <w:t xml:space="preserve">    style RGAT fill:#ede9fe,stroke:#8b5cf6</w:t>
        <w:br/>
        <w:t xml:space="preserve">    style GRU fill:#fef9c3,stroke:#eab308,stroke-width:2px</w:t>
        <w:br/>
        <w:t xml:space="preserve">    style EMB fill:#dcfce7,stroke:#22c55e,stroke-width:2px</w:t>
        <w:br/>
        <w:t xml:space="preserve">    style USE fill:#dbeafe,stroke:#3b82f6</w:t>
      </w:r>
    </w:p>
    <w:p>
      <w:pPr>
        <w:spacing w:before="80" w:after="80" w:line="360" w:lineRule="auto"/>
      </w:pPr>
      <w:r>
        <w:rPr>
          <w:color w:val="B4B4B4"/>
          <w:sz w:val="20"/>
        </w:rPr>
        <w:t>------------------------------------------------------------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DIAGRAM 4 — fig_3_7_rl_env.png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RL Environment Cycle (Chapter 3.8)</w:t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flowchart LR</w:t>
        <w:br/>
        <w:t xml:space="preserve">    subgraph STATE["Observation Space"]</w:t>
        <w:br/>
        <w:t xml:space="preserve">        S1["21 Technical\nIndicators\n44 stocks"]</w:t>
        <w:br/>
        <w:t xml:space="preserve">        S2["Current Portfolio\nWeights\n44 values"]</w:t>
        <w:br/>
        <w:t xml:space="preserve">        S3["T-GAT\nEmbeddings\n44 x 32-dim"]</w:t>
        <w:br/>
        <w:t xml:space="preserve">        S4["Sentiment\nScores\n44 values"]</w:t>
        <w:br/>
        <w:t xml:space="preserve">    end</w:t>
        <w:br/>
        <w:br/>
        <w:t xml:space="preserve">    AGT["RL Agent\n(PPO / SAC / TD3\nA2C / DDPG)"]</w:t>
        <w:br/>
        <w:br/>
        <w:t xml:space="preserve">    subgraph ACT["Action Space"]</w:t>
        <w:br/>
        <w:t xml:space="preserve">        A1["Raw Weight\nVector\n44 dimensions"]</w:t>
        <w:br/>
        <w:t xml:space="preserve">        A2["Softmax\nNormalization\nSum = 1.0"]</w:t>
        <w:br/>
        <w:t xml:space="preserve">    end</w:t>
        <w:br/>
        <w:br/>
        <w:t xml:space="preserve">    subgraph ENV["Portfolio Environment"]</w:t>
        <w:br/>
        <w:t xml:space="preserve">        E1["Apply\nWeights"]</w:t>
        <w:br/>
        <w:t xml:space="preserve">        E2["Compute\nReturns"]</w:t>
        <w:br/>
        <w:t xml:space="preserve">        E3["Reward\nSharpe minus Penalties"]</w:t>
        <w:br/>
        <w:t xml:space="preserve">    end</w:t>
        <w:br/>
        <w:br/>
        <w:t xml:space="preserve">    subgraph CON["Constraints Enforced"]</w:t>
        <w:br/>
        <w:t xml:space="preserve">        C1["Max 12%\nper stock"]</w:t>
        <w:br/>
        <w:t xml:space="preserve">        C2["Stop-loss\n-3%"]</w:t>
        <w:br/>
        <w:t xml:space="preserve">        C3["Max Drawdown\n-12%"]</w:t>
        <w:br/>
        <w:t xml:space="preserve">    end</w:t>
        <w:br/>
        <w:br/>
        <w:t xml:space="preserve">    STATE --&gt; AGT</w:t>
        <w:br/>
        <w:t xml:space="preserve">    AGT --&gt; A1 --&gt; A2</w:t>
        <w:br/>
        <w:t xml:space="preserve">    A2 --&gt; E1</w:t>
        <w:br/>
        <w:t xml:space="preserve">    E1 --&gt; E2</w:t>
        <w:br/>
        <w:t xml:space="preserve">    E2 --&gt; E3</w:t>
        <w:br/>
        <w:t xml:space="preserve">    E3 --&gt;|"New State + Reward"| AGT</w:t>
        <w:br/>
        <w:t xml:space="preserve">    CON -.-&gt;|"Hard constraints"| E1</w:t>
        <w:br/>
        <w:br/>
        <w:t xml:space="preserve">    style STATE fill:#dbeafe,stroke:#3b82f6</w:t>
        <w:br/>
        <w:t xml:space="preserve">    style AGT fill:#fef9c3,stroke:#eab308,stroke-width:2px</w:t>
        <w:br/>
        <w:t xml:space="preserve">    style ACT fill:#ede9fe,stroke:#8b5cf6</w:t>
        <w:br/>
        <w:t xml:space="preserve">    style ENV fill:#dcfce7,stroke:#22c55e</w:t>
        <w:br/>
        <w:t xml:space="preserve">    style CON fill:#fee2e2,stroke:#ef4444</w:t>
      </w:r>
    </w:p>
    <w:p>
      <w:pPr>
        <w:spacing w:before="80" w:after="80" w:line="360" w:lineRule="auto"/>
      </w:pPr>
      <w:r>
        <w:rPr>
          <w:color w:val="B4B4B4"/>
          <w:sz w:val="20"/>
        </w:rPr>
        <w:t>------------------------------------------------------------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DIAGRAM 5 — fig_3_8_fl.png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Federated Learning System (Chapter 3.11)</w:t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flowchart TB</w:t>
        <w:br/>
        <w:t xml:space="preserve">    subgraph SERVER["FedProx Aggregation Server"]</w:t>
        <w:br/>
        <w:t xml:space="preserve">        SRV["Global Model\nFedProx Aggregation\nProximal Term mu = 0.01\n50 Communication Rounds"]</w:t>
        <w:br/>
        <w:t xml:space="preserve">    end</w:t>
        <w:br/>
        <w:br/>
        <w:t xml:space="preserve">    subgraph C1["Client 1"]</w:t>
        <w:br/>
        <w:t xml:space="preserve">        CL1["Banking and Finance\n10 Stocks\nHDFCBANK · ICICIBANK\nKOTAKBANK · SBIN · AXISBANK"]</w:t>
        <w:br/>
        <w:t xml:space="preserve">    end</w:t>
        <w:br/>
        <w:br/>
        <w:t xml:space="preserve">    subgraph C2["Client 2"]</w:t>
        <w:br/>
        <w:t xml:space="preserve">        CL2["IT and Telecom\n6 Stocks\nTCS · INFOSYS · WIPRO\nHCLTECH · TECHM · BHARTIARTL"]</w:t>
        <w:br/>
        <w:t xml:space="preserve">    end</w:t>
        <w:br/>
        <w:br/>
        <w:t xml:space="preserve">    subgraph C3["Client 3"]</w:t>
        <w:br/>
        <w:t xml:space="preserve">        CL3["Pharma and FMCG\n8 Stocks\nSUNPHARMA · DRREDDY\nHINDUNILVR · ITC · NESTLEIND"]</w:t>
        <w:br/>
        <w:t xml:space="preserve">    end</w:t>
        <w:br/>
        <w:br/>
        <w:t xml:space="preserve">    subgraph C4["Client 4"]</w:t>
        <w:br/>
        <w:t xml:space="preserve">        CL4["Energy · Auto · Metals\n28 Stocks\nRELIANCE · ONGC · MARUTI\nTATASTEEL · HINDALCO"]</w:t>
        <w:br/>
        <w:t xml:space="preserve">    end</w:t>
        <w:br/>
        <w:br/>
        <w:t xml:space="preserve">    DP["DP-SGD Noise\nGaussian Noise\nClip Norm = 1.0\nPrivacy epsilon = 8.0"]</w:t>
        <w:br/>
        <w:br/>
        <w:t xml:space="preserve">    SRV --&gt;|"Broadcast Global Weights"| CL1 &amp; CL2 &amp; CL3 &amp; CL4</w:t>
        <w:br/>
        <w:t xml:space="preserve">    CL1 &amp; CL2 &amp; CL3 &amp; CL4 --&gt;|"Local Training 5 epochs"| DP</w:t>
        <w:br/>
        <w:t xml:space="preserve">    DP --&gt;|"Noisy Gradient Updates"| SRV</w:t>
        <w:br/>
        <w:br/>
        <w:t xml:space="preserve">    style SERVER fill:#fef9c3,stroke:#eab308,stroke-width:2px</w:t>
        <w:br/>
        <w:t xml:space="preserve">    style C1 fill:#dbeafe,stroke:#3b82f6</w:t>
        <w:br/>
        <w:t xml:space="preserve">    style C2 fill:#dcfce7,stroke:#22c55e</w:t>
        <w:br/>
        <w:t xml:space="preserve">    style C3 fill:#fce7f3,stroke:#ec4899</w:t>
        <w:br/>
        <w:t xml:space="preserve">    style C4 fill:#ffedd5,stroke:#f97316</w:t>
        <w:br/>
        <w:t xml:space="preserve">    style DP fill:#fee2e2,stroke:#ef4444,stroke-width:2px</w:t>
      </w:r>
    </w:p>
    <w:p>
      <w:pPr>
        <w:spacing w:before="80" w:after="80" w:line="360" w:lineRule="auto"/>
      </w:pPr>
      <w:r>
        <w:rPr>
          <w:color w:val="B4B4B4"/>
          <w:sz w:val="20"/>
        </w:rPr>
        <w:t>------------------------------------------------------------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File Names to Save As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Diagram 1: fqn1/disst/imgs/fig_3_1_architecture.png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Diagram 2: fqn1/disst/imgs/fig_3_4_sentiment_pipeline.png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Diagram 3: fqn1/disst/imgs/fig_3_6_tgat.png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Diagram 4: fqn1/disst/imgs/fig_3_7_rl_env.png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Diagram 5: fqn1/disst/imgs/fig_3_8_fl.png</w:t>
      </w:r>
    </w:p>
    <w:sectPr w:rsidR="00FC693F" w:rsidRPr="0006063C" w:rsidSect="00034616">
      <w:pgSz w:w="11906" w:h="16838"/>
      <w:pgMar w:top="1440" w:right="1440" w:bottom="1440" w:left="21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