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ferences"/>
    <w:p>
      <w:pPr>
        <w:pStyle w:val="Heading1"/>
      </w:pPr>
      <w:r>
        <w:t xml:space="preserve">References</w:t>
      </w:r>
    </w:p>
    <w:p>
      <w:pPr>
        <w:pStyle w:val="BlockText"/>
      </w:pPr>
      <w:r>
        <w:t xml:space="preserve">Format: Superscript numbers in text | Full citations listed in order of first appearance</w:t>
      </w:r>
      <w:r>
        <w:t xml:space="preserve"> </w:t>
      </w:r>
      <w:r>
        <w:t xml:space="preserve">All papers below are real and verifiable on Google Scholar / IEEE / ACM / arXiv</w:t>
      </w:r>
    </w:p>
    <w:p>
      <w:r>
        <w:pict>
          <v:rect style="width:0;height:1.5pt" o:hralign="center" o:hrstd="t" o:hr="t"/>
        </w:pict>
      </w:r>
    </w:p>
    <w:bookmarkStart w:id="9" w:name="rru-citation-format"/>
    <w:p>
      <w:pPr>
        <w:pStyle w:val="Heading2"/>
      </w:pPr>
      <w:r>
        <w:t xml:space="preserve">RRU Citation Format</w:t>
      </w:r>
    </w:p>
    <w:p>
      <w:pPr>
        <w:pStyle w:val="FirstParagraph"/>
      </w:pPr>
      <w:r>
        <w:rPr>
          <w:b/>
          <w:bCs/>
        </w:rPr>
        <w:t xml:space="preserve">Journal:</w:t>
      </w:r>
      <w:r>
        <w:t xml:space="preserve"> </w:t>
      </w:r>
      <w:r>
        <w:t xml:space="preserve">Author Initials Lastname,</w:t>
      </w:r>
      <w:r>
        <w:t xml:space="preserve"> </w:t>
      </w:r>
      <w:r>
        <w:t xml:space="preserve">“Title,”</w:t>
      </w:r>
      <w:r>
        <w:t xml:space="preserve"> </w:t>
      </w:r>
      <w:r>
        <w:t xml:space="preserve">Journal Name, Year, Vol(Issue), Pages.</w:t>
      </w:r>
      <w:r>
        <w:t xml:space="preserve"> </w:t>
      </w:r>
      <w:r>
        <w:rPr>
          <w:b/>
          <w:bCs/>
        </w:rPr>
        <w:t xml:space="preserve">Conference:</w:t>
      </w:r>
      <w:r>
        <w:t xml:space="preserve"> </w:t>
      </w:r>
      <w:r>
        <w:t xml:space="preserve">Author Initials Lastname,</w:t>
      </w:r>
      <w:r>
        <w:t xml:space="preserve"> </w:t>
      </w:r>
      <w:r>
        <w:t xml:space="preserve">“Title,”</w:t>
      </w:r>
      <w:r>
        <w:t xml:space="preserve"> </w:t>
      </w:r>
      <w:r>
        <w:t xml:space="preserve">Conference Abbreviation, Location, Year, Pages.</w:t>
      </w:r>
      <w:r>
        <w:t xml:space="preserve"> </w:t>
      </w:r>
      <w:r>
        <w:rPr>
          <w:b/>
          <w:bCs/>
        </w:rPr>
        <w:t xml:space="preserve">Book:</w:t>
      </w:r>
      <w:r>
        <w:t xml:space="preserve"> </w:t>
      </w:r>
      <w:r>
        <w:t xml:space="preserve">Author Initials Lastname. Title; Edition; Publisher, City, Year.</w:t>
      </w:r>
      <w:r>
        <w:t xml:space="preserve"> </w:t>
      </w:r>
      <w:r>
        <w:rPr>
          <w:b/>
          <w:bCs/>
        </w:rPr>
        <w:t xml:space="preserve">arXiv:</w:t>
      </w:r>
      <w:r>
        <w:t xml:space="preserve"> </w:t>
      </w:r>
      <w:r>
        <w:t xml:space="preserve">Author Initials Lastname,</w:t>
      </w:r>
      <w:r>
        <w:t xml:space="preserve"> </w:t>
      </w:r>
      <w:r>
        <w:t xml:space="preserve">“Title,”</w:t>
      </w:r>
      <w:r>
        <w:t xml:space="preserve"> </w:t>
      </w:r>
      <w:r>
        <w:t xml:space="preserve">arXiv:XXXXXX, Month Year.</w:t>
      </w:r>
      <w:r>
        <w:t xml:space="preserve"> </w:t>
      </w:r>
      <w:r>
        <w:rPr>
          <w:b/>
          <w:bCs/>
        </w:rPr>
        <w:t xml:space="preserve">Website/Software:</w:t>
      </w:r>
      <w:r>
        <w:t xml:space="preserve"> </w:t>
      </w:r>
      <w:r>
        <w:t xml:space="preserve">Author/Org,</w:t>
      </w:r>
      <w:r>
        <w:t xml:space="preserve"> </w:t>
      </w:r>
      <w:r>
        <w:t xml:space="preserve">“Title,”</w:t>
      </w:r>
      <w:r>
        <w:t xml:space="preserve"> </w:t>
      </w:r>
      <w:r>
        <w:t xml:space="preserve">Platform, Year, URL.</w:t>
      </w:r>
    </w:p>
    <w:p>
      <w:r>
        <w:pict>
          <v:rect style="width:0;height:1.5pt" o:hralign="center" o:hrstd="t" o:hr="t"/>
        </w:pict>
      </w:r>
    </w:p>
    <w:bookmarkEnd w:id="9"/>
    <w:bookmarkStart w:id="20" w:name="complete-reference-list"/>
    <w:p>
      <w:pPr>
        <w:pStyle w:val="Heading2"/>
      </w:pPr>
      <w:r>
        <w:t xml:space="preserve">Complete Reference List</w:t>
      </w:r>
    </w:p>
    <w:p>
      <w:pPr>
        <w:pStyle w:val="FirstParagraph"/>
      </w:pPr>
      <w:r>
        <w:rPr>
          <w:i/>
          <w:iCs/>
        </w:rPr>
        <w:t xml:space="preserve">(Numbered in order of first appearance in dissertation text)</w:t>
      </w:r>
    </w:p>
    <w:p>
      <w:r>
        <w:pict>
          <v:rect style="width:0;height:1.5pt" o:hralign="center" o:hrstd="t" o:hr="t"/>
        </w:pict>
      </w:r>
    </w:p>
    <w:bookmarkStart w:id="10" w:name="chapter-1-introduction"/>
    <w:p>
      <w:pPr>
        <w:pStyle w:val="Heading3"/>
      </w:pPr>
      <w:r>
        <w:t xml:space="preserve">Chapter 1 — Introduction</w:t>
      </w:r>
    </w:p>
    <w:p>
      <w:pPr>
        <w:pStyle w:val="FirstParagraph"/>
      </w:pPr>
      <w:r>
        <w:t xml:space="preserve">[1] H. Markowitz,</w:t>
      </w:r>
      <w:r>
        <w:t xml:space="preserve"> </w:t>
      </w:r>
      <w:r>
        <w:t xml:space="preserve">“Portfolio Selection,”</w:t>
      </w:r>
      <w:r>
        <w:t xml:space="preserve"> </w:t>
      </w:r>
      <w:r>
        <w:t xml:space="preserve">Journal of Finance, 1952, 7(1), 77–91.</w:t>
      </w:r>
      <w:r>
        <w:t xml:space="preserve"> </w:t>
      </w:r>
      <w:r>
        <w:t xml:space="preserve">[Google Scholar: search</w:t>
      </w:r>
      <w:r>
        <w:t xml:space="preserve"> </w:t>
      </w:r>
      <w:r>
        <w:t xml:space="preserve">“Markowitz 1952 Portfolio Selection”</w:t>
      </w:r>
      <w:r>
        <w:t xml:space="preserve"> </w:t>
      </w:r>
      <w:r>
        <w:t xml:space="preserve">— JSTOR verified]</w:t>
      </w:r>
    </w:p>
    <w:p>
      <w:pPr>
        <w:pStyle w:val="BodyText"/>
      </w:pPr>
      <w:r>
        <w:t xml:space="preserve">[2] National Stock Exchange of India,</w:t>
      </w:r>
      <w:r>
        <w:t xml:space="preserve"> </w:t>
      </w:r>
      <w:r>
        <w:t xml:space="preserve">“NIFTY 50 Index — Methodology Document,”</w:t>
      </w:r>
      <w:r>
        <w:t xml:space="preserve"> </w:t>
      </w:r>
      <w:r>
        <w:t xml:space="preserve">NSE India, 2024.</w:t>
      </w:r>
      <w:r>
        <w:t xml:space="preserve"> </w:t>
      </w:r>
      <w:r>
        <w:t xml:space="preserve">URL: https://www.nseindia.com/products-services/indices-nifty50-index</w:t>
      </w:r>
    </w:p>
    <w:p>
      <w:pPr>
        <w:pStyle w:val="BodyText"/>
      </w:pPr>
      <w:r>
        <w:t xml:space="preserve">[3] Securities and Exchange Board of India,</w:t>
      </w:r>
      <w:r>
        <w:t xml:space="preserve"> </w:t>
      </w:r>
      <w:r>
        <w:t xml:space="preserve">“Annual Report 2023–24,”</w:t>
      </w:r>
      <w:r>
        <w:t xml:space="preserve"> </w:t>
      </w:r>
      <w:r>
        <w:t xml:space="preserve">SEBI, 2024.</w:t>
      </w:r>
      <w:r>
        <w:t xml:space="preserve"> </w:t>
      </w:r>
      <w:r>
        <w:t xml:space="preserve">URL: https://www.sebi.gov.in/reports-and-statistics/annual-reports</w:t>
      </w:r>
      <w:r>
        <w:t xml:space="preserve"> </w:t>
      </w:r>
      <w:r>
        <w:t xml:space="preserve">[Use for retail investor demat account growth statistics]</w:t>
      </w:r>
    </w:p>
    <w:p>
      <w:pPr>
        <w:pStyle w:val="BodyText"/>
      </w:pPr>
      <w:r>
        <w:t xml:space="preserve">[4] L. Cao,</w:t>
      </w:r>
      <w:r>
        <w:t xml:space="preserve"> </w:t>
      </w:r>
      <w:r>
        <w:t xml:space="preserve">“AI in Finance: Challenges, Techniques, and Opportunities,”</w:t>
      </w:r>
      <w:r>
        <w:t xml:space="preserve"> </w:t>
      </w:r>
      <w:r>
        <w:t xml:space="preserve">ACM Computing Surveys,</w:t>
      </w:r>
      <w:r>
        <w:t xml:space="preserve"> </w:t>
      </w:r>
      <w:r>
        <w:t xml:space="preserve">2022, 55(3), Article 64, 38 pages.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“Cao AI in Finance ACM Computing Surveys 2022”</w:t>
      </w:r>
      <w:r>
        <w:t xml:space="preserve"> </w:t>
      </w:r>
      <w:r>
        <w:t xml:space="preserve">— widely cited survey]</w:t>
      </w:r>
    </w:p>
    <w:p>
      <w:r>
        <w:pict>
          <v:rect style="width:0;height:1.5pt" o:hralign="center" o:hrstd="t" o:hr="t"/>
        </w:pict>
      </w:r>
    </w:p>
    <w:bookmarkEnd w:id="10"/>
    <w:bookmarkStart w:id="17" w:name="chapter-2-literature-review"/>
    <w:p>
      <w:pPr>
        <w:pStyle w:val="Heading3"/>
      </w:pPr>
      <w:r>
        <w:t xml:space="preserve">Chapter 2 — Literature Review</w:t>
      </w:r>
    </w:p>
    <w:bookmarkStart w:id="11" w:name="classical-portfolio-optimization"/>
    <w:p>
      <w:pPr>
        <w:pStyle w:val="Heading4"/>
      </w:pPr>
      <w:r>
        <w:t xml:space="preserve">2.1 Classical Portfolio Optimization</w:t>
      </w:r>
    </w:p>
    <w:p>
      <w:pPr>
        <w:pStyle w:val="FirstParagraph"/>
      </w:pPr>
      <w:r>
        <w:t xml:space="preserve">[5] W.F. Sharpe,</w:t>
      </w:r>
      <w:r>
        <w:t xml:space="preserve"> </w:t>
      </w:r>
      <w:r>
        <w:t xml:space="preserve">“Capital Asset Prices: A Theory of Market Equilibrium under Conditions of Risk,”</w:t>
      </w:r>
      <w:r>
        <w:t xml:space="preserve"> </w:t>
      </w:r>
      <w:r>
        <w:t xml:space="preserve">Journal of Finance, 1964, 19(3), 425–442.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“Sharpe 1964 Capital Asset Prices”</w:t>
      </w:r>
      <w:r>
        <w:t xml:space="preserve"> </w:t>
      </w:r>
      <w:r>
        <w:t xml:space="preserve">— JSTOR verified]</w:t>
      </w:r>
    </w:p>
    <w:p>
      <w:pPr>
        <w:pStyle w:val="BodyText"/>
      </w:pPr>
      <w:r>
        <w:t xml:space="preserve">[6] F. Black and R. Litterman,</w:t>
      </w:r>
      <w:r>
        <w:t xml:space="preserve"> </w:t>
      </w:r>
      <w:r>
        <w:t xml:space="preserve">“Global Portfolio Optimization,”</w:t>
      </w:r>
      <w:r>
        <w:t xml:space="preserve"> </w:t>
      </w:r>
      <w:r>
        <w:t xml:space="preserve">Financial Analysts Journal,</w:t>
      </w:r>
      <w:r>
        <w:t xml:space="preserve"> </w:t>
      </w:r>
      <w:r>
        <w:t xml:space="preserve">1992, 48(5), 28–43.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“Black Litterman 1992 Global Portfolio Optimization”</w:t>
      </w:r>
      <w:r>
        <w:t xml:space="preserve"> </w:t>
      </w:r>
      <w:r>
        <w:t xml:space="preserve">— CFA Institute]</w:t>
      </w:r>
    </w:p>
    <w:p>
      <w:pPr>
        <w:pStyle w:val="BodyText"/>
      </w:pPr>
      <w:r>
        <w:t xml:space="preserve">[7] R.T. Rockafellar and S. Uryasev,</w:t>
      </w:r>
      <w:r>
        <w:t xml:space="preserve"> </w:t>
      </w:r>
      <w:r>
        <w:t xml:space="preserve">“Conditional Value-at-Risk for General Loss Distributions,”</w:t>
      </w:r>
      <w:r>
        <w:t xml:space="preserve"> </w:t>
      </w:r>
      <w:r>
        <w:t xml:space="preserve">Journal of Banking and Finance, 2002, 26(7), 1443–1471.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“Rockafellar Uryasev CVaR 2002”</w:t>
      </w:r>
      <w:r>
        <w:t xml:space="preserve"> </w:t>
      </w:r>
      <w:r>
        <w:t xml:space="preserve">— widely cited risk paper]</w:t>
      </w:r>
    </w:p>
    <w:p>
      <w:pPr>
        <w:pStyle w:val="BodyText"/>
      </w:pPr>
      <w:r>
        <w:t xml:space="preserve">[8] P. Glasserman. Monte Carlo Methods in Financial Engineering; Springer-Verlag, New York, 2004.</w:t>
      </w:r>
      <w:r>
        <w:t xml:space="preserve"> </w:t>
      </w:r>
      <w:r>
        <w:t xml:space="preserve">[ISBN: 978-0-387-00451-8 — available in most university libraries]</w:t>
      </w:r>
    </w:p>
    <w:bookmarkEnd w:id="11"/>
    <w:bookmarkStart w:id="12" w:name="deep-reinforcement-learning-in-finance"/>
    <w:p>
      <w:pPr>
        <w:pStyle w:val="Heading4"/>
      </w:pPr>
      <w:r>
        <w:t xml:space="preserve">2.2 Deep Reinforcement Learning in Finance</w:t>
      </w:r>
    </w:p>
    <w:p>
      <w:pPr>
        <w:pStyle w:val="FirstParagraph"/>
      </w:pPr>
      <w:r>
        <w:t xml:space="preserve">[9] R.S. Sutton and A.G. Barto. Reinforcement Learning: An Introduction; 2nd Edn;</w:t>
      </w:r>
      <w:r>
        <w:t xml:space="preserve"> </w:t>
      </w:r>
      <w:r>
        <w:t xml:space="preserve">MIT Press, Cambridge MA, 2018.</w:t>
      </w:r>
      <w:r>
        <w:t xml:space="preserve"> </w:t>
      </w:r>
      <w:r>
        <w:t xml:space="preserve">[Standard textbook — free PDF at http://incompleteideas.net/book/the-book.html]</w:t>
      </w:r>
    </w:p>
    <w:p>
      <w:pPr>
        <w:pStyle w:val="BodyText"/>
      </w:pPr>
      <w:r>
        <w:t xml:space="preserve">[10] V. Mnih, K. Kavukcuoglu, D. Silver et al.,</w:t>
      </w:r>
      <w:r>
        <w:t xml:space="preserve"> </w:t>
      </w:r>
      <w:r>
        <w:t xml:space="preserve">“Human-level control through deep reinforcement</w:t>
      </w:r>
      <w:r>
        <w:t xml:space="preserve"> </w:t>
      </w:r>
      <w:r>
        <w:t xml:space="preserve">learning,”</w:t>
      </w:r>
      <w:r>
        <w:t xml:space="preserve"> </w:t>
      </w:r>
      <w:r>
        <w:t xml:space="preserve">Nature, 2015, 518, 529–533.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“Mnih 2015 Human-level control deep reinforcement learning Nature”</w:t>
      </w:r>
      <w:r>
        <w:t xml:space="preserve">]</w:t>
      </w:r>
    </w:p>
    <w:p>
      <w:pPr>
        <w:pStyle w:val="BodyText"/>
      </w:pPr>
      <w:r>
        <w:t xml:space="preserve">[11] D. Silver, G. Lever, N. Heess, T. Degris, D. Wierstra and M. Riedmiller,</w:t>
      </w:r>
      <w:r>
        <w:t xml:space="preserve"> </w:t>
      </w:r>
      <w:r>
        <w:t xml:space="preserve">“Deterministic</w:t>
      </w:r>
      <w:r>
        <w:t xml:space="preserve"> </w:t>
      </w:r>
      <w:r>
        <w:t xml:space="preserve">Policy Gradient Algorithms,”</w:t>
      </w:r>
      <w:r>
        <w:t xml:space="preserve"> </w:t>
      </w:r>
      <w:r>
        <w:t xml:space="preserve">Proceedings of ICML, Beijing, PMLR, 2014, pp. 387–395.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“Silver 2014 Deterministic Policy Gradient”</w:t>
      </w:r>
      <w:r>
        <w:t xml:space="preserve"> </w:t>
      </w:r>
      <w:r>
        <w:t xml:space="preserve">— ICML proceedings]</w:t>
      </w:r>
    </w:p>
    <w:p>
      <w:pPr>
        <w:pStyle w:val="BodyText"/>
      </w:pPr>
      <w:r>
        <w:t xml:space="preserve">[12] T.P. Lillicrap, J.J. Hunt, A. Pritzel et al.,</w:t>
      </w:r>
      <w:r>
        <w:t xml:space="preserve"> </w:t>
      </w:r>
      <w:r>
        <w:t xml:space="preserve">“Continuous control with deep reinforcement</w:t>
      </w:r>
      <w:r>
        <w:t xml:space="preserve"> </w:t>
      </w:r>
      <w:r>
        <w:t xml:space="preserve">learning,”</w:t>
      </w:r>
      <w:r>
        <w:t xml:space="preserve"> </w:t>
      </w:r>
      <w:r>
        <w:t xml:space="preserve">Proceedings of ICLR, San Juan, 2016.</w:t>
      </w:r>
      <w:r>
        <w:t xml:space="preserve"> </w:t>
      </w:r>
      <w:r>
        <w:t xml:space="preserve">[arXiv:1509.02971 — this is the actual DDPG paper]</w:t>
      </w:r>
    </w:p>
    <w:p>
      <w:pPr>
        <w:pStyle w:val="BodyText"/>
      </w:pPr>
      <w:r>
        <w:t xml:space="preserve">[13] J. Schulman, F. Wolski, P. Dhariwal, A. Radford and O. Klimov,</w:t>
      </w:r>
      <w:r>
        <w:t xml:space="preserve"> </w:t>
      </w:r>
      <w:r>
        <w:t xml:space="preserve">“Proximal Policy</w:t>
      </w:r>
      <w:r>
        <w:t xml:space="preserve"> </w:t>
      </w:r>
      <w:r>
        <w:t xml:space="preserve">Optimization Algorithms,”</w:t>
      </w:r>
      <w:r>
        <w:t xml:space="preserve"> </w:t>
      </w:r>
      <w:r>
        <w:t xml:space="preserve">arXiv:1707.06347, July 2017.</w:t>
      </w:r>
      <w:r>
        <w:t xml:space="preserve"> </w:t>
      </w:r>
      <w:r>
        <w:t xml:space="preserve">URL: https://arxiv.org/abs/1707.06347</w:t>
      </w:r>
    </w:p>
    <w:p>
      <w:pPr>
        <w:pStyle w:val="BodyText"/>
      </w:pPr>
      <w:r>
        <w:t xml:space="preserve">[14] T. Haarnoja, A. Zhou, P. Abbeel and S. Levine,</w:t>
      </w:r>
      <w:r>
        <w:t xml:space="preserve"> </w:t>
      </w:r>
      <w:r>
        <w:t xml:space="preserve">“Soft Actor-Critic: Off-Policy Maximum</w:t>
      </w:r>
      <w:r>
        <w:t xml:space="preserve"> </w:t>
      </w:r>
      <w:r>
        <w:t xml:space="preserve">Entropy Deep Reinforcement Learning with a Stochastic Actor,”</w:t>
      </w:r>
      <w:r>
        <w:t xml:space="preserve"> </w:t>
      </w:r>
      <w:r>
        <w:t xml:space="preserve">Proceedings of ICML,</w:t>
      </w:r>
      <w:r>
        <w:t xml:space="preserve"> </w:t>
      </w:r>
      <w:r>
        <w:t xml:space="preserve">Stockholm, PMLR, 2018, pp. 1861–1870.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“Haarnoja 2018 Soft Actor-Critic ICML”</w:t>
      </w:r>
      <w:r>
        <w:t xml:space="preserve">]</w:t>
      </w:r>
    </w:p>
    <w:p>
      <w:pPr>
        <w:pStyle w:val="BodyText"/>
      </w:pPr>
      <w:r>
        <w:t xml:space="preserve">[15] S. Fujimoto, H. van Hoof and D. Meger,</w:t>
      </w:r>
      <w:r>
        <w:t xml:space="preserve"> </w:t>
      </w:r>
      <w:r>
        <w:t xml:space="preserve">“Addressing Function Approximation Error in</w:t>
      </w:r>
      <w:r>
        <w:t xml:space="preserve"> </w:t>
      </w:r>
      <w:r>
        <w:t xml:space="preserve">Actor-Critic Methods,”</w:t>
      </w:r>
      <w:r>
        <w:t xml:space="preserve"> </w:t>
      </w:r>
      <w:r>
        <w:t xml:space="preserve">Proceedings of ICML, Stockholm, PMLR, 2018, pp. 1587–1596.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“Fujimoto 2018 TD3 Addressing Function Approximation ICML”</w:t>
      </w:r>
      <w:r>
        <w:t xml:space="preserve">]</w:t>
      </w:r>
    </w:p>
    <w:p>
      <w:pPr>
        <w:pStyle w:val="BodyText"/>
      </w:pPr>
      <w:r>
        <w:t xml:space="preserve">[16] V. Mnih, A.P. Badia, M. Mirza et al.,</w:t>
      </w:r>
      <w:r>
        <w:t xml:space="preserve"> </w:t>
      </w:r>
      <w:r>
        <w:t xml:space="preserve">“Asynchronous Methods for Deep Reinforcement</w:t>
      </w:r>
      <w:r>
        <w:t xml:space="preserve"> </w:t>
      </w:r>
      <w:r>
        <w:t xml:space="preserve">Learning,”</w:t>
      </w:r>
      <w:r>
        <w:t xml:space="preserve"> </w:t>
      </w:r>
      <w:r>
        <w:t xml:space="preserve">Proceedings of ICML, New York, PMLR, 2016, pp. 1928–1937.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“Mnih 2016 Asynchronous Methods A3C ICML”</w:t>
      </w:r>
      <w:r>
        <w:t xml:space="preserve"> </w:t>
      </w:r>
      <w:r>
        <w:t xml:space="preserve">— A2C derives from this]</w:t>
      </w:r>
    </w:p>
    <w:p>
      <w:pPr>
        <w:pStyle w:val="BodyText"/>
      </w:pPr>
      <w:r>
        <w:t xml:space="preserve">[17] X.-Y. Liu, H. Yang, J. Gao and C.D. Wang,</w:t>
      </w:r>
      <w:r>
        <w:t xml:space="preserve"> </w:t>
      </w:r>
      <w:r>
        <w:t xml:space="preserve">“FinRL: A Deep Reinforcement Learning Library</w:t>
      </w:r>
      <w:r>
        <w:t xml:space="preserve"> </w:t>
      </w:r>
      <w:r>
        <w:t xml:space="preserve">for Automated Stock Trading in Quantitative Finance,”</w:t>
      </w:r>
      <w:r>
        <w:t xml:space="preserve"> </w:t>
      </w:r>
      <w:r>
        <w:t xml:space="preserve">Proceedings of ACM ICAIF, 2021.</w:t>
      </w:r>
      <w:r>
        <w:t xml:space="preserve"> </w:t>
      </w:r>
      <w:r>
        <w:t xml:space="preserve">[arXiv:2011.09607 — Google Scholar:</w:t>
      </w:r>
      <w:r>
        <w:t xml:space="preserve"> </w:t>
      </w:r>
      <w:r>
        <w:t xml:space="preserve">“Liu FinRL 2021”</w:t>
      </w:r>
      <w:r>
        <w:t xml:space="preserve">]</w:t>
      </w:r>
    </w:p>
    <w:p>
      <w:pPr>
        <w:pStyle w:val="BodyText"/>
      </w:pPr>
      <w:r>
        <w:t xml:space="preserve">[18] A. Raffin, A. Hill, A. Gleave, A. Kanervisto, M. Ernestus and N. Dormann,</w:t>
      </w:r>
      <w:r>
        <w:t xml:space="preserve"> </w:t>
      </w:r>
      <w:r>
        <w:t xml:space="preserve">“Stable-Baselines3:</w:t>
      </w:r>
      <w:r>
        <w:t xml:space="preserve"> </w:t>
      </w:r>
      <w:r>
        <w:t xml:space="preserve">Reliable Reinforcement Learning Implementations,”</w:t>
      </w:r>
      <w:r>
        <w:t xml:space="preserve"> </w:t>
      </w:r>
      <w:r>
        <w:t xml:space="preserve">Journal of Machine Learning Research,</w:t>
      </w:r>
      <w:r>
        <w:t xml:space="preserve"> </w:t>
      </w:r>
      <w:r>
        <w:t xml:space="preserve">2021, 22(268), 1–8.</w:t>
      </w:r>
      <w:r>
        <w:t xml:space="preserve"> </w:t>
      </w:r>
      <w:r>
        <w:t xml:space="preserve">URL: https://jmlr.org/papers/v22/20-1364.html</w:t>
      </w:r>
    </w:p>
    <w:bookmarkEnd w:id="12"/>
    <w:bookmarkStart w:id="13" w:name="graph-neural-networks-for-stock-markets"/>
    <w:p>
      <w:pPr>
        <w:pStyle w:val="Heading4"/>
      </w:pPr>
      <w:r>
        <w:t xml:space="preserve">2.3 Graph Neural Networks for Stock Markets</w:t>
      </w:r>
    </w:p>
    <w:p>
      <w:pPr>
        <w:pStyle w:val="FirstParagraph"/>
      </w:pPr>
      <w:r>
        <w:t xml:space="preserve">[19] T.N. Kipf and M. Welling,</w:t>
      </w:r>
      <w:r>
        <w:t xml:space="preserve"> </w:t>
      </w:r>
      <w:r>
        <w:t xml:space="preserve">“Semi-Supervised Classification with Graph Convolutional Networks,”</w:t>
      </w:r>
      <w:r>
        <w:t xml:space="preserve"> </w:t>
      </w:r>
      <w:r>
        <w:t xml:space="preserve">Proceedings of ICLR, Toulon, 2017.</w:t>
      </w:r>
      <w:r>
        <w:t xml:space="preserve"> </w:t>
      </w:r>
      <w:r>
        <w:t xml:space="preserve">[arXiv:1609.02907 — Google Scholar:</w:t>
      </w:r>
      <w:r>
        <w:t xml:space="preserve"> </w:t>
      </w:r>
      <w:r>
        <w:t xml:space="preserve">“Kipf Welling GCN ICLR 2017”</w:t>
      </w:r>
      <w:r>
        <w:t xml:space="preserve">]</w:t>
      </w:r>
    </w:p>
    <w:p>
      <w:pPr>
        <w:pStyle w:val="BodyText"/>
      </w:pPr>
      <w:r>
        <w:t xml:space="preserve">[20] P. Velickovic, G. Cucurull, A. Casanova, A. Romero, P. Lio and Y. Bengio,</w:t>
      </w:r>
      <w:r>
        <w:t xml:space="preserve"> </w:t>
      </w:r>
      <w:r>
        <w:t xml:space="preserve">“Graph Attention</w:t>
      </w:r>
      <w:r>
        <w:t xml:space="preserve"> </w:t>
      </w:r>
      <w:r>
        <w:t xml:space="preserve">Networks,”</w:t>
      </w:r>
      <w:r>
        <w:t xml:space="preserve"> </w:t>
      </w:r>
      <w:r>
        <w:t xml:space="preserve">Proceedings of ICLR, Vancouver, 2018.</w:t>
      </w:r>
      <w:r>
        <w:t xml:space="preserve"> </w:t>
      </w:r>
      <w:r>
        <w:t xml:space="preserve">[arXiv:1710.10903 — Google Scholar:</w:t>
      </w:r>
      <w:r>
        <w:t xml:space="preserve"> </w:t>
      </w:r>
      <w:r>
        <w:t xml:space="preserve">“Velickovic GAT 2018 ICLR”</w:t>
      </w:r>
      <w:r>
        <w:t xml:space="preserve">]</w:t>
      </w:r>
    </w:p>
    <w:p>
      <w:pPr>
        <w:pStyle w:val="BodyText"/>
      </w:pPr>
      <w:r>
        <w:t xml:space="preserve">[21] A. Vaswani, N. Shazeer, N. Parmar et al.,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Advances in Neural</w:t>
      </w:r>
      <w:r>
        <w:t xml:space="preserve"> </w:t>
      </w:r>
      <w:r>
        <w:t xml:space="preserve">Information Processing Systems (NeurIPS), 2017, 30, 5998–6008.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“Vaswani 2017 Attention is all you need NeurIPS”</w:t>
      </w:r>
      <w:r>
        <w:t xml:space="preserve">]</w:t>
      </w:r>
    </w:p>
    <w:p>
      <w:pPr>
        <w:pStyle w:val="BodyText"/>
      </w:pPr>
      <w:r>
        <w:t xml:space="preserve">[22] F. Feng, X. He, J. Tang and T.-S. Chua,</w:t>
      </w:r>
      <w:r>
        <w:t xml:space="preserve"> </w:t>
      </w:r>
      <w:r>
        <w:t xml:space="preserve">“Temporal Relational Ranking for Stock Prediction,”</w:t>
      </w:r>
      <w:r>
        <w:t xml:space="preserve"> </w:t>
      </w:r>
      <w:r>
        <w:t xml:space="preserve">ACM Transactions on Information Systems, 2019, 37(2), Article 27, 30 pages.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“Feng 2019 Temporal Relational Ranking Stock ACM TOIS”</w:t>
      </w:r>
      <w:r>
        <w:t xml:space="preserve">]</w:t>
      </w:r>
    </w:p>
    <w:p>
      <w:pPr>
        <w:pStyle w:val="BodyText"/>
      </w:pPr>
      <w:r>
        <w:t xml:space="preserve">[23] L. Zhao, Y. Song, C. Zhang et al.,</w:t>
      </w:r>
      <w:r>
        <w:t xml:space="preserve"> </w:t>
      </w:r>
      <w:r>
        <w:t xml:space="preserve">“T-GCN: A Temporal Graph Convolutional Network for</w:t>
      </w:r>
      <w:r>
        <w:t xml:space="preserve"> </w:t>
      </w:r>
      <w:r>
        <w:t xml:space="preserve">Traffic Prediction,”</w:t>
      </w:r>
      <w:r>
        <w:t xml:space="preserve"> </w:t>
      </w:r>
      <w:r>
        <w:t xml:space="preserve">IEEE Transactions on Intelligent Transportation Systems, 2020,</w:t>
      </w:r>
      <w:r>
        <w:t xml:space="preserve"> </w:t>
      </w:r>
      <w:r>
        <w:t xml:space="preserve">21(9), 3848–3858.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“Zhao T-GCN Temporal Graph Convolutional 2020 IEEE”</w:t>
      </w:r>
      <w:r>
        <w:t xml:space="preserve"> </w:t>
      </w:r>
      <w:r>
        <w:t xml:space="preserve">— key temporal GNN paper]</w:t>
      </w:r>
    </w:p>
    <w:bookmarkEnd w:id="13"/>
    <w:bookmarkStart w:id="14" w:name="financial-sentiment-analysis"/>
    <w:p>
      <w:pPr>
        <w:pStyle w:val="Heading4"/>
      </w:pPr>
      <w:r>
        <w:t xml:space="preserve">2.4 Financial Sentiment Analysis</w:t>
      </w:r>
    </w:p>
    <w:p>
      <w:pPr>
        <w:pStyle w:val="FirstParagraph"/>
      </w:pPr>
      <w:r>
        <w:t xml:space="preserve">[24] T. Loughran and B. McDonald,</w:t>
      </w:r>
      <w:r>
        <w:t xml:space="preserve"> </w:t>
      </w:r>
      <w:r>
        <w:t xml:space="preserve">“When Is a Liability Not a Liability? Textual Analysis,</w:t>
      </w:r>
      <w:r>
        <w:t xml:space="preserve"> </w:t>
      </w:r>
      <w:r>
        <w:t xml:space="preserve">Dictionaries, and 10-Ks,”</w:t>
      </w:r>
      <w:r>
        <w:t xml:space="preserve"> </w:t>
      </w:r>
      <w:r>
        <w:t xml:space="preserve">Journal of Finance, 2011, 66(1), 35–65.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“Loughran McDonald 2011 Textual Analysis Finance”</w:t>
      </w:r>
      <w:r>
        <w:t xml:space="preserve">]</w:t>
      </w:r>
    </w:p>
    <w:p>
      <w:pPr>
        <w:pStyle w:val="BodyText"/>
      </w:pPr>
      <w:r>
        <w:t xml:space="preserve">[25] J. Devlin, M.-W. Chang, K. Lee and K. Toutanova,</w:t>
      </w:r>
      <w:r>
        <w:t xml:space="preserve"> </w:t>
      </w:r>
      <w:r>
        <w:t xml:space="preserve">“BERT: Pre-training of Deep Bidirectional</w:t>
      </w:r>
      <w:r>
        <w:t xml:space="preserve"> </w:t>
      </w:r>
      <w:r>
        <w:t xml:space="preserve">Transformers for Language Understanding,”</w:t>
      </w:r>
      <w:r>
        <w:t xml:space="preserve"> </w:t>
      </w:r>
      <w:r>
        <w:t xml:space="preserve">Proceedings of NAACL-HLT, Minneapolis, 2019,</w:t>
      </w:r>
      <w:r>
        <w:t xml:space="preserve"> </w:t>
      </w:r>
      <w:r>
        <w:t xml:space="preserve">pp. 4171–4186.</w:t>
      </w:r>
      <w:r>
        <w:t xml:space="preserve"> </w:t>
      </w:r>
      <w:r>
        <w:t xml:space="preserve">[arXiv:1810.04805 — Google Scholar:</w:t>
      </w:r>
      <w:r>
        <w:t xml:space="preserve"> </w:t>
      </w:r>
      <w:r>
        <w:t xml:space="preserve">“Devlin 2019 BERT NAACL”</w:t>
      </w:r>
      <w:r>
        <w:t xml:space="preserve">]</w:t>
      </w:r>
    </w:p>
    <w:p>
      <w:pPr>
        <w:pStyle w:val="BodyText"/>
      </w:pPr>
      <w:r>
        <w:t xml:space="preserve">[26] D. Araci,</w:t>
      </w:r>
      <w:r>
        <w:t xml:space="preserve"> </w:t>
      </w:r>
      <w:r>
        <w:t xml:space="preserve">“FinBERT: Financial Sentiment Analysis with Pre-trained Language Models,”</w:t>
      </w:r>
      <w:r>
        <w:t xml:space="preserve"> </w:t>
      </w:r>
      <w:r>
        <w:t xml:space="preserve">arXiv:1908.10063, August 2019.</w:t>
      </w:r>
      <w:r>
        <w:t xml:space="preserve"> </w:t>
      </w:r>
      <w:r>
        <w:t xml:space="preserve">URL: https://arxiv.org/abs/1908.10063</w:t>
      </w:r>
    </w:p>
    <w:p>
      <w:pPr>
        <w:pStyle w:val="BodyText"/>
      </w:pPr>
      <w:r>
        <w:t xml:space="preserve">[27] J. Bollen, H. Mao and X. Zeng,</w:t>
      </w:r>
      <w:r>
        <w:t xml:space="preserve"> </w:t>
      </w:r>
      <w:r>
        <w:t xml:space="preserve">“Twitter mood predicts the stock market,”</w:t>
      </w:r>
      <w:r>
        <w:t xml:space="preserve"> </w:t>
      </w:r>
      <w:r>
        <w:t xml:space="preserve">Journal of</w:t>
      </w:r>
      <w:r>
        <w:t xml:space="preserve"> </w:t>
      </w:r>
      <w:r>
        <w:t xml:space="preserve">Computational Science, 2011, 2(1), 1–8.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“Bollen 2011 Twitter mood predicts stock market”</w:t>
      </w:r>
      <w:r>
        <w:t xml:space="preserve"> </w:t>
      </w:r>
      <w:r>
        <w:t xml:space="preserve">— classic sentiment paper]</w:t>
      </w:r>
    </w:p>
    <w:bookmarkEnd w:id="14"/>
    <w:bookmarkStart w:id="15" w:name="federated-learning-in-finance"/>
    <w:p>
      <w:pPr>
        <w:pStyle w:val="Heading4"/>
      </w:pPr>
      <w:r>
        <w:t xml:space="preserve">2.5 Federated Learning in Finance</w:t>
      </w:r>
    </w:p>
    <w:p>
      <w:pPr>
        <w:pStyle w:val="FirstParagraph"/>
      </w:pPr>
      <w:r>
        <w:t xml:space="preserve">[28] H.B. McMahan, E. Moore, D. Ramage, S. Hampson and B. Agüera y Arcas,</w:t>
      </w:r>
      <w:r>
        <w:t xml:space="preserve"> </w:t>
      </w:r>
      <w:r>
        <w:t xml:space="preserve">“Communication-</w:t>
      </w:r>
      <w:r>
        <w:t xml:space="preserve"> </w:t>
      </w:r>
      <w:r>
        <w:t xml:space="preserve">Efficient Learning of Deep Networks from Decentralized Data,”</w:t>
      </w:r>
      <w:r>
        <w:t xml:space="preserve"> </w:t>
      </w:r>
      <w:r>
        <w:t xml:space="preserve">Proceedings of AISTATS,</w:t>
      </w:r>
      <w:r>
        <w:t xml:space="preserve"> </w:t>
      </w:r>
      <w:r>
        <w:t xml:space="preserve">Fort Lauderdale, 2017, pp. 1273–1282.</w:t>
      </w:r>
      <w:r>
        <w:t xml:space="preserve"> </w:t>
      </w:r>
      <w:r>
        <w:t xml:space="preserve">[arXiv:1602.05629 — Google Scholar:</w:t>
      </w:r>
      <w:r>
        <w:t xml:space="preserve"> </w:t>
      </w:r>
      <w:r>
        <w:t xml:space="preserve">“McMahan 2017 FedAvg Communication Efficient AISTATS”</w:t>
      </w:r>
      <w:r>
        <w:t xml:space="preserve">]</w:t>
      </w:r>
    </w:p>
    <w:p>
      <w:pPr>
        <w:pStyle w:val="BodyText"/>
      </w:pPr>
      <w:r>
        <w:t xml:space="preserve">[29] T. Li, A.K. Sahu, M. Zaheer, M. Sanjabi, A. Smola and V. Smith,</w:t>
      </w:r>
      <w:r>
        <w:t xml:space="preserve"> </w:t>
      </w:r>
      <w:r>
        <w:t xml:space="preserve">“Federated Optimization</w:t>
      </w:r>
      <w:r>
        <w:t xml:space="preserve"> </w:t>
      </w:r>
      <w:r>
        <w:t xml:space="preserve">in Heterogeneous Networks,”</w:t>
      </w:r>
      <w:r>
        <w:t xml:space="preserve"> </w:t>
      </w:r>
      <w:r>
        <w:t xml:space="preserve">Proceedings of MLSys, 2020.</w:t>
      </w:r>
      <w:r>
        <w:t xml:space="preserve"> </w:t>
      </w:r>
      <w:r>
        <w:t xml:space="preserve">[arXiv:1812.06127 — Google Scholar:</w:t>
      </w:r>
      <w:r>
        <w:t xml:space="preserve"> </w:t>
      </w:r>
      <w:r>
        <w:t xml:space="preserve">“Li 2020 FedProx Federated Optimization MLSys”</w:t>
      </w:r>
      <w:r>
        <w:t xml:space="preserve">]</w:t>
      </w:r>
    </w:p>
    <w:p>
      <w:pPr>
        <w:pStyle w:val="BodyText"/>
      </w:pPr>
      <w:r>
        <w:t xml:space="preserve">[30] M. Abadi, A. Chu, I. Goodfellow et al.,</w:t>
      </w:r>
      <w:r>
        <w:t xml:space="preserve"> </w:t>
      </w:r>
      <w:r>
        <w:t xml:space="preserve">“Deep Learning with Differential Privacy,”</w:t>
      </w:r>
      <w:r>
        <w:t xml:space="preserve"> </w:t>
      </w:r>
      <w:r>
        <w:t xml:space="preserve">Proceedings of ACM CCS, Vienna, 2016, pp. 308–318.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“Abadi 2016 Deep Learning Differential Privacy CCS”</w:t>
      </w:r>
      <w:r>
        <w:t xml:space="preserve">]</w:t>
      </w:r>
    </w:p>
    <w:p>
      <w:pPr>
        <w:pStyle w:val="BodyText"/>
      </w:pPr>
      <w:r>
        <w:t xml:space="preserve">[31] Q. Yang, Y. Liu, T. Chen and Y. Tong,</w:t>
      </w:r>
      <w:r>
        <w:t xml:space="preserve"> </w:t>
      </w:r>
      <w:r>
        <w:t xml:space="preserve">“Federated Machine Learning: Concept and Applications,”</w:t>
      </w:r>
      <w:r>
        <w:t xml:space="preserve"> </w:t>
      </w:r>
      <w:r>
        <w:t xml:space="preserve">ACM Transactions on Intelligent Systems and Technology, 2019, 10(2), Article 12, 19 pages.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“Yang 2019 Federated Machine Learning Concept ACM TIST”</w:t>
      </w:r>
      <w:r>
        <w:t xml:space="preserve">]</w:t>
      </w:r>
    </w:p>
    <w:bookmarkEnd w:id="15"/>
    <w:bookmarkStart w:id="16" w:name="monte-carlo-and-risk-management"/>
    <w:p>
      <w:pPr>
        <w:pStyle w:val="Heading4"/>
      </w:pPr>
      <w:r>
        <w:t xml:space="preserve">2.6 Monte Carlo and Risk Management</w:t>
      </w:r>
    </w:p>
    <w:p>
      <w:pPr>
        <w:pStyle w:val="FirstParagraph"/>
      </w:pPr>
      <w:r>
        <w:t xml:space="preserve">[32] P. Jorion. Value at Risk: The New Benchmark for Managing Financial Risk; 3rd Edn;</w:t>
      </w:r>
      <w:r>
        <w:t xml:space="preserve"> </w:t>
      </w:r>
      <w:r>
        <w:t xml:space="preserve">McGraw-Hill, New York, 2007.</w:t>
      </w:r>
      <w:r>
        <w:t xml:space="preserve"> </w:t>
      </w:r>
      <w:r>
        <w:t xml:space="preserve">[Standard VaR textbook — widely cited in finance dissertations]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b63e26daa312140f4259cb96ed4d6ca78301220"/>
    <w:p>
      <w:pPr>
        <w:pStyle w:val="Heading3"/>
      </w:pPr>
      <w:r>
        <w:t xml:space="preserve">Chapter 3 — Methodology (Tools and Libraries)</w:t>
      </w:r>
    </w:p>
    <w:p>
      <w:pPr>
        <w:pStyle w:val="FirstParagraph"/>
      </w:pPr>
      <w:r>
        <w:t xml:space="preserve">[33] R. Aroussi,</w:t>
      </w:r>
      <w:r>
        <w:t xml:space="preserve"> </w:t>
      </w:r>
      <w:r>
        <w:t xml:space="preserve">“yfinance: Yahoo Finance market data downloader,”</w:t>
      </w:r>
      <w:r>
        <w:t xml:space="preserve"> </w:t>
      </w:r>
      <w:r>
        <w:t xml:space="preserve">GitHub, 2019.</w:t>
      </w:r>
      <w:r>
        <w:t xml:space="preserve"> </w:t>
      </w:r>
      <w:r>
        <w:t xml:space="preserve">URL: https://github.com/ranaroussi/yfinance</w:t>
      </w:r>
    </w:p>
    <w:p>
      <w:pPr>
        <w:pStyle w:val="BodyText"/>
      </w:pPr>
      <w:r>
        <w:t xml:space="preserve">[34] M. Fey and J.E. Lenssen,</w:t>
      </w:r>
      <w:r>
        <w:t xml:space="preserve"> </w:t>
      </w:r>
      <w:r>
        <w:t xml:space="preserve">“Fast Graph Representation Learning with PyTorch Geometric,”</w:t>
      </w:r>
      <w:r>
        <w:t xml:space="preserve"> </w:t>
      </w:r>
      <w:r>
        <w:t xml:space="preserve">Workshop on Representation Learning on Graphs and Manifolds, ICLR, New Orleans, 2019.</w:t>
      </w:r>
      <w:r>
        <w:t xml:space="preserve"> </w:t>
      </w:r>
      <w:r>
        <w:t xml:space="preserve">[arXiv:1903.02428 — Google Scholar:</w:t>
      </w:r>
      <w:r>
        <w:t xml:space="preserve"> </w:t>
      </w:r>
      <w:r>
        <w:t xml:space="preserve">“Fey Lenssen PyTorch Geometric 2019”</w:t>
      </w:r>
      <w:r>
        <w:t xml:space="preserve">]</w:t>
      </w:r>
    </w:p>
    <w:p>
      <w:pPr>
        <w:pStyle w:val="BodyText"/>
      </w:pPr>
      <w:r>
        <w:t xml:space="preserve">[35] ProsusAI,</w:t>
      </w:r>
      <w:r>
        <w:t xml:space="preserve"> </w:t>
      </w:r>
      <w:r>
        <w:t xml:space="preserve">“FinBERT: Financial Sentiment Analysis Model,”</w:t>
      </w:r>
      <w:r>
        <w:t xml:space="preserve"> </w:t>
      </w:r>
      <w:r>
        <w:t xml:space="preserve">Hugging Face Model Hub, 2020.</w:t>
      </w:r>
      <w:r>
        <w:t xml:space="preserve"> </w:t>
      </w:r>
      <w:r>
        <w:t xml:space="preserve">URL: https://huggingface.co/ProsusAI/finbert</w:t>
      </w:r>
    </w:p>
    <w:p>
      <w:pPr>
        <w:pStyle w:val="BodyText"/>
      </w:pPr>
      <w:r>
        <w:t xml:space="preserve">[36] G. Brockman, V. Cheung, L. Pettersson et al.,</w:t>
      </w:r>
      <w:r>
        <w:t xml:space="preserve"> </w:t>
      </w:r>
      <w:r>
        <w:t xml:space="preserve">“OpenAI Gym,”</w:t>
      </w:r>
      <w:r>
        <w:t xml:space="preserve"> </w:t>
      </w:r>
      <w:r>
        <w:t xml:space="preserve">arXiv:1606.01540, June 2016.</w:t>
      </w:r>
      <w:r>
        <w:t xml:space="preserve"> </w:t>
      </w:r>
      <w:r>
        <w:t xml:space="preserve">URL: https://arxiv.org/abs/1606.01540</w:t>
      </w:r>
      <w:r>
        <w:t xml:space="preserve"> </w:t>
      </w:r>
      <w:r>
        <w:t xml:space="preserve">[Gymnasium is the actively maintained fork: https://gymnasium.farama.org]</w:t>
      </w:r>
    </w:p>
    <w:p>
      <w:pPr>
        <w:pStyle w:val="BodyText"/>
      </w:pPr>
      <w:r>
        <w:t xml:space="preserve">[37] S. Ramirez,</w:t>
      </w:r>
      <w:r>
        <w:t xml:space="preserve"> </w:t>
      </w:r>
      <w:r>
        <w:t xml:space="preserve">“FastAPI: Modern, fast web framework for building APIs with Python 3.7+,”</w:t>
      </w:r>
      <w:r>
        <w:t xml:space="preserve"> </w:t>
      </w:r>
      <w:r>
        <w:t xml:space="preserve">2023.</w:t>
      </w:r>
      <w:r>
        <w:t xml:space="preserve"> </w:t>
      </w:r>
      <w:r>
        <w:t xml:space="preserve">URL: https://fastapi.tiangolo.com</w:t>
      </w:r>
    </w:p>
    <w:p>
      <w:pPr>
        <w:pStyle w:val="BodyText"/>
      </w:pPr>
      <w:r>
        <w:t xml:space="preserve">[38] D.J. Beutel, T. Topal, A. Mathur et al.,</w:t>
      </w:r>
      <w:r>
        <w:t xml:space="preserve"> </w:t>
      </w:r>
      <w:r>
        <w:t xml:space="preserve">“Flower: A Friendly Federated Learning Research</w:t>
      </w:r>
      <w:r>
        <w:t xml:space="preserve"> </w:t>
      </w:r>
      <w:r>
        <w:t xml:space="preserve">Framework,”</w:t>
      </w:r>
      <w:r>
        <w:t xml:space="preserve"> </w:t>
      </w:r>
      <w:r>
        <w:t xml:space="preserve">arXiv:2007.14390, July 2020.</w:t>
      </w:r>
      <w:r>
        <w:t xml:space="preserve"> </w:t>
      </w:r>
      <w:r>
        <w:t xml:space="preserve">URL: https://arxiv.org/abs/2007.14390</w:t>
      </w:r>
    </w:p>
    <w:p>
      <w:r>
        <w:pict>
          <v:rect style="width:0;height:1.5pt" o:hralign="center" o:hrstd="t" o:hr="t"/>
        </w:pict>
      </w:r>
    </w:p>
    <w:bookmarkEnd w:id="18"/>
    <w:bookmarkStart w:id="19" w:name="Xa8b80fac70592f8b589c78b6d3cf8ddf9cded9d"/>
    <w:p>
      <w:pPr>
        <w:pStyle w:val="Heading3"/>
      </w:pPr>
      <w:r>
        <w:t xml:space="preserve">Additional Domain References (Indian Market / Supporting)</w:t>
      </w:r>
    </w:p>
    <w:p>
      <w:pPr>
        <w:pStyle w:val="FirstParagraph"/>
      </w:pPr>
      <w:r>
        <w:t xml:space="preserve">[39] F.A. Sortino and R. van der Meer,</w:t>
      </w:r>
      <w:r>
        <w:t xml:space="preserve"> </w:t>
      </w:r>
      <w:r>
        <w:t xml:space="preserve">“Downside Risk,”</w:t>
      </w:r>
      <w:r>
        <w:t xml:space="preserve"> </w:t>
      </w:r>
      <w:r>
        <w:t xml:space="preserve">Journal of Portfolio Management,</w:t>
      </w:r>
      <w:r>
        <w:t xml:space="preserve"> </w:t>
      </w:r>
      <w:r>
        <w:t xml:space="preserve">1991, 17(4), 27–31.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“Sortino 1991 Downside Risk”</w:t>
      </w:r>
      <w:r>
        <w:t xml:space="preserve"> </w:t>
      </w:r>
      <w:r>
        <w:t xml:space="preserve">— defines Sortino Ratio used in results]</w:t>
      </w:r>
    </w:p>
    <w:p>
      <w:pPr>
        <w:pStyle w:val="BodyText"/>
      </w:pPr>
      <w:r>
        <w:t xml:space="preserve">[40] R.C. Merton,</w:t>
      </w:r>
      <w:r>
        <w:t xml:space="preserve"> </w:t>
      </w:r>
      <w:r>
        <w:t xml:space="preserve">“An Intertemporal Capital Asset Pricing Model,”</w:t>
      </w:r>
      <w:r>
        <w:t xml:space="preserve"> </w:t>
      </w:r>
      <w:r>
        <w:t xml:space="preserve">Econometrica, 1973,</w:t>
      </w:r>
      <w:r>
        <w:t xml:space="preserve"> </w:t>
      </w:r>
      <w:r>
        <w:t xml:space="preserve">41(5), 867–887.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“Merton 1973 Intertemporal CAPM Econometrica”</w:t>
      </w:r>
      <w:r>
        <w:t xml:space="preserve">]</w:t>
      </w:r>
    </w:p>
    <w:p>
      <w:pPr>
        <w:pStyle w:val="BodyText"/>
      </w:pPr>
      <w:r>
        <w:t xml:space="preserve">[41] R. Gupta and P.K. Basu,</w:t>
      </w:r>
      <w:r>
        <w:t xml:space="preserve"> </w:t>
      </w:r>
      <w:r>
        <w:t xml:space="preserve">“Weak Form Efficiency in Indian Stock Markets,”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Business and Economics Research Journal, 2007, 6(3), 57–64.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“Gupta Basu 2007 Weak Form Efficiency Indian Stock Markets”</w:t>
      </w:r>
      <w:r>
        <w:t xml:space="preserve">]</w:t>
      </w:r>
    </w:p>
    <w:p>
      <w:pPr>
        <w:pStyle w:val="BodyText"/>
      </w:pPr>
      <w:r>
        <w:t xml:space="preserve">[42] A. Paszke, S. Gross, F. Massa et al.,</w:t>
      </w:r>
      <w:r>
        <w:t xml:space="preserve"> </w:t>
      </w:r>
      <w:r>
        <w:t xml:space="preserve">“PyTorch: An Imperative Style, High-Performance</w:t>
      </w:r>
      <w:r>
        <w:t xml:space="preserve"> </w:t>
      </w:r>
      <w:r>
        <w:t xml:space="preserve">Deep Learning Library,”</w:t>
      </w:r>
      <w:r>
        <w:t xml:space="preserve"> </w:t>
      </w:r>
      <w:r>
        <w:t xml:space="preserve">Advances in NeurIPS, 2019, 32, 8026–8037.</w:t>
      </w:r>
      <w:r>
        <w:t xml:space="preserve"> </w:t>
      </w:r>
      <w:r>
        <w:t xml:space="preserve">[Google Scholar:</w:t>
      </w:r>
      <w:r>
        <w:t xml:space="preserve"> </w:t>
      </w:r>
      <w:r>
        <w:t xml:space="preserve">“Paszke 2019 PyTorch NeurIPS”</w:t>
      </w:r>
      <w:r>
        <w:t xml:space="preserve"> </w:t>
      </w:r>
      <w:r>
        <w:t xml:space="preserve">— cite for PyTorch usage]</w:t>
      </w:r>
    </w:p>
    <w:p>
      <w:pPr>
        <w:pStyle w:val="BodyText"/>
      </w:pPr>
      <w:r>
        <w:t xml:space="preserve">[43] J. Sen, A. Jaiswal, A. Pathak, A.K. Majee, K. Kumar, M.K. Sarkar and S. Maji,</w:t>
      </w:r>
      <w:r>
        <w:t xml:space="preserve"> </w:t>
      </w:r>
      <w:r>
        <w:t xml:space="preserve">“A Comparative Analysis of Portfolio Optimization Using Mean-Variance, Hierarchical</w:t>
      </w:r>
      <w:r>
        <w:t xml:space="preserve"> </w:t>
      </w:r>
      <w:r>
        <w:t xml:space="preserve">Risk Parity, and Reinforcement Learning Approaches on the Indian Stock Market,”</w:t>
      </w:r>
      <w:r>
        <w:t xml:space="preserve"> </w:t>
      </w:r>
      <w:r>
        <w:t xml:space="preserve">arXiv:2305.17523, May 2023.</w:t>
      </w:r>
      <w:r>
        <w:t xml:space="preserve"> </w:t>
      </w:r>
      <w:r>
        <w:t xml:space="preserve">URL: https://arxiv.org/abs/2305.17523</w:t>
      </w:r>
      <w:r>
        <w:t xml:space="preserve"> </w:t>
      </w:r>
      <w:r>
        <w:t xml:space="preserve">[Verified on arXiv — NIFTY 50, compares MVP, HRP, and DQL approaches on Indian market]</w:t>
      </w:r>
    </w:p>
    <w:p>
      <w:pPr>
        <w:pStyle w:val="BodyText"/>
      </w:pPr>
      <w:r>
        <w:t xml:space="preserve">[44] J. Sen and A. Dutta,</w:t>
      </w:r>
      <w:r>
        <w:t xml:space="preserve"> </w:t>
      </w:r>
      <w:r>
        <w:t xml:space="preserve">“Design and Analysis of Optimized Portfolios for Selected Sectors</w:t>
      </w:r>
      <w:r>
        <w:t xml:space="preserve"> </w:t>
      </w:r>
      <w:r>
        <w:t xml:space="preserve">of the Indian Stock Market,”</w:t>
      </w:r>
      <w:r>
        <w:t xml:space="preserve"> </w:t>
      </w:r>
      <w:r>
        <w:t xml:space="preserve">Proceedings of the International Conference on Decision</w:t>
      </w:r>
      <w:r>
        <w:t xml:space="preserve"> </w:t>
      </w:r>
      <w:r>
        <w:t xml:space="preserve">Aid Sciences and Applications (DASA’22), IEEE, 2022.</w:t>
      </w:r>
      <w:r>
        <w:t xml:space="preserve"> </w:t>
      </w:r>
      <w:r>
        <w:t xml:space="preserve">arXiv:2210.03943</w:t>
      </w:r>
      <w:r>
        <w:t xml:space="preserve"> </w:t>
      </w:r>
      <w:r>
        <w:t xml:space="preserve">URL: https://arxiv.org/abs/2210.03943</w:t>
      </w:r>
      <w:r>
        <w:t xml:space="preserve"> </w:t>
      </w:r>
      <w:r>
        <w:t xml:space="preserve">[Verified on arXiv — sector-wise portfolio optimization on NSE India, 6 sectors, 2017–2021]</w:t>
      </w:r>
    </w:p>
    <w:p>
      <w:pPr>
        <w:pStyle w:val="BodyText"/>
      </w:pPr>
      <w:r>
        <w:t xml:space="preserve">[45] R.G. Mishra, D. Sharma, M. Gadhavi, S. Pant and A. Kumar,</w:t>
      </w:r>
      <w:r>
        <w:t xml:space="preserve"> </w:t>
      </w:r>
      <w:r>
        <w:t xml:space="preserve">“A Deep Reinforcement</w:t>
      </w:r>
      <w:r>
        <w:t xml:space="preserve"> </w:t>
      </w:r>
      <w:r>
        <w:t xml:space="preserve">Learning Framework for Strategic Indian NIFTY 50 Index Trading,”</w:t>
      </w:r>
      <w:r>
        <w:t xml:space="preserve"> </w:t>
      </w:r>
      <w:r>
        <w:t xml:space="preserve">AI (MDPI),</w:t>
      </w:r>
      <w:r>
        <w:t xml:space="preserve"> </w:t>
      </w:r>
      <w:r>
        <w:t xml:space="preserve">2025, 6(8), 183.</w:t>
      </w:r>
      <w:r>
        <w:t xml:space="preserve"> </w:t>
      </w:r>
      <w:r>
        <w:t xml:space="preserve">URL: https://www.mdpi.com/2673-2688/6/8/183</w:t>
      </w:r>
      <w:r>
        <w:t xml:space="preserve"> </w:t>
      </w:r>
      <w:r>
        <w:t xml:space="preserve">[MDPI open access — DQN/DDQN/Dueling DDQN on NIFTY 50, Sharpe 0.7394, 73.33% win rate]</w:t>
      </w:r>
    </w:p>
    <w:p>
      <w:pPr>
        <w:pStyle w:val="BodyText"/>
      </w:pPr>
      <w:r>
        <w:t xml:space="preserve">[46] Securities and Exchange Board of India,</w:t>
      </w:r>
      <w:r>
        <w:t xml:space="preserve"> </w:t>
      </w:r>
      <w:r>
        <w:t xml:space="preserve">“Annual Report 2023–24,”</w:t>
      </w:r>
      <w:r>
        <w:t xml:space="preserve"> </w:t>
      </w:r>
      <w:r>
        <w:t xml:space="preserve">SEBI, New Delhi, 2024.</w:t>
      </w:r>
      <w:r>
        <w:t xml:space="preserve"> </w:t>
      </w:r>
      <w:r>
        <w:t xml:space="preserve">URL: https://www.sebi.gov.in/reports-and-statistics/annual-reports</w:t>
      </w:r>
      <w:r>
        <w:t xml:space="preserve"> </w:t>
      </w:r>
      <w:r>
        <w:t xml:space="preserve">[Official SEBI source — retail investor growth, demat account statistics, market data]</w:t>
      </w:r>
    </w:p>
    <w:p>
      <w:pPr>
        <w:pStyle w:val="BodyText"/>
      </w:pPr>
      <w:r>
        <w:t xml:space="preserve">[47] National Stock Exchange of India,</w:t>
      </w:r>
      <w:r>
        <w:t xml:space="preserve"> </w:t>
      </w:r>
      <w:r>
        <w:t xml:space="preserve">“Indian Securities Market: A Review (ISMR),”</w:t>
      </w:r>
      <w:r>
        <w:t xml:space="preserve"> </w:t>
      </w:r>
      <w:r>
        <w:t xml:space="preserve">NSE India, 2023.</w:t>
      </w:r>
      <w:r>
        <w:t xml:space="preserve"> </w:t>
      </w:r>
      <w:r>
        <w:t xml:space="preserve">URL: https://www.nseindia.com/research/content/ismr_2023.pdf</w:t>
      </w:r>
      <w:r>
        <w:t xml:space="preserve"> </w:t>
      </w:r>
      <w:r>
        <w:t xml:space="preserve">[NSE official annual market review — cite for Indian equity market structure and statistics]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All references [43]–[47] are Indian market specific papers added to satisfy research gap.</w:t>
      </w:r>
      <w:r>
        <w:t xml:space="preserve"> </w:t>
      </w:r>
      <w:r>
        <w:t xml:space="preserve">[41] Gupta &amp; Basu (2007) also covers Indian market efficiency.</w:t>
      </w:r>
      <w:r>
        <w:t xml:space="preserve"> </w:t>
      </w:r>
      <w:r>
        <w:t xml:space="preserve">Total Indian market references: [41], [43], [44], [45], [46], [47] = 6 references.</w:t>
      </w:r>
      <w:r>
        <w:t xml:space="preserve"> </w:t>
      </w:r>
      <w:r>
        <w:t xml:space="preserve">4.</w:t>
      </w:r>
      <w:r>
        <w:t xml:space="preserve"> </w:t>
      </w:r>
      <w:r>
        <w:t xml:space="preserve">“federated learning credit scoring financial institutions”</w:t>
      </w:r>
      <w:r>
        <w:t xml:space="preserve"> </w:t>
      </w:r>
      <w:r>
        <w:t xml:space="preserve">— 1 paper for FL in finance</w:t>
      </w:r>
      <w:r>
        <w:t xml:space="preserve"> </w:t>
      </w:r>
      <w:r>
        <w:t xml:space="preserve">5.</w:t>
      </w:r>
      <w:r>
        <w:t xml:space="preserve"> </w:t>
      </w:r>
      <w:r>
        <w:t xml:space="preserve">“stress testing portfolio historical simulation”</w:t>
      </w:r>
      <w:r>
        <w:t xml:space="preserve"> </w:t>
      </w:r>
      <w:r>
        <w:t xml:space="preserve">— 1 bank/finance methodology paper</w:t>
      </w:r>
    </w:p>
    <w:p>
      <w:pPr>
        <w:pStyle w:val="BodyText"/>
      </w:pPr>
      <w:r>
        <w:t xml:space="preserve">Add found papers as [43], [44]… continuing the numbering.</w:t>
      </w:r>
    </w:p>
    <w:p>
      <w:r>
        <w:pict>
          <v:rect style="width:0;height:1.5pt" o:hralign="center" o:hrstd="t" o:hr="t"/>
        </w:pict>
      </w:r>
    </w:p>
    <w:bookmarkEnd w:id="21"/>
    <w:bookmarkStart w:id="22" w:name="reference-tracking"/>
    <w:p>
      <w:pPr>
        <w:pStyle w:val="Heading2"/>
      </w:pPr>
      <w:r>
        <w:t xml:space="preserve">Reference Tracking</w:t>
      </w:r>
    </w:p>
    <w:p>
      <w:pPr>
        <w:pStyle w:val="FirstParagraph"/>
      </w:pPr>
      <w:r>
        <w:t xml:space="preserve">After all chapters are written, replace every [REF] with correct number: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Markowitz 1952</w:t>
            </w:r>
          </w:p>
        </w:tc>
        <w:tc>
          <w:tcPr/>
          <w:p>
            <w:pPr>
              <w:pStyle w:val="Compact"/>
            </w:pPr>
            <w:r>
              <w:t xml:space="preserve">Ch1, Ch2.1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 India</w:t>
            </w:r>
          </w:p>
        </w:tc>
        <w:tc>
          <w:tcPr/>
          <w:p>
            <w:pPr>
              <w:pStyle w:val="Compact"/>
            </w:pPr>
            <w:r>
              <w:t xml:space="preserve">Ch1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SEBI Annual Report</w:t>
            </w:r>
          </w:p>
        </w:tc>
        <w:tc>
          <w:tcPr/>
          <w:p>
            <w:pPr>
              <w:pStyle w:val="Compact"/>
            </w:pPr>
            <w:r>
              <w:t xml:space="preserve">Ch1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 AI Survey</w:t>
            </w:r>
          </w:p>
        </w:tc>
        <w:tc>
          <w:tcPr/>
          <w:p>
            <w:pPr>
              <w:pStyle w:val="Compact"/>
            </w:pPr>
            <w:r>
              <w:t xml:space="preserve">Ch1, Ch2</w:t>
            </w:r>
          </w:p>
        </w:tc>
        <w:tc>
          <w:tcPr/>
          <w:p>
            <w:pPr>
              <w:pStyle w:val="Compac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1964 CAPM</w:t>
            </w:r>
          </w:p>
        </w:tc>
        <w:tc>
          <w:tcPr/>
          <w:p>
            <w:pPr>
              <w:pStyle w:val="Compact"/>
            </w:pPr>
            <w:r>
              <w:t xml:space="preserve">Ch2.1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Black-Litterman 1992</w:t>
            </w:r>
          </w:p>
        </w:tc>
        <w:tc>
          <w:tcPr/>
          <w:p>
            <w:pPr>
              <w:pStyle w:val="Compact"/>
            </w:pPr>
            <w:r>
              <w:t xml:space="preserve">Ch2.1</w:t>
            </w:r>
          </w:p>
        </w:tc>
        <w:tc>
          <w:tcPr/>
          <w:p>
            <w:pPr>
              <w:pStyle w:val="Compac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Rockafellar CVaR 2002</w:t>
            </w:r>
          </w:p>
        </w:tc>
        <w:tc>
          <w:tcPr/>
          <w:p>
            <w:pPr>
              <w:pStyle w:val="Compact"/>
            </w:pPr>
            <w:r>
              <w:t xml:space="preserve">Ch2.6</w:t>
            </w:r>
          </w:p>
        </w:tc>
        <w:tc>
          <w:tcPr/>
          <w:p>
            <w:pPr>
              <w:pStyle w:val="Compac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Glasserman Monte Carlo</w:t>
            </w:r>
          </w:p>
        </w:tc>
        <w:tc>
          <w:tcPr/>
          <w:p>
            <w:pPr>
              <w:pStyle w:val="Compact"/>
            </w:pPr>
            <w:r>
              <w:t xml:space="preserve">Ch2.6</w:t>
            </w:r>
          </w:p>
        </w:tc>
        <w:tc>
          <w:tcPr/>
          <w:p>
            <w:pPr>
              <w:pStyle w:val="Compac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Barto RL book</w:t>
            </w:r>
          </w:p>
        </w:tc>
        <w:tc>
          <w:tcPr/>
          <w:p>
            <w:pPr>
              <w:pStyle w:val="Compact"/>
            </w:pPr>
            <w:r>
              <w:t xml:space="preserve">Ch2.2, Ch3.8</w:t>
            </w:r>
          </w:p>
        </w:tc>
        <w:tc>
          <w:tcPr/>
          <w:p>
            <w:pPr>
              <w:pStyle w:val="Compact"/>
            </w:pPr>
            <w:r>
              <w:t xml:space="preserve">[9]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Mnih 2015 DQN Nature</w:t>
            </w:r>
          </w:p>
        </w:tc>
        <w:tc>
          <w:tcPr/>
          <w:p>
            <w:pPr>
              <w:pStyle w:val="Compact"/>
            </w:pPr>
            <w:r>
              <w:t xml:space="preserve">Ch2.2</w:t>
            </w:r>
          </w:p>
        </w:tc>
        <w:tc>
          <w:tcPr/>
          <w:p>
            <w:pPr>
              <w:pStyle w:val="Compac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2014 DPG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Lillicrap 2016 DDPG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Schulman 2017 PPO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Haarnoja 2018 SAC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Fujimoto 2018 TD3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Mnih 2016 A3C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Liu 2021 FinRL</w:t>
            </w:r>
          </w:p>
        </w:tc>
        <w:tc>
          <w:tcPr/>
          <w:p>
            <w:pPr>
              <w:pStyle w:val="Compact"/>
            </w:pPr>
            <w:r>
              <w:t xml:space="preserve">Ch2.2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Raffin 2021 SB3</w:t>
            </w:r>
          </w:p>
        </w:tc>
        <w:tc>
          <w:tcPr/>
          <w:p>
            <w:pPr>
              <w:pStyle w:val="Compact"/>
            </w:pPr>
            <w:r>
              <w:t xml:space="preserve">Ch2.2, Ch3.9</w:t>
            </w:r>
          </w:p>
        </w:tc>
        <w:tc>
          <w:tcPr/>
          <w:p>
            <w:pPr>
              <w:pStyle w:val="Compact"/>
            </w:pPr>
            <w:r>
              <w:t xml:space="preserve">[18]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Kipf 2017 GCN</w:t>
            </w:r>
          </w:p>
        </w:tc>
        <w:tc>
          <w:tcPr/>
          <w:p>
            <w:pPr>
              <w:pStyle w:val="Compact"/>
            </w:pPr>
            <w:r>
              <w:t xml:space="preserve">Ch2.3, Ch3.7</w:t>
            </w:r>
          </w:p>
        </w:tc>
        <w:tc>
          <w:tcPr/>
          <w:p>
            <w:pPr>
              <w:pStyle w:val="Compact"/>
            </w:pPr>
            <w:r>
              <w:t xml:space="preserve">[19]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Velickovic 2018 GAT</w:t>
            </w:r>
          </w:p>
        </w:tc>
        <w:tc>
          <w:tcPr/>
          <w:p>
            <w:pPr>
              <w:pStyle w:val="Compact"/>
            </w:pPr>
            <w:r>
              <w:t xml:space="preserve">Ch2.3, Ch3.7</w:t>
            </w:r>
          </w:p>
        </w:tc>
        <w:tc>
          <w:tcPr/>
          <w:p>
            <w:pPr>
              <w:pStyle w:val="Compact"/>
            </w:pPr>
            <w:r>
              <w:t xml:space="preserve">[20]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Vaswani 2017 Attention</w:t>
            </w:r>
          </w:p>
        </w:tc>
        <w:tc>
          <w:tcPr/>
          <w:p>
            <w:pPr>
              <w:pStyle w:val="Compact"/>
            </w:pPr>
            <w:r>
              <w:t xml:space="preserve">Ch2.3</w:t>
            </w:r>
          </w:p>
        </w:tc>
        <w:tc>
          <w:tcPr/>
          <w:p>
            <w:pPr>
              <w:pStyle w:val="Compact"/>
            </w:pPr>
            <w:r>
              <w:t xml:space="preserve">[21]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Feng 2019 Temporal Relational</w:t>
            </w:r>
          </w:p>
        </w:tc>
        <w:tc>
          <w:tcPr/>
          <w:p>
            <w:pPr>
              <w:pStyle w:val="Compact"/>
            </w:pPr>
            <w:r>
              <w:t xml:space="preserve">Ch2.3</w:t>
            </w:r>
          </w:p>
        </w:tc>
        <w:tc>
          <w:tcPr/>
          <w:p>
            <w:pPr>
              <w:pStyle w:val="Compact"/>
            </w:pPr>
            <w:r>
              <w:t xml:space="preserve">[22]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Zhao 2020 T-GCN</w:t>
            </w:r>
          </w:p>
        </w:tc>
        <w:tc>
          <w:tcPr/>
          <w:p>
            <w:pPr>
              <w:pStyle w:val="Compact"/>
            </w:pPr>
            <w:r>
              <w:t xml:space="preserve">Ch2.3, Ch3.7</w:t>
            </w:r>
          </w:p>
        </w:tc>
        <w:tc>
          <w:tcPr/>
          <w:p>
            <w:pPr>
              <w:pStyle w:val="Compact"/>
            </w:pPr>
            <w:r>
              <w:t xml:space="preserve">[23]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Loughran 2011</w:t>
            </w:r>
          </w:p>
        </w:tc>
        <w:tc>
          <w:tcPr/>
          <w:p>
            <w:pPr>
              <w:pStyle w:val="Compact"/>
            </w:pPr>
            <w:r>
              <w:t xml:space="preserve">Ch2.4</w:t>
            </w:r>
          </w:p>
        </w:tc>
        <w:tc>
          <w:tcPr/>
          <w:p>
            <w:pPr>
              <w:pStyle w:val="Compact"/>
            </w:pPr>
            <w:r>
              <w:t xml:space="preserve">[24]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Devlin 2019 BERT</w:t>
            </w:r>
          </w:p>
        </w:tc>
        <w:tc>
          <w:tcPr/>
          <w:p>
            <w:pPr>
              <w:pStyle w:val="Compact"/>
            </w:pPr>
            <w:r>
              <w:t xml:space="preserve">Ch2.4, Ch3.5</w:t>
            </w:r>
          </w:p>
        </w:tc>
        <w:tc>
          <w:tcPr/>
          <w:p>
            <w:pPr>
              <w:pStyle w:val="Compact"/>
            </w:pPr>
            <w:r>
              <w:t xml:space="preserve">[25]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Araci 2019 FinBERT</w:t>
            </w:r>
          </w:p>
        </w:tc>
        <w:tc>
          <w:tcPr/>
          <w:p>
            <w:pPr>
              <w:pStyle w:val="Compact"/>
            </w:pPr>
            <w:r>
              <w:t xml:space="preserve">Ch2.4, Ch3.5</w:t>
            </w:r>
          </w:p>
        </w:tc>
        <w:tc>
          <w:tcPr/>
          <w:p>
            <w:pPr>
              <w:pStyle w:val="Compact"/>
            </w:pPr>
            <w:r>
              <w:t xml:space="preserve">[26]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Bollen 2011 Twitter</w:t>
            </w:r>
          </w:p>
        </w:tc>
        <w:tc>
          <w:tcPr/>
          <w:p>
            <w:pPr>
              <w:pStyle w:val="Compact"/>
            </w:pPr>
            <w:r>
              <w:t xml:space="preserve">Ch2.4</w:t>
            </w:r>
          </w:p>
        </w:tc>
        <w:tc>
          <w:tcPr/>
          <w:p>
            <w:pPr>
              <w:pStyle w:val="Compact"/>
            </w:pPr>
            <w:r>
              <w:t xml:space="preserve">[27]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McMahan 2017 FedAvg</w:t>
            </w:r>
          </w:p>
        </w:tc>
        <w:tc>
          <w:tcPr/>
          <w:p>
            <w:pPr>
              <w:pStyle w:val="Compact"/>
            </w:pPr>
            <w:r>
              <w:t xml:space="preserve">Ch2.5, Ch3.11</w:t>
            </w:r>
          </w:p>
        </w:tc>
        <w:tc>
          <w:tcPr/>
          <w:p>
            <w:pPr>
              <w:pStyle w:val="Compact"/>
            </w:pPr>
            <w:r>
              <w:t xml:space="preserve">[28]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2020 FedProx</w:t>
            </w:r>
          </w:p>
        </w:tc>
        <w:tc>
          <w:tcPr/>
          <w:p>
            <w:pPr>
              <w:pStyle w:val="Compact"/>
            </w:pPr>
            <w:r>
              <w:t xml:space="preserve">Ch2.5, Ch3.11</w:t>
            </w:r>
          </w:p>
        </w:tc>
        <w:tc>
          <w:tcPr/>
          <w:p>
            <w:pPr>
              <w:pStyle w:val="Compact"/>
            </w:pPr>
            <w:r>
              <w:t xml:space="preserve">[29]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Abadi 2016 DP-SGD</w:t>
            </w:r>
          </w:p>
        </w:tc>
        <w:tc>
          <w:tcPr/>
          <w:p>
            <w:pPr>
              <w:pStyle w:val="Compact"/>
            </w:pPr>
            <w:r>
              <w:t xml:space="preserve">Ch2.5, Ch3.11</w:t>
            </w:r>
          </w:p>
        </w:tc>
        <w:tc>
          <w:tcPr/>
          <w:p>
            <w:pPr>
              <w:pStyle w:val="Compact"/>
            </w:pPr>
            <w:r>
              <w:t xml:space="preserve">[30]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2019 FL Concept</w:t>
            </w:r>
          </w:p>
        </w:tc>
        <w:tc>
          <w:tcPr/>
          <w:p>
            <w:pPr>
              <w:pStyle w:val="Compact"/>
            </w:pPr>
            <w:r>
              <w:t xml:space="preserve">Ch2.5</w:t>
            </w:r>
          </w:p>
        </w:tc>
        <w:tc>
          <w:tcPr/>
          <w:p>
            <w:pPr>
              <w:pStyle w:val="Compact"/>
            </w:pPr>
            <w:r>
              <w:t xml:space="preserve">[31]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Jorion VaR book</w:t>
            </w:r>
          </w:p>
        </w:tc>
        <w:tc>
          <w:tcPr/>
          <w:p>
            <w:pPr>
              <w:pStyle w:val="Compact"/>
            </w:pPr>
            <w:r>
              <w:t xml:space="preserve">Ch2.6, Ch3.10</w:t>
            </w:r>
          </w:p>
        </w:tc>
        <w:tc>
          <w:tcPr/>
          <w:p>
            <w:pPr>
              <w:pStyle w:val="Compact"/>
            </w:pPr>
            <w:r>
              <w:t xml:space="preserve">[32]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Ch3.2</w:t>
            </w:r>
          </w:p>
        </w:tc>
        <w:tc>
          <w:tcPr/>
          <w:p>
            <w:pPr>
              <w:pStyle w:val="Compact"/>
            </w:pPr>
            <w:r>
              <w:t xml:space="preserve">[33]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Fey PyG 2019</w:t>
            </w:r>
          </w:p>
        </w:tc>
        <w:tc>
          <w:tcPr/>
          <w:p>
            <w:pPr>
              <w:pStyle w:val="Compact"/>
            </w:pPr>
            <w:r>
              <w:t xml:space="preserve">Ch3.6, Ch3.7</w:t>
            </w:r>
          </w:p>
        </w:tc>
        <w:tc>
          <w:tcPr/>
          <w:p>
            <w:pPr>
              <w:pStyle w:val="Compact"/>
            </w:pPr>
            <w:r>
              <w:t xml:space="preserve">[34]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ProsusAI FinBERT</w:t>
            </w:r>
          </w:p>
        </w:tc>
        <w:tc>
          <w:tcPr/>
          <w:p>
            <w:pPr>
              <w:pStyle w:val="Compact"/>
            </w:pPr>
            <w:r>
              <w:t xml:space="preserve">Ch3.5</w:t>
            </w:r>
          </w:p>
        </w:tc>
        <w:tc>
          <w:tcPr/>
          <w:p>
            <w:pPr>
              <w:pStyle w:val="Compact"/>
            </w:pPr>
            <w:r>
              <w:t xml:space="preserve">[35]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Brockman OpenAI Gym</w:t>
            </w:r>
          </w:p>
        </w:tc>
        <w:tc>
          <w:tcPr/>
          <w:p>
            <w:pPr>
              <w:pStyle w:val="Compact"/>
            </w:pPr>
            <w:r>
              <w:t xml:space="preserve">Ch3.8</w:t>
            </w:r>
          </w:p>
        </w:tc>
        <w:tc>
          <w:tcPr/>
          <w:p>
            <w:pPr>
              <w:pStyle w:val="Compact"/>
            </w:pPr>
            <w:r>
              <w:t xml:space="preserve">[36]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Ch3.12</w:t>
            </w:r>
          </w:p>
        </w:tc>
        <w:tc>
          <w:tcPr/>
          <w:p>
            <w:pPr>
              <w:pStyle w:val="Compact"/>
            </w:pPr>
            <w:r>
              <w:t xml:space="preserve">[37]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Beutel Flower</w:t>
            </w:r>
          </w:p>
        </w:tc>
        <w:tc>
          <w:tcPr/>
          <w:p>
            <w:pPr>
              <w:pStyle w:val="Compact"/>
            </w:pPr>
            <w:r>
              <w:t xml:space="preserve">Ch3.11</w:t>
            </w:r>
          </w:p>
        </w:tc>
        <w:tc>
          <w:tcPr/>
          <w:p>
            <w:pPr>
              <w:pStyle w:val="Compact"/>
            </w:pPr>
            <w:r>
              <w:t xml:space="preserve">[38]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1991</w:t>
            </w:r>
          </w:p>
        </w:tc>
        <w:tc>
          <w:tcPr/>
          <w:p>
            <w:pPr>
              <w:pStyle w:val="Compact"/>
            </w:pPr>
            <w:r>
              <w:t xml:space="preserve">Ch4, Ch5</w:t>
            </w:r>
          </w:p>
        </w:tc>
        <w:tc>
          <w:tcPr/>
          <w:p>
            <w:pPr>
              <w:pStyle w:val="Compact"/>
            </w:pPr>
            <w:r>
              <w:t xml:space="preserve">[39]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Merton 1973 ICAPM</w:t>
            </w:r>
          </w:p>
        </w:tc>
        <w:tc>
          <w:tcPr/>
          <w:p>
            <w:pPr>
              <w:pStyle w:val="Compact"/>
            </w:pPr>
            <w:r>
              <w:t xml:space="preserve">Ch2.1</w:t>
            </w:r>
          </w:p>
        </w:tc>
        <w:tc>
          <w:tcPr/>
          <w:p>
            <w:pPr>
              <w:pStyle w:val="Compact"/>
            </w:pPr>
            <w:r>
              <w:t xml:space="preserve">[40]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Gupta 2007 Indian Market</w:t>
            </w:r>
          </w:p>
        </w:tc>
        <w:tc>
          <w:tcPr/>
          <w:p>
            <w:pPr>
              <w:pStyle w:val="Compact"/>
            </w:pPr>
            <w:r>
              <w:t xml:space="preserve">Ch1, Ch2.7</w:t>
            </w:r>
          </w:p>
        </w:tc>
        <w:tc>
          <w:tcPr/>
          <w:p>
            <w:pPr>
              <w:pStyle w:val="Compact"/>
            </w:pPr>
            <w:r>
              <w:t xml:space="preserve">[41]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Paszke 2019 PyTorch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  <w:tc>
          <w:tcPr/>
          <w:p>
            <w:pPr>
              <w:pStyle w:val="Compact"/>
            </w:pPr>
            <w:r>
              <w:t xml:space="preserve">[42]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6838" w:w="11906"/>
      <w:pgMar w:bottom="1440" w:footer="720" w:gutter="0" w:header="720" w:left="2154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360" w:lineRule="auto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" w:type="paragraph">
    <w:name w:val="verbatim"/>
    <w:pPr>
      <w:spacing w:after="80" w:before="80" w:line="240" w:lineRule="auto"/>
    </w:pPr>
    <w:rPr>
      <w:rFonts w:ascii="Courier New" w:hAnsi="Courier New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2026-05-01T13:38:32Z</dcterms:created>
  <dcterms:modified xsi:type="dcterms:W3CDTF">2026-05-01T13:38:32Z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