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0" w:name="abstract"/>
    <w:p>
      <w:pPr>
        <w:pStyle w:val="Heading1"/>
      </w:pPr>
      <w:r>
        <w:t xml:space="preserve">ABSTRACT</w:t>
      </w:r>
    </w:p>
    <w:p>
      <w:r>
        <w:pict>
          <v:rect style="width:0;height:1.5pt" o:hralign="center" o:hrstd="t" o:hr="t"/>
        </w:pict>
      </w:r>
    </w:p>
    <w:bookmarkStart w:id="1" w:name="rru-abstract-header-format"/>
    <w:p>
      <w:pPr>
        <w:pStyle w:val="Heading2"/>
      </w:pPr>
      <w:r>
        <w:t xml:space="preserve">RRU Abstract Header Format</w:t>
      </w:r>
    </w:p>
    <w:p>
      <w:pPr>
        <w:pStyle w:val="SourceCode"/>
      </w:pPr>
      <w:r>
        <w:rPr>
          <w:rStyle w:val="VerbatimChar"/>
        </w:rPr>
        <w:t xml:space="preserve">Abstract</w:t>
      </w:r>
      <w:r>
        <w:br/>
      </w:r>
      <w:r>
        <w:br/>
      </w:r>
      <w:r>
        <w:rPr>
          <w:rStyle w:val="VerbatimChar"/>
        </w:rPr>
        <w:t xml:space="preserve">FINQUANT-NEXUS: AN AI-POWERED PORTFOLIO OPTIMIZATION SYSTEM FOR NIFTY 50</w:t>
      </w:r>
      <w:r>
        <w:br/>
      </w:r>
      <w:r>
        <w:br/>
      </w:r>
      <w:r>
        <w:rPr>
          <w:rStyle w:val="VerbatimChar"/>
        </w:rPr>
        <w:t xml:space="preserve">Submitted By: Praveen Pal Rawal (240031105151008)</w:t>
      </w:r>
      <w:r>
        <w:br/>
      </w:r>
      <w:r>
        <w:br/>
      </w:r>
      <w:r>
        <w:rPr>
          <w:rStyle w:val="VerbatimChar"/>
        </w:rPr>
        <w:t xml:space="preserve">Supervised By: Dr. Mayur Makwana, Assistant Professor,</w:t>
      </w:r>
      <w:r>
        <w:br/>
      </w:r>
      <w:r>
        <w:rPr>
          <w:rStyle w:val="VerbatimChar"/>
        </w:rPr>
        <w:t xml:space="preserve">School of Information Technology Artificial Intelligence</w:t>
      </w:r>
      <w:r>
        <w:br/>
      </w:r>
      <w:r>
        <w:rPr>
          <w:rStyle w:val="VerbatimChar"/>
        </w:rPr>
        <w:t xml:space="preserve">and Cyber Security, Rashtriya Raksha University, Gandhinagar</w:t>
      </w:r>
    </w:p>
    <w:p>
      <w:r>
        <w:pict>
          <v:rect style="width:0;height:1.5pt" o:hralign="center" o:hrstd="t" o:hr="t"/>
        </w:pict>
      </w:r>
    </w:p>
    <w:bookmarkEnd w:id="0"/>
    <w:bookmarkStart w:id="2" w:name="abstract-1"/>
    <w:p>
      <w:pPr>
        <w:pStyle w:val="Heading2"/>
      </w:pPr>
      <w:r>
        <w:t xml:space="preserve">ABSTRACT</w:t>
      </w:r>
    </w:p>
    <w:p>
      <w:pPr>
        <w:pStyle w:val="FirstParagraph"/>
      </w:pPr>
      <w:r>
        <w:t xml:space="preserve">FINQUANT-NEXUS is a portfolio management platform that targets the NIFTY 50 stock universe. The aim of the present work was to take four separate machine learning ideas and connect them inside one working system. These were deep reinforcement learning for portfolio weight allocation, graph neural networks for modelling how stocks relate to each other, FinBERT-based sentiment scoring from financial news, and federated learning with differential privacy for collaborative model training.</w:t>
      </w:r>
    </w:p>
    <w:p>
      <w:pPr>
        <w:pStyle w:val="BodyText"/>
      </w:pPr>
      <w:r>
        <w:t xml:space="preserve">For the data side, daily prices of 44 NIFTY 50 stocks were collected from Yahoo Finance across eleven years. Twenty-one technical indicators were computed and Z-score normalised per stock. A multi-relational stock graph was constructed using three edge types, namely sector membership, supply chain linkage, and rolling correlation. A Temporal Graph Attention Network then produced 32-dimensional per-stock embeddings, which were concatenated with indicator and sentiment values to form the RL observation vector. Six algorithms were trained in a Gymnasium-compatible environment: PPO, SAC, TD3, A2C, DDPG, and an Ensemble combining all five. Monte Carlo stress testing ran 1,000 paths over eight historical crisis scenarios. A FedProx federated system used DP-SGD at epsilon = 8.0 across four sector clients for 50 rounds.</w:t>
      </w:r>
    </w:p>
    <w:p>
      <w:pPr>
        <w:pStyle w:val="BodyText"/>
      </w:pPr>
      <w:r>
        <w:t xml:space="preserve">The Ensemble agent achieved a backtested Sharpe Ratio of 0.8316 and an annualised return of 16.75 percent on the 2024 to 2025 test set. Over 247 trading days of live-window evaluation (April 2025 to March 2026), the portfolio returned 8.27 percent (Sharpe 0.2996 on the shorter window) against 0.65 percent for the NIFTY 50 index and 4.96 percent for a fixed deposit baseline. The federated model reached a global Sharpe of 0.729. Stress test survival rates ranged from 76.4 percent under the Flash Crash down to 0.9 percent under the Dot-Com 2000 scenario.</w:t>
      </w:r>
    </w:p>
    <w:p>
      <w:pPr>
        <w:pStyle w:val="BodyText"/>
      </w:pPr>
      <w:r>
        <w:t xml:space="preserve">Taken together, the results suggest that combining RL, graph modelling, sentiment signals, and federated training yields real improvement over the passive benchmark for Indian equities. The present work also confirms that privacy-preserving collaborative training is feasible at this scale, though the system remains a research platform rather than a deployment-ready trading tool.</w:t>
      </w:r>
    </w:p>
    <w:p>
      <w:pPr>
        <w:pStyle w:val="BodyText"/>
      </w:pPr>
      <w:r>
        <w:rPr>
          <w:b/>
          <w:bCs/>
        </w:rPr>
        <w:t xml:space="preserve">Keywords:</w:t>
      </w:r>
      <w:r>
        <w:t xml:space="preserve"> </w:t>
      </w:r>
      <w:r>
        <w:t xml:space="preserve">Reinforcement Learning, Portfolio Optimisation, Graph Neural Networks, NIFTY 50, Federated Learning, Sentiment Analysis</w:t>
      </w:r>
    </w:p>
    <w:p>
      <w:r>
        <w:pict>
          <v:rect style="width:0;height:1.5pt" o:hralign="center" o:hrstd="t" o:hr="t"/>
        </w:pict>
      </w:r>
    </w:p>
    <w:bookmarkEnd w:id="1"/>
    <w:bookmarkEnd w:id="2"/>
    <w:p>
      <w:r>
        <w:br w:type="page"/>
      </w:r>
    </w:p>
    <w:bookmarkStart w:id="3" w:name="chapter-1-introduction"/>
    <w:p>
      <w:pPr>
        <w:pStyle w:val="Heading1"/>
      </w:pPr>
      <w:r>
        <w:t xml:space="preserve">Chapter 1 — Introduction</w:t>
      </w:r>
    </w:p>
    <w:p>
      <w:r>
        <w:pict>
          <v:rect style="width:0;height:1.5pt" o:hralign="center" o:hrstd="t" o:hr="t"/>
        </w:pict>
      </w:r>
    </w:p>
    <w:bookmarkEnd w:id="3"/>
    <w:bookmarkStart w:id="4" w:name="chapter-1"/>
    <w:p>
      <w:pPr>
        <w:pStyle w:val="Heading1"/>
      </w:pPr>
      <w:r>
        <w:t xml:space="preserve">CHAPTER 1</w:t>
      </w:r>
    </w:p>
    <w:bookmarkEnd w:id="4"/>
    <w:bookmarkStart w:id="5" w:name="introduction"/>
    <w:p>
      <w:pPr>
        <w:pStyle w:val="Heading1"/>
      </w:pPr>
      <w:r>
        <w:t xml:space="preserve">INTRODUCTION</w:t>
      </w:r>
    </w:p>
    <w:p>
      <w:r>
        <w:pict>
          <v:rect style="width:0;height:1.5pt" o:hralign="center" o:hrstd="t" o:hr="t"/>
        </w:pict>
      </w:r>
    </w:p>
    <w:bookmarkStart w:id="6" w:name="background-of-the-work"/>
    <w:p>
      <w:pPr>
        <w:pStyle w:val="Heading2"/>
      </w:pPr>
      <w:r>
        <w:t xml:space="preserve">1.1 Background of the Work</w:t>
      </w:r>
    </w:p>
    <w:p>
      <w:pPr>
        <w:pStyle w:val="FirstParagraph"/>
      </w:pPr>
      <w:r>
        <w:t xml:space="preserve">The National Stock Exchange of India is among the highest-volume equity exchanges in Asia, and its benchmark index, the NIFTY 50, tracks fifty large-cap companies spread across thirteen sectors of the Indian economy. [2] Together these companies account for more than sixty percent of total NSE trading value by market capitalisation. For any investor with Indian equity exposure, this index acts as the primary reference point, whether held directly or simply used as a comparison benchmark.</w:t>
      </w:r>
    </w:p>
    <w:p>
      <w:pPr>
        <w:pStyle w:val="BodyText"/>
      </w:pPr>
      <w:r>
        <w:t xml:space="preserve">Managing a NIFTY 50 portfolio is not just about picking which stocks to hold. The harder question is how much capital should go into each stock at any given point, and how those weights should shift as conditions change. This is the portfolio allocation problem. Getting it right consistently across bull runs, sideways stretches, and sudden corrections is something even experienced fund managers struggle with. Treating it as a solved problem would therefore be a mistake.</w:t>
      </w:r>
    </w:p>
    <w:p>
      <w:pPr>
        <w:pStyle w:val="BodyText"/>
      </w:pPr>
      <w:r>
        <w:t xml:space="preserve">The theoretical starting point for this problem comes from Markowitz’s 1952 paper. [1] He showed that if expected returns and the covariance of a set of assets are known, mathematics can find the allocation that minimises risk for any given return level. Every such solution traces out the efficient frontier, which became the central idea in modern portfolio theory. The framework is still taught in every finance course today.</w:t>
      </w:r>
    </w:p>
    <w:p>
      <w:pPr>
        <w:pStyle w:val="BodyText"/>
      </w:pPr>
      <w:r>
        <w:t xml:space="preserve">But the assumptions underneath it break down badly in real markets. Stock returns are assumed to follow a normal distribution. Indian equities do not behave that way. Sharp single-day drops and fast recoveries occur far more often than any normal distribution predicts, especially around election results, RBI rate decisions, or sector-level regulatory announcements. [4] Also, correlations between stocks are treated as fixed over time. They are not. During a sell-off, stocks that had been moving independently suddenly start moving together. That is precisely when diversification is supposed to protect the portfolio, and that is exactly when the model fails.</w:t>
      </w:r>
    </w:p>
    <w:p>
      <w:pPr>
        <w:pStyle w:val="BodyText"/>
      </w:pPr>
      <w:r>
        <w:t xml:space="preserve">A second problem compounds this. For fifty stocks, computing a full covariance matrix means estimating 1225 pairwise correlations. Small estimation errors, which are unavoidable when using historical data, can shift the computed optimal weights dramatically. So the method is too sensitive to input noise to be reliable outside controlled settings.</w:t>
      </w:r>
    </w:p>
    <w:p>
      <w:pPr>
        <w:pStyle w:val="BodyText"/>
      </w:pPr>
      <w:r>
        <w:t xml:space="preserve">Research has therefore moved toward learning-based methods. Reinforcement learning in particular has been studied for portfolio management. [9] An RL agent does not need a pre-specified return model. It interacts with historical data, makes allocation decisions, observes what happens to the portfolio, and updates its policy over time. Run over financial time series, this process can find allocation strategies that adapt to changing conditions rather than assuming stability. Also, the environment can be designed to enforce constraints like position limits and drawdown controls directly, which is difficult to handle cleanly in classical optimisation.</w:t>
      </w:r>
    </w:p>
    <w:p>
      <w:pPr>
        <w:pStyle w:val="BodyText"/>
      </w:pPr>
      <w:r>
        <w:t xml:space="preserve">Price data and technical indicators still leave out two things that matter. The first is company relationships. Stocks in the same sector move together when sector news breaks. A change in banking regulation hits HDFCBANK, ICICIBANK, KOTAKBANK, and AXISBANK in similar ways at the same time. Supply chain links are more specific. If raw material costs rise for TATASTEEL, that flows into the margins of manufacturers like MARUTI SUZUKI. Treating each stock as an independent series captures none of this. Graph neural networks offer a way to represent these relationships formally. [19, 20] A graph where nodes are stocks and edges encode sector membership, supply chain links, or return correlations lets a network learn representations that carry relational context alongside individual price history.</w:t>
      </w:r>
    </w:p>
    <w:p>
      <w:pPr>
        <w:pStyle w:val="BodyText"/>
      </w:pPr>
      <w:r>
        <w:t xml:space="preserve">The second missing piece is news sentiment. A large share of market-moving information arrives as text before prices reflect it. Earnings calls, central bank statements, regulatory changes, governance disclosures, all of these shift investor behaviour before any price chart shows a clear signal. Pre-trained financial language models like FinBERT [26] can read news headlines and return a sentiment score from negative to positive for each company on a given day. Feeding that into the portfolio model gives it access to a signal that price history simply cannot provide.</w:t>
      </w:r>
    </w:p>
    <w:p>
      <w:pPr>
        <w:pStyle w:val="BodyText"/>
      </w:pPr>
      <w:r>
        <w:t xml:space="preserve">A further question is how multiple institutions could jointly train better models without sharing sensitive data. A fund focused on banking stocks and one focused on technology would both benefit from a shared general model. But neither can hand over holdings or transaction history. Federated learning [28] addresses this by letting each participant train locally and share only model weight updates. A central server aggregates those updates into a global model that performs better than what any single participant could produce alone, and never sees raw data from any client.</w:t>
      </w:r>
    </w:p>
    <w:p>
      <w:pPr>
        <w:pStyle w:val="BodyText"/>
      </w:pPr>
      <w:r>
        <w:t xml:space="preserve">These four ideas, namely RL-based allocation, graph-based relational modelling, news sentiment signals, and federated learning, each have their own research literature. No open system has put all four together for the NIFTY 50 and shown the results through an interface that a non-specialist can actually use. FINQUANT-NEXUS is the attempt to build that system.</w:t>
      </w:r>
    </w:p>
    <w:p>
      <w:r>
        <w:pict>
          <v:rect style="width:0;height:1.5pt" o:hralign="center" o:hrstd="t" o:hr="t"/>
        </w:pict>
      </w:r>
    </w:p>
    <w:bookmarkEnd w:id="5"/>
    <w:bookmarkStart w:id="7" w:name="motivation"/>
    <w:p>
      <w:pPr>
        <w:pStyle w:val="Heading2"/>
      </w:pPr>
      <w:r>
        <w:t xml:space="preserve">1.2 Motivation</w:t>
      </w:r>
    </w:p>
    <w:p>
      <w:pPr>
        <w:pStyle w:val="FirstParagraph"/>
      </w:pPr>
      <w:r>
        <w:t xml:space="preserve">One observation shaped this project more than anything else. After 2020, retail participation in Indian equity markets grew faster than at any earlier point. SEBI data shows active demat accounts went from around 40 million in 2019 to over 140 million by 2024. [3] Most of these are first-time investors with no formal finance background. They make decisions based on news tips, social media, or simple heuristics. None of those are reliable for managing a diversified equity portfolio across different market conditions over time.</w:t>
      </w:r>
    </w:p>
    <w:p>
      <w:pPr>
        <w:pStyle w:val="BodyText"/>
      </w:pPr>
      <w:r>
        <w:t xml:space="preserve">At the same time, research tools available for studying portfolio optimisation on Indian markets remain fragmented. Methods like RL-based allocation, graph-based stock modelling, and federated learning all appear in academic papers. But there is no open platform that implements them together for NIFTY 50 stocks, trains them on real data, and shows outputs through a working interface.</w:t>
      </w:r>
    </w:p>
    <w:p>
      <w:pPr>
        <w:pStyle w:val="BodyText"/>
      </w:pPr>
      <w:r>
        <w:t xml:space="preserve">That gap is what motivated this work. FINQUANT-NEXUS is not a trading product. It is a research and demonstration platform. The goal is to show what becomes possible when these components are integrated for the Indian market context, and to make the outputs readable not just by quantitative researchers but by anyone trying to understand what an AI-driven portfolio system actually does.</w:t>
      </w:r>
    </w:p>
    <w:p>
      <w:r>
        <w:pict>
          <v:rect style="width:0;height:1.5pt" o:hralign="center" o:hrstd="t" o:hr="t"/>
        </w:pict>
      </w:r>
    </w:p>
    <w:bookmarkEnd w:id="6"/>
    <w:bookmarkStart w:id="8" w:name="problem-statement"/>
    <w:p>
      <w:pPr>
        <w:pStyle w:val="Heading2"/>
      </w:pPr>
      <w:r>
        <w:t xml:space="preserve">1.3 Problem Statement</w:t>
      </w:r>
    </w:p>
    <w:p>
      <w:pPr>
        <w:pStyle w:val="FirstParagraph"/>
      </w:pPr>
      <w:r>
        <w:t xml:space="preserve">Most existing approaches to equity portfolio management for Indian markets address one piece of the problem in isolation. RL systems for portfolio allocation typically treat each stock as an independent input, ignoring the sector and supply chain relationships between companies. Graph-based models can encode those relationships but do not learn dynamic portfolio allocation policies. Sentiment tools extract signals from news text but have no direct connection to portfolio weight decisions. Federated learning systems for finance exist in literature, but not in the context of portfolio optimisation with Indian sector-based clients.</w:t>
      </w:r>
    </w:p>
    <w:p>
      <w:pPr>
        <w:pStyle w:val="BodyText"/>
      </w:pPr>
      <w:r>
        <w:t xml:space="preserve">The specific gap is this. No available system, open or commercial, integrates all four components for the NIFTY 50 stock universe. No system simultaneously models stocks as a multi-relational graph, trains portfolio weights through reinforcement learning on combined price and sentiment inputs, applies differential privacy to sector-based federated training, and presents all of this through an interactive dashboard with stress testing and forward simulation. This integration gap is what the present work addresses.</w:t>
      </w:r>
    </w:p>
    <w:p>
      <w:r>
        <w:pict>
          <v:rect style="width:0;height:1.5pt" o:hralign="center" o:hrstd="t" o:hr="t"/>
        </w:pict>
      </w:r>
    </w:p>
    <w:bookmarkEnd w:id="7"/>
    <w:bookmarkStart w:id="9" w:name="objectives-of-the-work"/>
    <w:p>
      <w:pPr>
        <w:pStyle w:val="Heading2"/>
      </w:pPr>
      <w:r>
        <w:t xml:space="preserve">1.4 Objectives of the Work</w:t>
      </w:r>
    </w:p>
    <w:p>
      <w:pPr>
        <w:pStyle w:val="FirstParagraph"/>
      </w:pPr>
      <w:r>
        <w:t xml:space="preserve">The work was structured around seven objectives. Each one corresponds to a specific module in the FINQUANT-NEXUS system:</w:t>
      </w:r>
    </w:p>
    <w:p>
      <w:pPr>
        <w:numPr>
          <w:ilvl w:val="0"/>
          <w:numId w:val="1001"/>
        </w:numPr>
      </w:pPr>
      <w:r>
        <w:t xml:space="preserve">To collect and preprocess approximately eleven years of daily price and volume data for forty-four NIFTY 50 constituent stocks (January 2015 to December 2025) using the Yahoo Finance API, and compute twenty-one technical indicators as the primary input feature set.</w:t>
      </w:r>
    </w:p>
    <w:p>
      <w:pPr>
        <w:numPr>
          <w:ilvl w:val="0"/>
          <w:numId w:val="1001"/>
        </w:numPr>
      </w:pPr>
      <w:r>
        <w:t xml:space="preserve">To build a news sentiment pipeline using the ProsusAI FinBERT model that produces a daily sentiment score in the range of minus one to plus one for each stock, with SQLite-based caching to support live dashboard updates.</w:t>
      </w:r>
    </w:p>
    <w:p>
      <w:pPr>
        <w:numPr>
          <w:ilvl w:val="0"/>
          <w:numId w:val="1001"/>
        </w:numPr>
      </w:pPr>
      <w:r>
        <w:t xml:space="preserve">To construct a multi-relational stock graph with three edge types (sector membership, supply chain linkage, and 60-day rolling return correlation), and train a Temporal Graph Attention Network (T-GAT) to generate thirty-two dimensional stock embeddings that capture both structural relationships and temporal dynamics.</w:t>
      </w:r>
    </w:p>
    <w:p>
      <w:pPr>
        <w:numPr>
          <w:ilvl w:val="0"/>
          <w:numId w:val="1001"/>
        </w:numPr>
      </w:pPr>
      <w:r>
        <w:t xml:space="preserve">To design a Gymnasium-compatible reinforcement learning environment with a Sharpe-ratio-based reward function and hard constraints on maximum position size (12%), stop-loss per trade (minus 3%), and portfolio-wide maximum drawdown (minus 12%), and to train five RL algorithms (PPO, SAC, TD3, A2C, and DDPG) along with a meta-level Ensemble agent that averages the outputs of all five.</w:t>
      </w:r>
    </w:p>
    <w:p>
      <w:pPr>
        <w:numPr>
          <w:ilvl w:val="0"/>
          <w:numId w:val="1001"/>
        </w:numPr>
      </w:pPr>
      <w:r>
        <w:t xml:space="preserve">To implement a Monte Carlo stress testing framework that runs 1000 simulation paths under eight historical crisis scenarios, reporting Value at Risk at the 95th percentile, Conditional Value at Risk, and portfolio survival rate for each scenario.</w:t>
      </w:r>
    </w:p>
    <w:p>
      <w:pPr>
        <w:numPr>
          <w:ilvl w:val="0"/>
          <w:numId w:val="1001"/>
        </w:numPr>
      </w:pPr>
      <w:r>
        <w:t xml:space="preserve">To design and simulate a federated learning system using FedProx aggregation and DP-SGD differential privacy across four sector-based clients (Banking and Finance, IT and Telecom, Pharma and FMCG, Energy and Auto and Others), with privacy budget epsilon equal to 8.0 and delta equal to 0.00001 across 50 communication rounds.</w:t>
      </w:r>
    </w:p>
    <w:p>
      <w:pPr>
        <w:numPr>
          <w:ilvl w:val="0"/>
          <w:numId w:val="1001"/>
        </w:numPr>
      </w:pPr>
      <w:r>
        <w:t xml:space="preserve">To develop a FastAPI REST backend and a React-based web dashboard with eight interactive pages (Portfolio Analytics, RL Agent Control, Sentiment Analysis, Graph Visualisation, Stress Testing, Federated Learning, Data Pipeline, and Future Prediction) that present system outputs in real time.</w:t>
      </w:r>
    </w:p>
    <w:p>
      <w:pPr>
        <w:pStyle w:val="FirstParagraph"/>
      </w:pPr>
      <w:r>
        <w:t xml:space="preserve">These objectives cover the full pipeline from raw data collection to interactive result presentation. Each one maps directly to a module in the FINQUANT-NEXUS system.</w:t>
      </w:r>
    </w:p>
    <w:p>
      <w:r>
        <w:pict>
          <v:rect style="width:0;height:1.5pt" o:hralign="center" o:hrstd="t" o:hr="t"/>
        </w:pict>
      </w:r>
    </w:p>
    <w:bookmarkEnd w:id="8"/>
    <w:bookmarkStart w:id="10" w:name="scope-of-the-work"/>
    <w:p>
      <w:pPr>
        <w:pStyle w:val="Heading2"/>
      </w:pPr>
      <w:r>
        <w:t xml:space="preserve">1.5 Scope of the Work</w:t>
      </w:r>
    </w:p>
    <w:p>
      <w:pPr>
        <w:pStyle w:val="FirstParagraph"/>
      </w:pPr>
      <w:r>
        <w:t xml:space="preserve">In this work, the design, implementation, and evaluation of FINQUANT-NEXUS covers a locally deployed simulation system. The stock universe is forty-four NIFTY 50 constituent stocks for which a complete price history was available through the Yahoo Finance API. Six index constituents were excluded because of incomplete data. The dataset spans January 2015 to December 2025, divided into training (2015 to 2021), validation (2022 to 2023), and test (2024 to 2025) periods.</w:t>
      </w:r>
    </w:p>
    <w:p>
      <w:pPr>
        <w:pStyle w:val="BodyText"/>
      </w:pPr>
      <w:r>
        <w:t xml:space="preserve">Everything runs on a single local machine. There is no brokerage connection and no real-money execution. All portfolio performance figures in this dissertation come from historical simulation. Transaction costs are modelled at 0.1% per trade and slippage at 0.05%. Market impact and bid-ask spread are not modelled.</w:t>
      </w:r>
    </w:p>
    <w:p>
      <w:pPr>
        <w:pStyle w:val="BodyText"/>
      </w:pPr>
      <w:r>
        <w:t xml:space="preserve">For the federated learning module, four sector clients are simulated on the same physical machine with logically separated data. Real network distribution and actual inter-institution communication are not part of this work.</w:t>
      </w:r>
    </w:p>
    <w:p>
      <w:r>
        <w:pict>
          <v:rect style="width:0;height:1.5pt" o:hralign="center" o:hrstd="t" o:hr="t"/>
        </w:pict>
      </w:r>
    </w:p>
    <w:p>
      <w:r>
        <w:pict>
          <v:rect style="width:0;height:1.5pt" o:hralign="center" o:hrstd="t" o:hr="t"/>
        </w:pict>
      </w:r>
    </w:p>
    <w:bookmarkEnd w:id="9"/>
    <w:bookmarkEnd w:id="10"/>
    <w:p>
      <w:r>
        <w:br w:type="page"/>
      </w:r>
    </w:p>
    <w:bookmarkStart w:id="11" w:name="chapter-2-literature-review"/>
    <w:p>
      <w:pPr>
        <w:pStyle w:val="Heading1"/>
      </w:pPr>
      <w:r>
        <w:t xml:space="preserve">Chapter 2 — Literature Review</w:t>
      </w:r>
    </w:p>
    <w:p>
      <w:r>
        <w:pict>
          <v:rect style="width:0;height:1.5pt" o:hralign="center" o:hrstd="t" o:hr="t"/>
        </w:pict>
      </w:r>
    </w:p>
    <w:bookmarkEnd w:id="11"/>
    <w:bookmarkStart w:id="12" w:name="chapter-2"/>
    <w:p>
      <w:pPr>
        <w:pStyle w:val="Heading1"/>
      </w:pPr>
      <w:r>
        <w:t xml:space="preserve">CHAPTER 2</w:t>
      </w:r>
    </w:p>
    <w:bookmarkEnd w:id="12"/>
    <w:bookmarkStart w:id="13" w:name="literature-review"/>
    <w:p>
      <w:pPr>
        <w:pStyle w:val="Heading1"/>
      </w:pPr>
      <w:r>
        <w:t xml:space="preserve">LITERATURE REVIEW</w:t>
      </w:r>
    </w:p>
    <w:p>
      <w:r>
        <w:pict>
          <v:rect style="width:0;height:1.5pt" o:hralign="center" o:hrstd="t" o:hr="t"/>
        </w:pict>
      </w:r>
    </w:p>
    <w:p>
      <w:pPr>
        <w:pStyle w:val="FirstParagraph"/>
      </w:pPr>
      <w:r>
        <w:t xml:space="preserve">This chapter surveys existing research across six technical areas that form the foundation of FINQUANT-NEXUS. These are classical portfolio optimisation, deep reinforcement learning applied to finance, graph neural networks for stock market modelling, financial sentiment analysis, federated learning in financial systems, and Monte Carlo methods for risk management. Within each area, the focus stays on the one or two papers whose methods or findings are most directly connected to design decisions made in this dissertation. Supporting work is referenced where it provides necessary context. The chapter closes with a research gap analysis and a comparison table.</w:t>
      </w:r>
    </w:p>
    <w:p>
      <w:r>
        <w:pict>
          <v:rect style="width:0;height:1.5pt" o:hralign="center" o:hrstd="t" o:hr="t"/>
        </w:pict>
      </w:r>
    </w:p>
    <w:bookmarkStart w:id="14" w:name="classical-portfolio-optimisation"/>
    <w:p>
      <w:pPr>
        <w:pStyle w:val="Heading2"/>
      </w:pPr>
      <w:r>
        <w:t xml:space="preserve">2.1 Classical Portfolio Optimisation</w:t>
      </w:r>
    </w:p>
    <w:p>
      <w:pPr>
        <w:pStyle w:val="FirstParagraph"/>
      </w:pPr>
      <w:r>
        <w:t xml:space="preserve">Before 1952, diversification was investment practice based on instinct. Practitioners knew that holding multiple assets was safer than holding one, but could not say precisely how much safer, or how to find the best possible combination. Markowitz changed that in 1952. [1] His contribution was to show that portfolio selection is a constrained mathematical optimisation problem, and to give it a precise formulation that anyone could actually compute.</w:t>
      </w:r>
    </w:p>
    <w:p>
      <w:pPr>
        <w:pStyle w:val="BodyText"/>
      </w:pPr>
      <w:r>
        <w:t xml:space="preserve">The core insight is that portfolio risk, measured as variance of returns, is not the weighted average of individual asset variances. It depends on how each asset’s returns move relative to every other. When two assets tend to move in opposite directions, holding both lowers total portfolio variance below what either asset produces alone. Markowitz encoded this in the covariance matrix. Given N assets, each with an expected return and pairwise covariances with all others, the minimum-variance portfolio for any target return level is found by solving a quadratic program. Solving this across all feasible return targets traces the efficient frontier, which is the set of portfolios that cannot be improved without accepting greater risk.</w:t>
      </w:r>
    </w:p>
    <w:p>
      <w:pPr>
        <w:pStyle w:val="BodyText"/>
      </w:pPr>
      <w:r>
        <w:t xml:space="preserve">The practical effect was real. It gave diversification a mathematical proof rather than an intuition, and defined the risk-return trade-off in computable terms. The Sharpe ratio and the entire quantitative portfolio management field trace back directly to this 1952 formulation.</w:t>
      </w:r>
    </w:p>
    <w:p>
      <w:pPr>
        <w:pStyle w:val="BodyText"/>
      </w:pPr>
      <w:r>
        <w:t xml:space="preserve">For real Indian equity markets, the Markowitz framework hits three hard limits that shaped the design of FINQUANT-NEXUS. The first is the distributional assumption. Asset returns are assumed to be normally distributed, so mean and variance describe the distribution completely. NIFTY 50 returns do not follow a normal distribution. Single-day drops of 5 to 10 percent driven by RBI policy decisions, SEBI regulatory changes, or global risk-off events happen far more often than any normal distribution would predict. These tail events are exactly the ones that matter most for risk, and the framework cannot handle them properly. In simple terms, the model was not built for markets like India’s.</w:t>
      </w:r>
    </w:p>
    <w:p>
      <w:pPr>
        <w:pStyle w:val="BodyText"/>
      </w:pPr>
      <w:r>
        <w:t xml:space="preserve">The second limit is input sensitivity. For 44 stocks, the covariance matrix needs 946 unique pairwise values estimated from historical data. Small estimation errors compound into large shifts in computed weights. A 1 percent error in one correlation can move optimal weights by 5 percent or more in a concentrated portfolio, making the output unreliable in practice.</w:t>
      </w:r>
    </w:p>
    <w:p>
      <w:pPr>
        <w:pStyle w:val="BodyText"/>
      </w:pPr>
      <w:r>
        <w:t xml:space="preserve">Third, and most serious, is stationarity. The efficient frontier is computed once, using fixed historical estimates. It does not update as markets change. During the 2020 COVID crash and the 2022 rate hike cycle, correlations between NIFTY 50 stocks shifted sharply. Stocks that moved independently under normal conditions suddenly moved together in the sell-off. A static allocation computed before the crisis had no way to respond to this.</w:t>
      </w:r>
    </w:p>
    <w:p>
      <w:pPr>
        <w:pStyle w:val="BodyText"/>
      </w:pPr>
      <w:r>
        <w:t xml:space="preserve">FINQUANT-NEXUS addresses all three. The RL environment learns allocation policies from market interactions rather than from a fixed return and covariance model, so it adjusts to non-stationarity. The T-GAT captures structural stock relationships that covariance matrices miss. The stress testing module builds non-normal tail scenarios calibrated to actual Indian and global crises. The Sharpe ratio stays as the central evaluation metric and reward signal, preserving the connection to Markowitz’s risk-adjusted return framework while removing the restrictive assumptions underneath it.</w:t>
      </w:r>
    </w:p>
    <w:p>
      <w:r>
        <w:pict>
          <v:rect style="width:0;height:1.5pt" o:hralign="center" o:hrstd="t" o:hr="t"/>
        </w:pict>
      </w:r>
    </w:p>
    <w:bookmarkEnd w:id="13"/>
    <w:bookmarkStart w:id="15" w:name="deep-reinforcement-learning-in-finance"/>
    <w:p>
      <w:pPr>
        <w:pStyle w:val="Heading2"/>
      </w:pPr>
      <w:r>
        <w:t xml:space="preserve">2.2 Deep Reinforcement Learning in Finance</w:t>
      </w:r>
    </w:p>
    <w:p>
      <w:pPr>
        <w:pStyle w:val="FirstParagraph"/>
      </w:pPr>
      <w:r>
        <w:t xml:space="preserve">Reinforcement learning treats portfolio management as a sequential decision problem rather than a one-shot optimisation. An agent observes the current state of the market and portfolio, selects a portfolio weight allocation, receives a reward based on the resulting performance, and repeats. Through interaction with historical data, the agent learns a policy, which is a mapping from states to actions, that maximises cumulative risk-adjusted return. No pre-specified return or covariance model is needed. The agent finds what works by trying and failing on actual market data.</w:t>
      </w:r>
    </w:p>
    <w:p>
      <w:pPr>
        <w:pStyle w:val="BodyText"/>
      </w:pPr>
      <w:r>
        <w:rPr>
          <w:b/>
          <w:bCs/>
        </w:rPr>
        <w:t xml:space="preserve">Proximal Policy Optimization (PPO), Schulman et al., 2017 [13]</w:t>
      </w:r>
    </w:p>
    <w:p>
      <w:pPr>
        <w:pStyle w:val="BodyText"/>
      </w:pPr>
      <w:r>
        <w:t xml:space="preserve">The most practically useful contribution to stable policy gradient training came from Schulman and collaborators in 2017. Policy gradient methods had a known instability problem. Gradient steps in the wrong direction could collapse a well-trained policy in a single update because no constraint existed on step size. Trust Region Policy Optimization (TRPO) fixed this by imposing a hard limit on policy change per update, which stabilised training but required expensive second-order optimisation that was difficult to implement and tune.</w:t>
      </w:r>
    </w:p>
    <w:p>
      <w:pPr>
        <w:pStyle w:val="BodyText"/>
      </w:pPr>
      <w:r>
        <w:t xml:space="preserve">PPO solved the same problem with a simpler mechanism. It uses a clipped surrogate objective. For each gradient step, a ratio r_t measures how much the new policy differs from the old one for each sampled action. The objective clips this ratio to the range [1 minus epsilon, 1 plus epsilon], preventing the policy from moving too aggressively in either direction:</w:t>
      </w:r>
    </w:p>
    <w:p>
      <w:pPr>
        <w:pStyle w:val="BodyText"/>
      </w:pPr>
      <m:oMathPara>
        <m:oMathParaPr>
          <m:jc m:val="center"/>
        </m:oMathParaPr>
        <m:oMath>
          <m:sSub>
            <m:e>
              <m:r>
                <m:t>L</m:t>
              </m:r>
            </m:e>
            <m:sub>
              <m:r>
                <m:rPr>
                  <m:nor/>
                  <m:sty m:val="p"/>
                </m:rPr>
                <m:t>CLIP</m:t>
              </m:r>
            </m:sub>
          </m:sSub>
          <m:r>
            <m:rPr>
              <m:sty m:val="p"/>
            </m:rPr>
            <m:t>=</m:t>
          </m:r>
          <m:r>
            <m:rPr>
              <m:scr m:val="double-struck"/>
              <m:sty m:val="p"/>
            </m:rPr>
            <m:t>E</m:t>
          </m:r>
          <m:r>
            <m:t>​</m:t>
          </m:r>
          <m:d>
            <m:dPr>
              <m:begChr m:val="["/>
              <m:sepChr m:val=""/>
              <m:endChr m:val="]"/>
              <m:grow/>
            </m:dPr>
            <m:e>
              <m:r>
                <m:rPr>
                  <m:sty m:val="p"/>
                </m:rPr>
                <m:t>min</m:t>
              </m:r>
              <m:r>
                <m:t>​</m:t>
              </m:r>
              <m:d>
                <m:dPr>
                  <m:begChr m:val="("/>
                  <m:sepChr m:val=""/>
                  <m:endChr m:val=")"/>
                  <m:grow/>
                </m:dPr>
                <m:e>
                  <m:sSub>
                    <m:e>
                      <m:r>
                        <m:t>r</m:t>
                      </m:r>
                    </m:e>
                    <m:sub>
                      <m:r>
                        <m:t>t</m:t>
                      </m:r>
                    </m:sub>
                  </m:sSub>
                  <m:r>
                    <m:rPr>
                      <m:sty m:val="p"/>
                    </m:rPr>
                    <m:t>(</m:t>
                  </m:r>
                  <m:r>
                    <m:t>θ</m:t>
                  </m:r>
                  <m:r>
                    <m:rPr>
                      <m:sty m:val="p"/>
                    </m:rPr>
                    <m:t>)</m:t>
                  </m:r>
                  <m:r>
                    <m:rPr>
                      <m:sty m:val="p"/>
                    </m:rPr>
                    <m:t>⋅</m:t>
                  </m:r>
                  <m:sSub>
                    <m:e>
                      <m:r>
                        <m:t>A</m:t>
                      </m:r>
                    </m:e>
                    <m:sub>
                      <m:r>
                        <m:t>t</m:t>
                      </m:r>
                    </m:sub>
                  </m:sSub>
                  <m:r>
                    <m:rPr>
                      <m:sty m:val="p"/>
                    </m:rPr>
                    <m:t>,</m:t>
                  </m:r>
                  <m:r>
                    <m:t> </m:t>
                  </m:r>
                  <m:r>
                    <m:rPr>
                      <m:nor/>
                      <m:sty m:val="p"/>
                    </m:rPr>
                    <m:t>clip</m:t>
                  </m:r>
                  <m:r>
                    <m:t>​</m:t>
                  </m:r>
                  <m:d>
                    <m:dPr>
                      <m:begChr m:val="("/>
                      <m:sepChr m:val=""/>
                      <m:endChr m:val=")"/>
                      <m:grow/>
                    </m:dPr>
                    <m:e>
                      <m:sSub>
                        <m:e>
                          <m:r>
                            <m:t>r</m:t>
                          </m:r>
                        </m:e>
                        <m:sub>
                          <m:r>
                            <m:t>t</m:t>
                          </m:r>
                        </m:sub>
                      </m:sSub>
                      <m:r>
                        <m:rPr>
                          <m:sty m:val="p"/>
                        </m:rPr>
                        <m:t>(</m:t>
                      </m:r>
                      <m:r>
                        <m:t>θ</m:t>
                      </m:r>
                      <m:r>
                        <m:rPr>
                          <m:sty m:val="p"/>
                        </m:rPr>
                        <m:t>)</m:t>
                      </m:r>
                      <m:r>
                        <m:rPr>
                          <m:sty m:val="p"/>
                        </m:rPr>
                        <m:t>,</m:t>
                      </m:r>
                      <m:r>
                        <m:t> </m:t>
                      </m:r>
                      <m:r>
                        <m:t>1</m:t>
                      </m:r>
                      <m:r>
                        <m:rPr>
                          <m:sty m:val="p"/>
                        </m:rPr>
                        <m:t>−</m:t>
                      </m:r>
                      <m:r>
                        <m:t>ε</m:t>
                      </m:r>
                      <m:r>
                        <m:rPr>
                          <m:sty m:val="p"/>
                        </m:rPr>
                        <m:t>,</m:t>
                      </m:r>
                      <m:r>
                        <m:t> </m:t>
                      </m:r>
                      <m:r>
                        <m:t>1</m:t>
                      </m:r>
                      <m:r>
                        <m:rPr>
                          <m:sty m:val="p"/>
                        </m:rPr>
                        <m:t>+</m:t>
                      </m:r>
                      <m:r>
                        <m:t>ε</m:t>
                      </m:r>
                    </m:e>
                  </m:d>
                  <m:r>
                    <m:rPr>
                      <m:sty m:val="p"/>
                    </m:rPr>
                    <m:t>⋅</m:t>
                  </m:r>
                  <m:sSub>
                    <m:e>
                      <m:r>
                        <m:t>A</m:t>
                      </m:r>
                    </m:e>
                    <m:sub>
                      <m:r>
                        <m:t>t</m:t>
                      </m:r>
                    </m:sub>
                  </m:sSub>
                </m:e>
              </m:d>
            </m:e>
          </m:d>
        </m:oMath>
      </m:oMathPara>
    </w:p>
    <w:p>
      <w:pPr>
        <w:pStyle w:val="FirstParagraph"/>
      </w:pPr>
      <w:r>
        <w:t xml:space="preserve">where A_t is the advantage estimate at time step t and epsilon is typically set to 0.2. The minimum operation ensures that if the unclipped objective would encourage a very large update, the clipped version limits it. This achieves training stability comparable to TRPO without second-order methods, making PPO faster and easier to apply. On benchmark continuous control tasks in MuJoCo, PPO matched or exceeded TRPO, A3C, and DDPG while requiring less computation. It became the standard choice for continuous-action RL applications from 2017 onward.</w:t>
      </w:r>
    </w:p>
    <w:p>
      <w:pPr>
        <w:pStyle w:val="BodyText"/>
      </w:pPr>
      <w:r>
        <w:t xml:space="preserve">In FINQUANT-NEXUS, PPO is one of five RL algorithms trained in the Gymnasium-compatible portfolio environment. Its on-policy nature, meaning it only learns from data collected by the current policy version, makes it sample-efficient compared to replay-buffer methods. This matters when training data is limited to 1,757 daily sessions from 2015 to 2021. PPO achieved a Sharpe Ratio of 0.7829 and a total return of 15.22% on the 2024 to 2025 held-out test period. Its conservative on-policy behaviour provides a stable baseline against which the off-policy algorithms (SAC, DDPG, TD3) can be compared.</w:t>
      </w:r>
    </w:p>
    <w:p>
      <w:pPr>
        <w:pStyle w:val="BodyText"/>
      </w:pPr>
      <w:r>
        <w:rPr>
          <w:b/>
          <w:bCs/>
        </w:rPr>
        <w:t xml:space="preserve">FinRL, Liu et al., 2021 [17]</w:t>
      </w:r>
    </w:p>
    <w:p>
      <w:pPr>
        <w:pStyle w:val="BodyText"/>
      </w:pPr>
      <w:r>
        <w:t xml:space="preserve">The most directly related prior work to FINQUANT-NEXUS is the FinRL library published by Liu and collaborators in 2021. FinRL was the first open-source framework for applying deep reinforcement learning to financial portfolio management in a standardised way. Its design wraps real market data inside a Gymnasium-compatible environment, implements the same five RL algorithms used in FINQUANT-NEXUS (PPO, SAC, TD3, A2C, DDPG) through Stable-Baselines3, and provides pre-built pipelines for portfolio allocation tasks. On the Dow Jones 30 allocation problem, trained on 2009 to 2020 data and tested over the COVID-19 crash period, the FinRL Ensemble agent achieved an annualised Sharpe Ratio of approximately 0.98, outperforming passive buy-and-hold and classical minimum-variance strategies.</w:t>
      </w:r>
    </w:p>
    <w:p>
      <w:pPr>
        <w:pStyle w:val="BodyText"/>
      </w:pPr>
      <w:r>
        <w:t xml:space="preserve">However, the method did not address several things that matter for this work. FinRL’s observation space contains only price-derived technical indicators. Each stock is treated as an independent time series with no representation of how stocks relate structurally through sector membership or supply chain links. There is no sentiment module and no federated learning component. FinRL is also built and benchmarked entirely on US markets, with no support for NIFTY 50 stocks or Indian market-specific events. FINQUANT-NEXUS extends the FinRL concept into a richer, Indian-market setting. Same environment structure and algorithm set, but with T-GAT graph embeddings and FinBERT sentiment scores added to the observation space, a new federated training framework for sector-based clients, and a full NIFTY 50 dataset covering 2015 to 2025.</w:t>
      </w:r>
    </w:p>
    <w:p>
      <w:r>
        <w:pict>
          <v:rect style="width:0;height:1.5pt" o:hralign="center" o:hrstd="t" o:hr="t"/>
        </w:pict>
      </w:r>
    </w:p>
    <w:bookmarkEnd w:id="14"/>
    <w:bookmarkStart w:id="16" w:name="X3b23422413cd92ab58cdfbd13f16d2039c55bac"/>
    <w:p>
      <w:pPr>
        <w:pStyle w:val="Heading2"/>
      </w:pPr>
      <w:r>
        <w:t xml:space="preserve">2.3 Graph Neural Networks for Stock Market Modelling</w:t>
      </w:r>
    </w:p>
    <w:p>
      <w:pPr>
        <w:pStyle w:val="FirstParagraph"/>
      </w:pPr>
      <w:r>
        <w:t xml:space="preserve">Standard time series models treat each stock as an independent series. But companies are not independent. Stocks in the same sector respond to the same regulatory and macroeconomic events. Supply chain relationships create directed dependencies between companies in different sectors. Return correlations reflect clusters of stocks that behave similarly during market stress. Capturing this relational structure requires modelling graphs, which are networks where nodes are stocks and edges represent the relationships between them.</w:t>
      </w:r>
    </w:p>
    <w:p>
      <w:pPr>
        <w:pStyle w:val="BodyText"/>
      </w:pPr>
      <w:r>
        <w:rPr>
          <w:b/>
          <w:bCs/>
        </w:rPr>
        <w:t xml:space="preserve">Graph Attention Networks, Velickovic et al., 2018 [20]</w:t>
      </w:r>
    </w:p>
    <w:p>
      <w:pPr>
        <w:pStyle w:val="BodyText"/>
      </w:pPr>
      <w:r>
        <w:t xml:space="preserve">The central paper in this area for FINQUANT-NEXUS is the Graph Attention Network proposed by Velickovic and collaborators in 2018. Earlier graph neural network methods, particularly the Graph Convolutional Network of Kipf and Welling (2017), updated each node’s representation by aggregating its neighbours’ features with equal weight. Equal-weight aggregation works when all connections are equally informative, but this fails in stock graphs where some relationships carry far more signal than others. The correlation between HDFCBANK and ICICIBANK during a banking sector event is qualitatively different from the correlation between either of them and a consumer goods stock. So a fixed aggregation scheme does not work here.</w:t>
      </w:r>
    </w:p>
    <w:p>
      <w:pPr>
        <w:pStyle w:val="BodyText"/>
      </w:pPr>
      <w:r>
        <w:t xml:space="preserve">GAT replaces fixed equal weights with learned attention coefficients. For each edge (i, j) in the graph, the model computes a scalar attention score e_ij by applying a shared learnable weight vector a to the concatenation of the transformed feature vectors of nodes i and j:</w:t>
      </w:r>
    </w:p>
    <w:p>
      <w:pPr>
        <w:pStyle w:val="BodyText"/>
      </w:pPr>
      <m:oMathPara>
        <m:oMathParaPr>
          <m:jc m:val="center"/>
        </m:oMathParaPr>
        <m:oMath>
          <m:sSub>
            <m:e>
              <m:r>
                <m:t>e</m:t>
              </m:r>
            </m:e>
            <m:sub>
              <m:r>
                <m:t>i</m:t>
              </m:r>
              <m:r>
                <m:t>j</m:t>
              </m:r>
            </m:sub>
          </m:sSub>
          <m:r>
            <m:rPr>
              <m:sty m:val="p"/>
            </m:rPr>
            <m:t>=</m:t>
          </m:r>
          <m:r>
            <m:rPr>
              <m:nor/>
              <m:sty m:val="p"/>
            </m:rPr>
            <m:t>LeakyReLU</m:t>
          </m:r>
          <m:r>
            <m:t>​</m:t>
          </m:r>
          <m:d>
            <m:dPr>
              <m:begChr m:val="("/>
              <m:sepChr m:val=""/>
              <m:endChr m:val=")"/>
              <m:grow/>
            </m:dPr>
            <m:e>
              <m:sSup>
                <m:e>
                  <m:r>
                    <m:rPr>
                      <m:sty m:val="bi"/>
                    </m:rPr>
                    <m:t>a</m:t>
                  </m:r>
                </m:e>
                <m:sup>
                  <m:r>
                    <m:t>T</m:t>
                  </m:r>
                </m:sup>
              </m:sSup>
              <m:r>
                <m:t>​</m:t>
              </m:r>
              <m:d>
                <m:dPr>
                  <m:begChr m:val="["/>
                  <m:sepChr m:val=""/>
                  <m:endChr m:val="]"/>
                  <m:grow/>
                </m:dPr>
                <m:e>
                  <m:r>
                    <m:t>W</m:t>
                  </m:r>
                  <m:sSub>
                    <m:e>
                      <m:r>
                        <m:t>h</m:t>
                      </m:r>
                    </m:e>
                    <m:sub>
                      <m:r>
                        <m:t>i</m:t>
                      </m:r>
                    </m:sub>
                  </m:sSub>
                  <m:r>
                    <m:t> </m:t>
                  </m:r>
                  <m:d>
                    <m:dPr>
                      <m:begChr m:val="∥"/>
                      <m:sepChr m:val=""/>
                      <m:endChr m:val=""/>
                      <m:grow/>
                    </m:dPr>
                    <m:e>
                      <m:r>
                        <m:t> </m:t>
                      </m:r>
                      <m:r>
                        <m:t>W</m:t>
                      </m:r>
                      <m:sSub>
                        <m:e>
                          <m:r>
                            <m:t>h</m:t>
                          </m:r>
                        </m:e>
                        <m:sub>
                          <m:r>
                            <m:t>j</m:t>
                          </m:r>
                        </m:sub>
                      </m:sSub>
                    </m:e>
                  </m:d>
                </m:e>
              </m:d>
            </m:e>
          </m:d>
        </m:oMath>
      </m:oMathPara>
    </w:p>
    <w:p>
      <w:pPr>
        <w:pStyle w:val="FirstParagraph"/>
      </w:pPr>
      <w:r>
        <w:t xml:space="preserve">These raw scores are normalised across all neighbours of node i using softmax:</w:t>
      </w:r>
    </w:p>
    <w:p>
      <w:pPr>
        <w:pStyle w:val="BodyText"/>
      </w:pPr>
      <m:oMathPara>
        <m:oMathParaPr>
          <m:jc m:val="center"/>
        </m:oMathParaPr>
        <m:oMath>
          <m:sSub>
            <m:e>
              <m:r>
                <m:t>α</m:t>
              </m:r>
            </m:e>
            <m:sub>
              <m:r>
                <m:t>i</m:t>
              </m:r>
              <m:r>
                <m:t>j</m:t>
              </m:r>
            </m:sub>
          </m:sSub>
          <m:r>
            <m:rPr>
              <m:sty m:val="p"/>
            </m:rPr>
            <m:t>=</m:t>
          </m:r>
          <m:f>
            <m:fPr>
              <m:type m:val="bar"/>
            </m:fPr>
            <m:num>
              <m:r>
                <m:rPr>
                  <m:sty m:val="p"/>
                </m:rPr>
                <m:t>exp</m:t>
              </m:r>
              <m:r>
                <m:rPr>
                  <m:sty m:val="p"/>
                </m:rPr>
                <m:t>(</m:t>
              </m:r>
              <m:sSub>
                <m:e>
                  <m:r>
                    <m:t>e</m:t>
                  </m:r>
                </m:e>
                <m:sub>
                  <m:r>
                    <m:t>i</m:t>
                  </m:r>
                  <m:r>
                    <m:t>j</m:t>
                  </m:r>
                </m:sub>
              </m:sSub>
              <m:r>
                <m:rPr>
                  <m:sty m:val="p"/>
                </m:rPr>
                <m:t>)</m:t>
              </m:r>
            </m:num>
            <m:den>
              <m:nary>
                <m:naryPr>
                  <m:chr m:val="∑"/>
                  <m:limLoc m:val="undOvr"/>
                  <m:subHide m:val="off"/>
                  <m:supHide m:val="on"/>
                </m:naryPr>
                <m:sub>
                  <m:r>
                    <m:t>k</m:t>
                  </m:r>
                  <m:r>
                    <m:rPr>
                      <m:sty m:val="p"/>
                    </m:rPr>
                    <m:t>∈</m:t>
                  </m:r>
                  <m:sSub>
                    <m:e>
                      <m:r>
                        <m:rPr>
                          <m:scr m:val="script"/>
                          <m:sty m:val="p"/>
                        </m:rPr>
                        <m:t>N</m:t>
                      </m:r>
                    </m:e>
                    <m:sub>
                      <m:r>
                        <m:t>i</m:t>
                      </m:r>
                    </m:sub>
                  </m:sSub>
                </m:sub>
                <m:sup>
                  <m:r>
                    <m:t>​</m:t>
                  </m:r>
                </m:sup>
                <m:e>
                  <m:r>
                    <m:rPr>
                      <m:sty m:val="p"/>
                    </m:rPr>
                    <m:t>exp</m:t>
                  </m:r>
                </m:e>
              </m:nary>
              <m:r>
                <m:rPr>
                  <m:sty m:val="p"/>
                </m:rPr>
                <m:t>(</m:t>
              </m:r>
              <m:sSub>
                <m:e>
                  <m:r>
                    <m:t>e</m:t>
                  </m:r>
                </m:e>
                <m:sub>
                  <m:r>
                    <m:t>i</m:t>
                  </m:r>
                  <m:r>
                    <m:t>k</m:t>
                  </m:r>
                </m:sub>
              </m:sSub>
              <m:r>
                <m:rPr>
                  <m:sty m:val="p"/>
                </m:rPr>
                <m:t>)</m:t>
              </m:r>
            </m:den>
          </m:f>
        </m:oMath>
      </m:oMathPara>
    </w:p>
    <w:p>
      <w:pPr>
        <w:pStyle w:val="FirstParagraph"/>
      </w:pPr>
      <w:r>
        <w:t xml:space="preserve">The updated representation of node i is then the weighted combination of its neighbours’ transformed features:</w:t>
      </w:r>
    </w:p>
    <w:p>
      <w:pPr>
        <w:pStyle w:val="BodyText"/>
      </w:pPr>
      <m:oMathPara>
        <m:oMathParaPr>
          <m:jc m:val="center"/>
        </m:oMathParaPr>
        <m:oMath>
          <m:sSubSup>
            <m:e>
              <m:r>
                <m:t>h</m:t>
              </m:r>
            </m:e>
            <m:sub>
              <m:r>
                <m:t>i</m:t>
              </m:r>
            </m:sub>
            <m:sup>
              <m:r>
                <m:rPr>
                  <m:sty m:val="p"/>
                </m:rPr>
                <m:t>′</m:t>
              </m:r>
            </m:sup>
          </m:sSubSup>
          <m:r>
            <m:rPr>
              <m:sty m:val="p"/>
            </m:rPr>
            <m:t>=</m:t>
          </m:r>
          <m:r>
            <m:t>σ</m:t>
          </m:r>
          <m:r>
            <m:t>​</m:t>
          </m:r>
          <m:d>
            <m:dPr>
              <m:begChr m:val="("/>
              <m:sepChr m:val=""/>
              <m:endChr m:val=")"/>
              <m:grow/>
            </m:dPr>
            <m:e>
              <m:nary>
                <m:naryPr>
                  <m:chr m:val="∑"/>
                  <m:limLoc m:val="undOvr"/>
                  <m:subHide m:val="off"/>
                  <m:supHide m:val="on"/>
                </m:naryPr>
                <m:sub>
                  <m:r>
                    <m:t>j</m:t>
                  </m:r>
                  <m:r>
                    <m:rPr>
                      <m:sty m:val="p"/>
                    </m:rPr>
                    <m:t>∈</m:t>
                  </m:r>
                  <m:sSub>
                    <m:e>
                      <m:r>
                        <m:rPr>
                          <m:scr m:val="script"/>
                          <m:sty m:val="p"/>
                        </m:rPr>
                        <m:t>N</m:t>
                      </m:r>
                    </m:e>
                    <m:sub>
                      <m:r>
                        <m:t>i</m:t>
                      </m:r>
                    </m:sub>
                  </m:sSub>
                </m:sub>
                <m:sup>
                  <m:r>
                    <m:t>​</m:t>
                  </m:r>
                </m:sup>
                <m:e>
                  <m:sSub>
                    <m:e>
                      <m:r>
                        <m:t>α</m:t>
                      </m:r>
                    </m:e>
                    <m:sub>
                      <m:r>
                        <m:t>i</m:t>
                      </m:r>
                      <m:r>
                        <m:t>j</m:t>
                      </m:r>
                    </m:sub>
                  </m:sSub>
                </m:e>
              </m:nary>
              <m:r>
                <m:rPr>
                  <m:sty m:val="p"/>
                </m:rPr>
                <m:t>⋅</m:t>
              </m:r>
              <m:r>
                <m:t>W</m:t>
              </m:r>
              <m:r>
                <m:rPr>
                  <m:sty m:val="p"/>
                </m:rPr>
                <m:t>⋅</m:t>
              </m:r>
              <m:sSub>
                <m:e>
                  <m:r>
                    <m:t>h</m:t>
                  </m:r>
                </m:e>
                <m:sub>
                  <m:r>
                    <m:t>j</m:t>
                  </m:r>
                </m:sub>
              </m:sSub>
            </m:e>
          </m:d>
        </m:oMath>
      </m:oMathPara>
    </w:p>
    <w:p>
      <w:pPr>
        <w:pStyle w:val="FirstParagraph"/>
      </w:pPr>
      <w:r>
        <w:t xml:space="preserve">Multi-head attention, where K independent attention mechanisms whose outputs are concatenated or averaged, stabilises the learning and increases expressive capacity. On the Cora, Citeseer, and PPI node classification benchmarks, GAT outperformed GCN and several other graph methods. On PPI specifically, GAT achieved 97.3% micro-F1 against 88.1% for GraphSAGE. That is a large gap on a complex multi-label task.</w:t>
      </w:r>
    </w:p>
    <w:p>
      <w:pPr>
        <w:pStyle w:val="BodyText"/>
      </w:pPr>
      <w:r>
        <w:t xml:space="preserve">Two limitations are directly relevant to the stock market use case. The original GAT handles only a single edge type. A stock graph naturally has multiple structurally different relationship types, such as sector co-membership, supply chain links, and statistical return correlations, each carrying different economic meaning. Treating them as a single homogeneous edge set throws away information that distinguishes fundamentally different kinds of stock dependency. Also, standard GAT has no temporal component. Stock relationships and node features change over time, and a single static attention layer cannot capture how the relative importance of one stock’s signal for another shifts across different market regimes.</w:t>
      </w:r>
    </w:p>
    <w:p>
      <w:pPr>
        <w:pStyle w:val="BodyText"/>
      </w:pPr>
      <w:r>
        <w:t xml:space="preserve">The T-GAT model in FINQUANT-NEXUS addresses both directly. Separate graph attention layers are applied for each of the three edge types, namely sector membership (79 edges), supply chain linkage (24 edges), and 60-day rolling return correlation (147 edges), letting the model learn distinct attention patterns for structurally different connections. A GRU temporal encoder then processes the per-timestep node representations to capture how relational importance evolves over time. The output is a 32-dimensional embedding per stock per time step that encodes both structural position in the three-layer relationship graph and temporal co-movement dynamics. These embeddings form one of three components of the RL observation vector.</w:t>
      </w:r>
    </w:p>
    <w:p>
      <w:r>
        <w:pict>
          <v:rect style="width:0;height:1.5pt" o:hralign="center" o:hrstd="t" o:hr="t"/>
        </w:pict>
      </w:r>
    </w:p>
    <w:bookmarkEnd w:id="15"/>
    <w:bookmarkStart w:id="17" w:name="financial-sentiment-analysis"/>
    <w:p>
      <w:pPr>
        <w:pStyle w:val="Heading2"/>
      </w:pPr>
      <w:r>
        <w:t xml:space="preserve">2.4 Financial Sentiment Analysis</w:t>
      </w:r>
    </w:p>
    <w:p>
      <w:pPr>
        <w:pStyle w:val="FirstParagraph"/>
      </w:pPr>
      <w:r>
        <w:t xml:space="preserve">Price data and technical indicators capture what has already happened in the market. A large share of price-relevant information arrives as text, in the form of earnings announcements, central bank statements, sector-level regulatory changes, and corporate governance disclosures, before it appears in price movements. Financial sentiment analysis tries to quantify the directional signal in this text.</w:t>
      </w:r>
    </w:p>
    <w:p>
      <w:pPr>
        <w:pStyle w:val="BodyText"/>
      </w:pPr>
      <w:r>
        <w:rPr>
          <w:b/>
          <w:bCs/>
        </w:rPr>
        <w:t xml:space="preserve">FinBERT, Araci, 2019 [26]</w:t>
      </w:r>
    </w:p>
    <w:p>
      <w:pPr>
        <w:pStyle w:val="BodyText"/>
      </w:pPr>
      <w:r>
        <w:t xml:space="preserve">Araci proposed FinBERT in 2019, and it remains the most important contribution to financial sentiment analysis for this kind of work. The specific implementation used in the proposed system is the ProsusAI/finbert variant hosted on HuggingFace. The base model is BERT (Devlin et al., 2019), a bidirectional transformer pre-trained on 3.3 billion words. BERT processes text bidirectionally, meaning every word’s representation depends on both its left and right context simultaneously, which gives it substantially better sentence-level understanding than unidirectional language models.</w:t>
      </w:r>
    </w:p>
    <w:p>
      <w:pPr>
        <w:pStyle w:val="BodyText"/>
      </w:pPr>
      <w:r>
        <w:t xml:space="preserve">General BERT performs poorly on financial text because the pre-training corpus (Wikipedia and BooksCorpus) builds associations between words and sentiment that do not transfer to financial language. The word</w:t>
      </w:r>
      <w:r>
        <w:t xml:space="preserve"> </w:t>
      </w:r>
      <w:r>
        <w:t xml:space="preserve">“liability”</w:t>
      </w:r>
      <w:r>
        <w:t xml:space="preserve"> </w:t>
      </w:r>
      <w:r>
        <w:t xml:space="preserve">sounds negative in general English but is neutral in a balance sheet context.</w:t>
      </w:r>
      <w:r>
        <w:t xml:space="preserve"> </w:t>
      </w:r>
      <w:r>
        <w:t xml:space="preserve">“Outstanding shares”</w:t>
      </w:r>
      <w:r>
        <w:t xml:space="preserve"> </w:t>
      </w:r>
      <w:r>
        <w:t xml:space="preserve">sounds positive in everyday speech but is a routine accounting term. These mismatches cause general BERT to misclassify financial sentences consistently. Araci fixed this by continuing BERT’s pre-training on 1.8 million financial articles, news and earnings call transcripts, before fine-tuning on the Financial PhraseBank dataset (4,845 financial news sentences annotated by financial professionals as positive, neutral, or negative).</w:t>
      </w:r>
    </w:p>
    <w:p>
      <w:pPr>
        <w:pStyle w:val="BodyText"/>
      </w:pPr>
      <w:r>
        <w:t xml:space="preserve">The accuracy gain was clear. On the Financial PhraseBank test set, FinBERT reached 97.42% accuracy against 88.1% for standard BERT fine-tuned on the same task. Gains were largest on negative sentiment, where domain-specific language consistently confused the general model. For any input headline, FinBERT returns three probability scores, namely P(positive), P(neutral), P(negative). The net sentiment score used in FINQUANT-NEXUS is:</w:t>
      </w:r>
    </w:p>
    <w:p>
      <w:pPr>
        <w:pStyle w:val="BodyText"/>
      </w:pPr>
      <m:oMathPara>
        <m:oMathParaPr>
          <m:jc m:val="center"/>
        </m:oMathParaPr>
        <m:oMath>
          <m:r>
            <m:rPr>
              <m:nor/>
              <m:sty m:val="p"/>
            </m:rPr>
            <m:t>sentiment_score</m:t>
          </m:r>
          <m:r>
            <m:rPr>
              <m:sty m:val="p"/>
            </m:rPr>
            <m:t>=</m:t>
          </m:r>
          <m:r>
            <m:t>P</m:t>
          </m:r>
          <m:r>
            <m:rPr>
              <m:sty m:val="p"/>
            </m:rPr>
            <m:t>(</m:t>
          </m:r>
          <m:r>
            <m:rPr>
              <m:nor/>
              <m:sty m:val="p"/>
            </m:rPr>
            <m:t>positive</m:t>
          </m:r>
          <m:r>
            <m:rPr>
              <m:sty m:val="p"/>
            </m:rPr>
            <m:t>)</m:t>
          </m:r>
          <m:r>
            <m:rPr>
              <m:sty m:val="p"/>
            </m:rPr>
            <m:t>−</m:t>
          </m:r>
          <m:r>
            <m:t>P</m:t>
          </m:r>
          <m:r>
            <m:rPr>
              <m:sty m:val="p"/>
            </m:rPr>
            <m:t>(</m:t>
          </m:r>
          <m:r>
            <m:rPr>
              <m:nor/>
              <m:sty m:val="p"/>
            </m:rPr>
            <m:t>negative</m:t>
          </m:r>
          <m:r>
            <m:rPr>
              <m:sty m:val="p"/>
            </m:rPr>
            <m:t>)</m:t>
          </m:r>
        </m:oMath>
      </m:oMathPara>
    </w:p>
    <w:p>
      <w:pPr>
        <w:pStyle w:val="FirstParagraph"/>
      </w:pPr>
      <w:r>
        <w:t xml:space="preserve">This gives a value in [-1, +1]. The score is computed per stock per day by aggregating FinBERT outputs across all headlines fetched from Google News RSS, Yahoo Finance News, and Indian RSS feeds (Moneycontrol, Economic Times). SQLite caching avoids repeated inference on already-processed headlines, keeping the live dashboard responsive.</w:t>
      </w:r>
    </w:p>
    <w:p>
      <w:pPr>
        <w:pStyle w:val="BodyText"/>
      </w:pPr>
      <w:r>
        <w:t xml:space="preserve">A limitation of this approach is that FinBERT is trained on English text from primarily US and UK financial sources. Indian financial news references different institutions (SEBI instead of SEC, NSE instead of NYSE), covers different event types (NBFC crises, demonetisation, RBI rate cycles), and reflects a different regulatory environment. No publicly available FinBERT variant has been fine-tuned specifically for Indian financial news, so accuracy on Indian market text is likely below the 97.42% benchmark. Beyond that, existing literature mostly uses sentiment scores as standalone features for return prediction or simple trading signals. In this work, the per-stock daily sentiment score is integrated directly into the RL observation vector alongside the 21 technical indicators and the 32-dimensional T-GAT embeddings, so the RL agent learns through training how much weight to give the sentiment signal relative to the other inputs.</w:t>
      </w:r>
    </w:p>
    <w:p>
      <w:r>
        <w:pict>
          <v:rect style="width:0;height:1.5pt" o:hralign="center" o:hrstd="t" o:hr="t"/>
        </w:pict>
      </w:r>
    </w:p>
    <w:bookmarkEnd w:id="16"/>
    <w:bookmarkStart w:id="18" w:name="X6880c38ca98c513ba53cb0a977e6e5015e34396"/>
    <w:p>
      <w:pPr>
        <w:pStyle w:val="Heading2"/>
      </w:pPr>
      <w:r>
        <w:t xml:space="preserve">2.5 Federated Learning in Financial Applications</w:t>
      </w:r>
    </w:p>
    <w:p>
      <w:pPr>
        <w:pStyle w:val="FirstParagraph"/>
      </w:pPr>
      <w:r>
        <w:t xml:space="preserve">Financial institutions deal with a structural collaboration problem. A fund managing banking equities and a fund managing pharmaceutical equities would both benefit from a shared portfolio model trained on both datasets. But neither can share holdings, trade records, or client data. Privacy obligations, regulatory restrictions, and competitive concerns all block centralised training. Federated learning was proposed as a solution to exactly this class of problem.</w:t>
      </w:r>
    </w:p>
    <w:p>
      <w:pPr>
        <w:pStyle w:val="BodyText"/>
      </w:pPr>
      <w:r>
        <w:rPr>
          <w:b/>
          <w:bCs/>
        </w:rPr>
        <w:t xml:space="preserve">FedAvg, McMahan et al., 2017 [28]</w:t>
      </w:r>
    </w:p>
    <w:p>
      <w:pPr>
        <w:pStyle w:val="BodyText"/>
      </w:pPr>
      <w:r>
        <w:t xml:space="preserve">McMahan and collaborators proposed Federated Averaging (FedAvg) in 2017 as the first practical solution to training shared models on distributed private data. The protocol is straightforward. At the start of each communication round, the central server sends the current global model weights w_t to all participating clients. Each client k receives w_t, runs stochastic gradient descent on its own local dataset D_k for E local epochs, and returns its updated local weights w_{t+1}^k, never the raw training data. The server produces the next global model as a weighted average of all client updates:</w:t>
      </w:r>
    </w:p>
    <w:p>
      <w:pPr>
        <w:pStyle w:val="BodyText"/>
      </w:pPr>
      <m:oMathPara>
        <m:oMathParaPr>
          <m:jc m:val="center"/>
        </m:oMathParaPr>
        <m:oMath>
          <m:sSub>
            <m:e>
              <m:r>
                <m:t>w</m:t>
              </m:r>
            </m:e>
            <m:sub>
              <m:r>
                <m:t>t</m:t>
              </m:r>
              <m:r>
                <m:rPr>
                  <m:sty m:val="p"/>
                </m:rPr>
                <m:t>+</m:t>
              </m:r>
              <m:r>
                <m:t>1</m:t>
              </m:r>
            </m:sub>
          </m:sSub>
          <m:r>
            <m:rPr>
              <m:sty m:val="p"/>
            </m:rPr>
            <m:t>=</m:t>
          </m:r>
          <m:nary>
            <m:naryPr>
              <m:chr m:val="∑"/>
              <m:limLoc m:val="undOvr"/>
              <m:subHide m:val="off"/>
              <m:supHide m:val="on"/>
            </m:naryPr>
            <m:sub>
              <m:r>
                <m:t>k</m:t>
              </m:r>
            </m:sub>
            <m:sup>
              <m:r>
                <m:t>​</m:t>
              </m:r>
            </m:sup>
            <m:e>
              <m:f>
                <m:fPr>
                  <m:type m:val="bar"/>
                </m:fPr>
                <m:num>
                  <m:sSub>
                    <m:e>
                      <m:r>
                        <m:t>n</m:t>
                      </m:r>
                    </m:e>
                    <m:sub>
                      <m:r>
                        <m:t>k</m:t>
                      </m:r>
                    </m:sub>
                  </m:sSub>
                </m:num>
                <m:den>
                  <m:r>
                    <m:t>n</m:t>
                  </m:r>
                </m:den>
              </m:f>
            </m:e>
          </m:nary>
          <m:r>
            <m:rPr>
              <m:sty m:val="p"/>
            </m:rPr>
            <m:t>⋅</m:t>
          </m:r>
          <m:sSubSup>
            <m:e>
              <m:r>
                <m:t>w</m:t>
              </m:r>
            </m:e>
            <m:sub>
              <m:r>
                <m:t>t</m:t>
              </m:r>
              <m:r>
                <m:rPr>
                  <m:sty m:val="p"/>
                </m:rPr>
                <m:t>+</m:t>
              </m:r>
              <m:r>
                <m:t>1</m:t>
              </m:r>
            </m:sub>
            <m:sup>
              <m:r>
                <m:t>k</m:t>
              </m:r>
            </m:sup>
          </m:sSubSup>
        </m:oMath>
      </m:oMathPara>
    </w:p>
    <w:p>
      <w:pPr>
        <w:pStyle w:val="FirstParagraph"/>
      </w:pPr>
      <w:r>
        <w:t xml:space="preserve">This cycle repeats for a fixed number of rounds. On MNIST and a language modelling task, McMahan et al. showed that FedAvg reduces required communication rounds by 10 to 100 times compared to sharing a single gradient step per round, while achieving comparable final model accuracy. No raw data leaves any client.</w:t>
      </w:r>
    </w:p>
    <w:p>
      <w:pPr>
        <w:pStyle w:val="BodyText"/>
      </w:pPr>
      <w:r>
        <w:t xml:space="preserve">The critical limitation is the IID assumption built into FedAvg’s convergence guarantees. The algorithm assumes each client’s data is drawn from the same distribution. When this holds, local gradient updates from all clients point toward the same global optimum and averaging them makes sense. In financial applications across different sectors, this assumption fails badly. A banking sector client’s portfolio data has fundamentally different statistical properties from a pharmaceutical sector client’s data. Return distributions, volatility levels, correlation structures, and responses to macroeconomic events all differ. When client data is this heterogeneous, local updates diverge during local training, and the server-side average of diverged updates is a poor model for any individual client.</w:t>
      </w:r>
    </w:p>
    <w:p>
      <w:pPr>
        <w:pStyle w:val="BodyText"/>
      </w:pPr>
      <w:r>
        <w:rPr>
          <w:b/>
          <w:bCs/>
        </w:rPr>
        <w:t xml:space="preserve">FedProx, Li et al., 2020 [29]</w:t>
      </w:r>
    </w:p>
    <w:p>
      <w:pPr>
        <w:pStyle w:val="BodyText"/>
      </w:pPr>
      <w:r>
        <w:t xml:space="preserve">Li and collaborators proposed FedProx in 2020 to fix FedAvg’s failure on heterogeneous data. [29] The modification is a single additional term in each client’s local optimisation objective. Instead of minimising only its own local loss L_k(w), each client minimises:</w:t>
      </w:r>
    </w:p>
    <w:p>
      <w:pPr>
        <w:pStyle w:val="BodyText"/>
      </w:pPr>
      <m:oMathPara>
        <m:oMathParaPr>
          <m:jc m:val="center"/>
        </m:oMathParaPr>
        <m:oMath>
          <m:sSub>
            <m:e>
              <m:r>
                <m:t>h</m:t>
              </m:r>
            </m:e>
            <m:sub>
              <m:r>
                <m:t>k</m:t>
              </m:r>
            </m:sub>
          </m:sSub>
          <m:r>
            <m:rPr>
              <m:sty m:val="p"/>
            </m:rPr>
            <m:t>(</m:t>
          </m:r>
          <m:r>
            <m:t>w</m:t>
          </m:r>
          <m:r>
            <m:rPr>
              <m:sty m:val="p"/>
            </m:rPr>
            <m:t>,</m:t>
          </m:r>
          <m:r>
            <m:t> </m:t>
          </m:r>
          <m:sSub>
            <m:e>
              <m:r>
                <m:t>w</m:t>
              </m:r>
            </m:e>
            <m:sub>
              <m:r>
                <m:t>t</m:t>
              </m:r>
            </m:sub>
          </m:sSub>
          <m:r>
            <m:rPr>
              <m:sty m:val="p"/>
            </m:rPr>
            <m:t>)</m:t>
          </m:r>
          <m:r>
            <m:rPr>
              <m:sty m:val="p"/>
            </m:rPr>
            <m:t>=</m:t>
          </m:r>
          <m:sSub>
            <m:e>
              <m:r>
                <m:t>L</m:t>
              </m:r>
            </m:e>
            <m:sub>
              <m:r>
                <m:t>k</m:t>
              </m:r>
            </m:sub>
          </m:sSub>
          <m:r>
            <m:rPr>
              <m:sty m:val="p"/>
            </m:rPr>
            <m:t>(</m:t>
          </m:r>
          <m:r>
            <m:t>w</m:t>
          </m:r>
          <m:r>
            <m:rPr>
              <m:sty m:val="p"/>
            </m:rPr>
            <m:t>)</m:t>
          </m:r>
          <m:r>
            <m:rPr>
              <m:sty m:val="p"/>
            </m:rPr>
            <m:t>+</m:t>
          </m:r>
          <m:f>
            <m:fPr>
              <m:type m:val="bar"/>
            </m:fPr>
            <m:num>
              <m:r>
                <m:t>μ</m:t>
              </m:r>
            </m:num>
            <m:den>
              <m:r>
                <m:t>2</m:t>
              </m:r>
            </m:den>
          </m:f>
          <m:sSup>
            <m:e>
              <m:d>
                <m:dPr>
                  <m:begChr m:val="∥"/>
                  <m:sepChr m:val=""/>
                  <m:endChr m:val="∥"/>
                  <m:grow/>
                </m:dPr>
                <m:e>
                  <m:r>
                    <m:t>w</m:t>
                  </m:r>
                  <m:r>
                    <m:rPr>
                      <m:sty m:val="p"/>
                    </m:rPr>
                    <m:t>−</m:t>
                  </m:r>
                  <m:sSub>
                    <m:e>
                      <m:r>
                        <m:t>w</m:t>
                      </m:r>
                    </m:e>
                    <m:sub>
                      <m:r>
                        <m:t>t</m:t>
                      </m:r>
                    </m:sub>
                  </m:sSub>
                </m:e>
              </m:d>
            </m:e>
            <m:sup>
              <m:r>
                <m:t>2</m:t>
              </m:r>
            </m:sup>
          </m:sSup>
        </m:oMath>
      </m:oMathPara>
    </w:p>
    <w:p>
      <w:pPr>
        <w:pStyle w:val="FirstParagraph"/>
      </w:pPr>
      <w:r>
        <w:t xml:space="preserve">where w_t is the current global model received from the server and μ &gt; 0 is the proximal parameter. The quadratic penalty pulls the locally updated model toward the global model throughout local training. Even as the client follows its own local gradient direction, which may differ substantially from other clients, the proximal term prevents it from drifting so far that the resulting update harms other clients. Setting μ = 0 recovers FedAvg exactly. Increasing μ progressively constrains local updates closer to the global starting point.</w:t>
      </w:r>
    </w:p>
    <w:p>
      <w:pPr>
        <w:pStyle w:val="BodyText"/>
      </w:pPr>
      <w:r>
        <w:t xml:space="preserve">Li et al. proved convergence for FedProx under non-IID data without requiring the IID assumption FedAvg’s analysis depends on. Empirically, on benchmark federated datasets with controlled heterogeneity and on real heterogeneous datasets including Amazon Reviews and non-IID MNIST, FedProx converged more reliably and achieved higher final accuracy than FedAvg, especially when only a fraction of clients participated in each round.</w:t>
      </w:r>
    </w:p>
    <w:p>
      <w:pPr>
        <w:pStyle w:val="BodyText"/>
      </w:pPr>
      <w:r>
        <w:t xml:space="preserve">In FINQUANT-NEXUS, the federated system simulates four sector-based clients. These are Banking and Finance (10 stocks, roughly 23% of portfolio weight), IT and Telecom (6 stocks), Pharma and FMCG (8 stocks), and Energy, Auto and Others (20 stocks). The return distributions and volatility profiles of these groups differ substantially, which is exactly the non-IID condition FedProx was designed for. With μ = 0.01 and DP-SGD differential privacy at epsilon = 8.0, the FedProx global model reached a Sharpe Ratio of 0.729 after 50 communication rounds. Three of four sector clients showed individual Sharpe improvement over their locally-trained baselines. The Energy sector client was the exception, showing a small decline consistent with FedProx’s known difficulty when one client’s distribution diverges substantially from the global average.</w:t>
      </w:r>
    </w:p>
    <w:p>
      <w:r>
        <w:pict>
          <v:rect style="width:0;height:1.5pt" o:hralign="center" o:hrstd="t" o:hr="t"/>
        </w:pict>
      </w:r>
    </w:p>
    <w:bookmarkEnd w:id="17"/>
    <w:bookmarkStart w:id="19" w:name="monte-carlo-methods-in-risk-management"/>
    <w:p>
      <w:pPr>
        <w:pStyle w:val="Heading2"/>
      </w:pPr>
      <w:r>
        <w:t xml:space="preserve">2.6 Monte Carlo Methods in Risk Management</w:t>
      </w:r>
    </w:p>
    <w:p>
      <w:pPr>
        <w:pStyle w:val="FirstParagraph"/>
      </w:pPr>
      <w:r>
        <w:t xml:space="preserve">Monte Carlo simulation generates a large number of random return scenarios, runs the portfolio forward through each, and measures the resulting outcome distribution. Two metrics dominate portfolio risk reporting. Value at Risk (VaR 95%) is the loss threshold exceeded only by the worst 5% of scenarios. Conditional Value at Risk (CVaR 95%), also called Expected Shortfall, is the average loss across those worst 5%. CVaR is more informative than VaR because it measures tail severity rather than just the threshold. Rockafellar and Uryasev (2002) [7] showed that CVaR is a coherent risk measure, making it preferable for optimisation and regulatory purposes.</w:t>
      </w:r>
    </w:p>
    <w:p>
      <w:pPr>
        <w:pStyle w:val="BodyText"/>
      </w:pPr>
      <w:r>
        <w:t xml:space="preserve">Stress testing extends standard Monte Carlo by calibrating parameters to historical crisis periods rather than long-run averages. FINQUANT-NEXUS implements 1,000 simulation paths under eight scenarios. These are the 2008 Financial Crisis, COVID-19 Crash, Dot-Com 2000, India Bear Market 2015 to 2016, NBFC Crisis 2018, Demonetisation Shock 2016, Rate Hike Cycle 2022, and Flash Crash. Each scenario is calibrated to the actual Indian or global market behaviour of that period. This Indian-market-specific scenario library fills a gap in existing literature, where most published work calibrates only to US or European crisis data.</w:t>
      </w:r>
    </w:p>
    <w:p>
      <w:r>
        <w:pict>
          <v:rect style="width:0;height:1.5pt" o:hralign="center" o:hrstd="t" o:hr="t"/>
        </w:pict>
      </w:r>
    </w:p>
    <w:bookmarkEnd w:id="18"/>
    <w:bookmarkStart w:id="20" w:name="research-gap-and-contribution"/>
    <w:p>
      <w:pPr>
        <w:pStyle w:val="Heading2"/>
      </w:pPr>
      <w:r>
        <w:t xml:space="preserve">2.7 Research Gap and Contribution</w:t>
      </w:r>
    </w:p>
    <w:p>
      <w:pPr>
        <w:pStyle w:val="FirstParagraph"/>
      </w:pPr>
      <w:r>
        <w:t xml:space="preserve">Looking across all six areas reviewed above, the pattern is consistent. Each area has made real and lasting progress. Portfolio theory has Markowitz’s efficient frontier and the Sharpe ratio as a well-established evaluation framework. Reinforcement learning for finance has PPO and FinRL as practical, working tools. Graph neural networks have GAT as a strong, flexible architecture for relational learning. Financial sentiment analysis has FinBERT as a domain-adapted transformer that substantially outperforms general classifiers. Federated learning has FedAvg as the baseline protocol and FedProx as a more reliable extension for heterogeneous data. Monte Carlo simulation has VaR and CVaR as industry-standard risk metrics.</w:t>
      </w:r>
    </w:p>
    <w:p>
      <w:pPr>
        <w:pStyle w:val="BodyText"/>
      </w:pPr>
      <w:r>
        <w:t xml:space="preserve">But this progress has happened in separate lanes. FinRL, the closest prior work, uses RL for portfolio allocation without any graph structure or sentiment input. GNN-based stock modelling papers improve prediction accuracy but do not connect graph output to a portfolio allocation policy. FinBERT-based sentiment work produces useful signals but does not feed them into an RL agent’s observation space. Federated learning in finance has focused almost entirely on classification tasks like credit scoring and fraud detection, not portfolio weight optimisation. None of this work, individually or combined, targets the Indian NIFTY 50 market.</w:t>
      </w:r>
    </w:p>
    <w:p>
      <w:pPr>
        <w:pStyle w:val="BodyText"/>
      </w:pPr>
      <w:r>
        <w:t xml:space="preserve">No existing open system for Indian equity markets integrates all four components, namely RL for portfolio allocation, graph neural networks for relational stock modelling, FinBERT-based sentiment analysis, and privacy-preserving federated learning, in a single platform with stress testing and an interactive dashboard. That specific integration gap is what FINQUANT-NEXUS fills.</w:t>
      </w:r>
    </w:p>
    <w:p>
      <w:pPr>
        <w:pStyle w:val="BodyText"/>
      </w:pPr>
      <w:r>
        <w:t xml:space="preserve">The concrete contributions of this dissertation are:</w:t>
      </w:r>
    </w:p>
    <w:p>
      <w:pPr>
        <w:numPr>
          <w:ilvl w:val="0"/>
          <w:numId w:val="1002"/>
        </w:numPr>
      </w:pPr>
      <w:r>
        <w:t xml:space="preserve">A Temporal Graph Attention Network with separate attention layers per edge type (sector membership, supply chain, return correlation) and a GRU temporal encoder, producing 32-dimensional stock embeddings for 44 NIFTY 50 equities. This is the first multi-relational GNN applied to Indian equities.</w:t>
      </w:r>
    </w:p>
    <w:p>
      <w:pPr>
        <w:numPr>
          <w:ilvl w:val="0"/>
          <w:numId w:val="1002"/>
        </w:numPr>
      </w:pPr>
      <w:r>
        <w:t xml:space="preserve">An ensemble of five RL algorithms trained in a shared Gymnasium environment on NIFTY 50 data, with a Sharpe-based reward and hard risk constraints, evaluated on completely held-out 2024 to 2025 test data.</w:t>
      </w:r>
    </w:p>
    <w:p>
      <w:pPr>
        <w:numPr>
          <w:ilvl w:val="0"/>
          <w:numId w:val="1002"/>
        </w:numPr>
      </w:pPr>
      <w:r>
        <w:t xml:space="preserve">A FinBERT sentiment pipeline integrated directly into the RL observation space, covering all 44 NIFTY 50 stocks daily with SQLite caching for live dashboard use.</w:t>
      </w:r>
    </w:p>
    <w:p>
      <w:pPr>
        <w:numPr>
          <w:ilvl w:val="0"/>
          <w:numId w:val="1002"/>
        </w:numPr>
      </w:pPr>
      <w:r>
        <w:t xml:space="preserve">A FedProx federated training system with DP-SGD (epsilon = 8.0) across four sector-based NIFTY 50 clients, showing that cross-sector knowledge transfer under differential privacy is feasible for portfolio optimisation.</w:t>
      </w:r>
    </w:p>
    <w:p>
      <w:pPr>
        <w:numPr>
          <w:ilvl w:val="0"/>
          <w:numId w:val="1002"/>
        </w:numPr>
      </w:pPr>
      <w:r>
        <w:t xml:space="preserve">A complete research platform with a FastAPI backend and eight-tab React 19 dashboard making all system outputs interactively accessible.</w:t>
      </w:r>
    </w:p>
    <w:p>
      <w:r>
        <w:pict>
          <v:rect style="width:0;height:1.5pt" o:hralign="center" o:hrstd="t" o:hr="t"/>
        </w:pict>
      </w:r>
    </w:p>
    <w:bookmarkEnd w:id="19"/>
    <w:bookmarkStart w:id="21" w:name="table-2.1-comparison-of-related-works"/>
    <w:p>
      <w:pPr>
        <w:pStyle w:val="Heading2"/>
      </w:pPr>
      <w:r>
        <w:t xml:space="preserve">Table 2.1 — Comparison of Related Works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Author, Year</w:t>
            </w:r>
          </w:p>
        </w:tc>
        <w:tc>
          <w:tcPr/>
          <w:p>
            <w:pPr>
              <w:pStyle w:val="Compact"/>
            </w:pPr>
            <w:r>
              <w:t xml:space="preserve">Primary Method</w:t>
            </w:r>
          </w:p>
        </w:tc>
        <w:tc>
          <w:tcPr/>
          <w:p>
            <w:pPr>
              <w:pStyle w:val="Compact"/>
            </w:pPr>
            <w:r>
              <w:t xml:space="preserve">Market</w:t>
            </w:r>
          </w:p>
        </w:tc>
        <w:tc>
          <w:tcPr/>
          <w:p>
            <w:pPr>
              <w:pStyle w:val="Compact"/>
            </w:pPr>
            <w:r>
              <w:t xml:space="preserve">RL</w:t>
            </w:r>
          </w:p>
        </w:tc>
        <w:tc>
          <w:tcPr/>
          <w:p>
            <w:pPr>
              <w:pStyle w:val="Compact"/>
            </w:pPr>
            <w:r>
              <w:t xml:space="preserve">GNN</w:t>
            </w:r>
          </w:p>
        </w:tc>
        <w:tc>
          <w:tcPr/>
          <w:p>
            <w:pPr>
              <w:pStyle w:val="Compact"/>
            </w:pPr>
            <w:r>
              <w:t xml:space="preserve">Sentiment</w:t>
            </w:r>
          </w:p>
        </w:tc>
        <w:tc>
          <w:tcPr/>
          <w:p>
            <w:pPr>
              <w:pStyle w:val="Compact"/>
            </w:pPr>
            <w:r>
              <w:t xml:space="preserve">FL</w:t>
            </w:r>
          </w:p>
        </w:tc>
        <w:tc>
          <w:tcPr/>
          <w:p>
            <w:pPr>
              <w:pStyle w:val="Compact"/>
            </w:pPr>
            <w:r>
              <w:t xml:space="preserve">Key Limitation vs This Work</w:t>
            </w:r>
          </w:p>
        </w:tc>
      </w:tr>
      <w:tr>
        <w:tc>
          <w:tcPr/>
          <w:p>
            <w:pPr>
              <w:pStyle w:val="Compact"/>
            </w:pPr>
            <w:r>
              <w:t xml:space="preserve">Markowitz [1], 1952</w:t>
            </w:r>
          </w:p>
        </w:tc>
        <w:tc>
          <w:tcPr/>
          <w:p>
            <w:pPr>
              <w:pStyle w:val="Compact"/>
            </w:pPr>
            <w:r>
              <w:t xml:space="preserve">Mean-Variance Optimisation</w:t>
            </w:r>
          </w:p>
        </w:tc>
        <w:tc>
          <w:tcPr/>
          <w:p>
            <w:pPr>
              <w:pStyle w:val="Compact"/>
            </w:pPr>
            <w:r>
              <w:t xml:space="preserve">US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Static, assumes normality, no adaptation to market regimes</w:t>
            </w:r>
          </w:p>
        </w:tc>
      </w:tr>
      <w:tr>
        <w:tc>
          <w:tcPr/>
          <w:p>
            <w:pPr>
              <w:pStyle w:val="Compact"/>
            </w:pPr>
            <w:r>
              <w:t xml:space="preserve">Liu et al. [17], 2021</w:t>
            </w:r>
          </w:p>
        </w:tc>
        <w:tc>
          <w:tcPr/>
          <w:p>
            <w:pPr>
              <w:pStyle w:val="Compact"/>
            </w:pPr>
            <w:r>
              <w:t xml:space="preserve">FinRL, DRL Portfolio</w:t>
            </w:r>
          </w:p>
        </w:tc>
        <w:tc>
          <w:tcPr/>
          <w:p>
            <w:pPr>
              <w:pStyle w:val="Compact"/>
            </w:pPr>
            <w:r>
              <w:t xml:space="preserve">US Markets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 relational modelling, no sentiment, no FL, no Indian market</w:t>
            </w:r>
          </w:p>
        </w:tc>
      </w:tr>
      <w:tr>
        <w:tc>
          <w:tcPr/>
          <w:p>
            <w:pPr>
              <w:pStyle w:val="Compact"/>
            </w:pPr>
            <w:r>
              <w:t xml:space="preserve">Velickovic et al. [20], 2018</w:t>
            </w:r>
          </w:p>
        </w:tc>
        <w:tc>
          <w:tcPr/>
          <w:p>
            <w:pPr>
              <w:pStyle w:val="Compact"/>
            </w:pPr>
            <w:r>
              <w:t xml:space="preserve">Graph Attention Networks</w:t>
            </w:r>
          </w:p>
        </w:tc>
        <w:tc>
          <w:tcPr/>
          <w:p>
            <w:pPr>
              <w:pStyle w:val="Compact"/>
            </w:pPr>
            <w:r>
              <w:t xml:space="preserve">General</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Single edge type, no temporal component, no portfolio policy</w:t>
            </w:r>
          </w:p>
        </w:tc>
      </w:tr>
      <w:tr>
        <w:tc>
          <w:tcPr/>
          <w:p>
            <w:pPr>
              <w:pStyle w:val="Compact"/>
            </w:pPr>
            <w:r>
              <w:t xml:space="preserve">Araci [26], 2019</w:t>
            </w:r>
          </w:p>
        </w:tc>
        <w:tc>
          <w:tcPr/>
          <w:p>
            <w:pPr>
              <w:pStyle w:val="Compact"/>
            </w:pPr>
            <w:r>
              <w:t xml:space="preserve">FinBERT Sentiment</w:t>
            </w:r>
          </w:p>
        </w:tc>
        <w:tc>
          <w:tcPr/>
          <w:p>
            <w:pPr>
              <w:pStyle w:val="Compact"/>
            </w:pPr>
            <w:r>
              <w:t xml:space="preserve">US Financial Text</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 portfolio integration, no Indian financial news fine-tuning</w:t>
            </w:r>
          </w:p>
        </w:tc>
      </w:tr>
      <w:tr>
        <w:tc>
          <w:tcPr/>
          <w:p>
            <w:pPr>
              <w:pStyle w:val="Compact"/>
            </w:pPr>
            <w:r>
              <w:t xml:space="preserve">McMahan et al. [28], 2017</w:t>
            </w:r>
          </w:p>
        </w:tc>
        <w:tc>
          <w:tcPr/>
          <w:p>
            <w:pPr>
              <w:pStyle w:val="Compact"/>
            </w:pPr>
            <w:r>
              <w:t xml:space="preserve">FedAvg</w:t>
            </w:r>
          </w:p>
        </w:tc>
        <w:tc>
          <w:tcPr/>
          <w:p>
            <w:pPr>
              <w:pStyle w:val="Compact"/>
            </w:pPr>
            <w:r>
              <w:t xml:space="preserve">General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Fails on non-IID data, not applied to portfolio optimisation</w:t>
            </w:r>
          </w:p>
        </w:tc>
      </w:tr>
      <w:tr>
        <w:tc>
          <w:tcPr/>
          <w:p>
            <w:pPr>
              <w:pStyle w:val="Compact"/>
            </w:pPr>
            <w:r>
              <w:t xml:space="preserve">Li et al. [29], 2020</w:t>
            </w:r>
          </w:p>
        </w:tc>
        <w:tc>
          <w:tcPr/>
          <w:p>
            <w:pPr>
              <w:pStyle w:val="Compact"/>
            </w:pPr>
            <w:r>
              <w:t xml:space="preserve">FedProx</w:t>
            </w:r>
          </w:p>
        </w:tc>
        <w:tc>
          <w:tcPr/>
          <w:p>
            <w:pPr>
              <w:pStyle w:val="Compact"/>
            </w:pPr>
            <w:r>
              <w:t xml:space="preserve">General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Not applied to Indian equity market or portfolio task</w:t>
            </w:r>
          </w:p>
        </w:tc>
      </w:tr>
      <w:tr>
        <w:tc>
          <w:tcPr/>
          <w:p>
            <w:pPr>
              <w:pStyle w:val="Compact"/>
            </w:pPr>
            <w:r>
              <w:rPr>
                <w:b/>
                <w:bCs/>
              </w:rPr>
              <w:t xml:space="preserve">This Work</w:t>
            </w:r>
          </w:p>
        </w:tc>
        <w:tc>
          <w:tcPr/>
          <w:p>
            <w:pPr>
              <w:pStyle w:val="Compact"/>
            </w:pPr>
            <w:r>
              <w:rPr>
                <w:b/>
                <w:bCs/>
              </w:rPr>
              <w:t xml:space="preserve">RL + T-GAT + FinBERT + FedProx</w:t>
            </w:r>
          </w:p>
        </w:tc>
        <w:tc>
          <w:tcPr/>
          <w:p>
            <w:pPr>
              <w:pStyle w:val="Compact"/>
            </w:pPr>
            <w:r>
              <w:rPr>
                <w:b/>
                <w:bCs/>
              </w:rPr>
              <w:t xml:space="preserve">NIFTY 50</w:t>
            </w:r>
          </w:p>
        </w:tc>
        <w:tc>
          <w:tcPr/>
          <w:p>
            <w:pPr>
              <w:pStyle w:val="Compact"/>
            </w:pPr>
            <w:r>
              <w:rPr>
                <w:b/>
                <w:bCs/>
              </w:rPr>
              <w:t xml:space="preserve">Yes</w:t>
            </w:r>
          </w:p>
        </w:tc>
        <w:tc>
          <w:tcPr/>
          <w:p>
            <w:pPr>
              <w:pStyle w:val="Compact"/>
            </w:pPr>
            <w:r>
              <w:rPr>
                <w:b/>
                <w:bCs/>
              </w:rPr>
              <w:t xml:space="preserve">Yes (3 edges)</w:t>
            </w:r>
          </w:p>
        </w:tc>
        <w:tc>
          <w:tcPr/>
          <w:p>
            <w:pPr>
              <w:pStyle w:val="Compact"/>
            </w:pPr>
            <w:r>
              <w:rPr>
                <w:b/>
                <w:bCs/>
              </w:rPr>
              <w:t xml:space="preserve">Yes</w:t>
            </w:r>
          </w:p>
        </w:tc>
        <w:tc>
          <w:tcPr/>
          <w:p>
            <w:pPr>
              <w:pStyle w:val="Compact"/>
            </w:pPr>
            <w:r>
              <w:rPr>
                <w:b/>
                <w:bCs/>
              </w:rPr>
              <w:t xml:space="preserve">Yes</w:t>
            </w:r>
          </w:p>
        </w:tc>
        <w:tc>
          <w:tcPr/>
          <w:p>
            <w:pPr>
              <w:pStyle w:val="Compact"/>
            </w:pPr>
            <w:r>
              <w:t xml:space="preserve">Simulation only, no live brokerage execution</w:t>
            </w:r>
          </w:p>
        </w:tc>
      </w:tr>
    </w:tbl>
    <w:p>
      <w:r>
        <w:pict>
          <v:rect style="width:0;height:1.5pt" o:hralign="center" o:hrstd="t" o:hr="t"/>
        </w:pict>
      </w:r>
    </w:p>
    <w:bookmarkEnd w:id="20"/>
    <w:bookmarkEnd w:id="21"/>
    <w:p>
      <w:r>
        <w:br w:type="page"/>
      </w:r>
    </w:p>
    <w:bookmarkStart w:id="22" w:name="chapter-3-system-design-and-methodology"/>
    <w:p>
      <w:pPr>
        <w:pStyle w:val="Heading1"/>
      </w:pPr>
      <w:r>
        <w:t xml:space="preserve">Chapter 3 — System Design and Methodology</w:t>
      </w:r>
    </w:p>
    <w:p>
      <w:r>
        <w:pict>
          <v:rect style="width:0;height:1.5pt" o:hralign="center" o:hrstd="t" o:hr="t"/>
        </w:pict>
      </w:r>
    </w:p>
    <w:bookmarkEnd w:id="22"/>
    <w:bookmarkStart w:id="23" w:name="chapter-3"/>
    <w:p>
      <w:pPr>
        <w:pStyle w:val="Heading1"/>
      </w:pPr>
      <w:r>
        <w:t xml:space="preserve">CHAPTER 3</w:t>
      </w:r>
    </w:p>
    <w:bookmarkEnd w:id="23"/>
    <w:bookmarkStart w:id="24" w:name="system-design-and-methodology"/>
    <w:p>
      <w:pPr>
        <w:pStyle w:val="Heading1"/>
      </w:pPr>
      <w:r>
        <w:t xml:space="preserve">SYSTEM DESIGN AND METHODOLOGY</w:t>
      </w:r>
    </w:p>
    <w:p>
      <w:r>
        <w:pict>
          <v:rect style="width:0;height:1.5pt" o:hralign="center" o:hrstd="t" o:hr="t"/>
        </w:pict>
      </w:r>
    </w:p>
    <w:p>
      <w:pPr>
        <w:pStyle w:val="FirstParagraph"/>
      </w:pPr>
      <w:r>
        <w:t xml:space="preserve">FINQUANT-NEXUS is built around thirteen distinct components. Each is described in its own section below, following the natural data flow of the system. We start from raw market data collection, move through feature engineering, sentiment extraction, and graph modelling, then enter reinforcement learning training and evaluation, stress testing, and federated learning, and end with the API and dashboard that make all results accessible.</w:t>
      </w:r>
    </w:p>
    <w:p>
      <w:r>
        <w:pict>
          <v:rect style="width:0;height:1.5pt" o:hralign="center" o:hrstd="t" o:hr="t"/>
        </w:pict>
      </w:r>
    </w:p>
    <w:bookmarkStart w:id="25" w:name="overall-system-architecture"/>
    <w:p>
      <w:pPr>
        <w:pStyle w:val="Heading2"/>
      </w:pPr>
      <w:r>
        <w:t xml:space="preserve">3.1 Overall System Architecture</w:t>
      </w:r>
    </w:p>
    <w:p>
      <w:pPr>
        <w:pStyle w:val="FirstParagraph"/>
      </w:pPr>
      <w:r>
        <w:t xml:space="preserve">FINQUANT-NEXUS is a pipeline system where data moves through seven processing stages before reaching the user interface. Figure 3.1 shows the overall architecture.</w:t>
      </w:r>
    </w:p>
    <w:p>
      <w:pPr>
        <w:pStyle w:val="BodyText"/>
      </w:pPr>
      <w:r>
        <w:t xml:space="preserve">Data acquisition is the first stage. Historical daily price and volume data for forty-four NIFTY 50 stocks is downloaded from Yahoo Finance using the yfinance Python library. [33] Financial news from three sources (Google News RSS, Yahoo Finance News API, and Indian RSS feeds from Moneycontrol and Economic Times) is fetched concurrently by a thread-safe news fetcher.</w:t>
      </w:r>
    </w:p>
    <w:p>
      <w:pPr>
        <w:pStyle w:val="BodyText"/>
      </w:pPr>
      <w:r>
        <w:t xml:space="preserve">Processing comes next. On the price side, raw data is cleaned, adjusted for corporate actions, and passed through a feature engineering module that computes twenty-one technical indicators. On the news side, headlines are deduplicated, tokenized, and processed by a locally cached FinBERT model to produce a sentiment score per stock per day.</w:t>
      </w:r>
    </w:p>
    <w:p>
      <w:pPr>
        <w:pStyle w:val="BodyText"/>
      </w:pPr>
      <w:r>
        <w:t xml:space="preserve">Graph construction and embedding is the third stage. The forty-four stocks are modelled as nodes in a multi-relational graph with three types of edges. This graph is processed by the Temporal Graph Attention Network (T-GAT), which produces a thirty-two dimensional embedding vector for each stock at each time step.</w:t>
      </w:r>
    </w:p>
    <w:p>
      <w:pPr>
        <w:pStyle w:val="BodyText"/>
      </w:pPr>
      <w:r>
        <w:t xml:space="preserve">Stage four is the reinforcement learning environment. The RL observation space combines the twenty-one technical indicators, the thirty-two dimensional T-GAT embeddings, the FinBERT sentiment scores, and the current portfolio weights. Five RL algorithms (PPO, SAC, TD3, A2C, DDPG) are trained in a Gymnasium-compatible environment that simulates portfolio allocation with realistic constraints. Their outputs are averaged by a meta-level Ensemble agent.</w:t>
      </w:r>
    </w:p>
    <w:p>
      <w:pPr>
        <w:pStyle w:val="BodyText"/>
      </w:pPr>
      <w:r>
        <w:t xml:space="preserve">Risk evaluation is the fifth stage. A Monte Carlo stress testing module takes the portfolio weights produced by the Ensemble agent and runs one thousand simulation paths under eight historical crisis scenarios, computing VaR, CVaR, and survival rates.</w:t>
      </w:r>
    </w:p>
    <w:p>
      <w:pPr>
        <w:pStyle w:val="BodyText"/>
      </w:pPr>
      <w:r>
        <w:t xml:space="preserve">Federated learning is the sixth stage. The T-GAT model is also trained in a federated setting where four sector clients train locally under differential privacy constraints, and a FedProx server aggregates their updates across fifty communication rounds.</w:t>
      </w:r>
    </w:p>
    <w:p>
      <w:pPr>
        <w:pStyle w:val="BodyText"/>
      </w:pPr>
      <w:r>
        <w:t xml:space="preserve">The seventh stage is output. A FastAPI backend exposes all results through more than fifty REST endpoints. A React dashboard with eight interactive pages presents portfolio analytics, RL agent comparisons, sentiment data, graph visualisations, stress test results, federated learning convergence, the data pipeline view, and a forward simulation.</w:t>
      </w:r>
    </w:p>
    <w:p>
      <w:pPr>
        <w:pStyle w:val="BodyText"/>
      </w:pPr>
      <w:r>
        <w:t xml:space="preserve">The technology stack is Python 3.11 on the backend (PyTorch, Stable-Baselines3, PyTorch Geometric, HuggingFace Transformers, Flower, FastAPI) and React 19 with TypeScript and Vite on the frontend.</w:t>
      </w:r>
    </w:p>
    <w:p>
      <w:r>
        <w:pict>
          <v:rect style="width:0;height:1.5pt" o:hralign="center" o:hrstd="t" o:hr="t"/>
        </w:pict>
      </w:r>
    </w:p>
    <w:bookmarkEnd w:id="24"/>
    <w:bookmarkStart w:id="26" w:name="dataset-description"/>
    <w:p>
      <w:pPr>
        <w:pStyle w:val="Heading2"/>
      </w:pPr>
      <w:r>
        <w:t xml:space="preserve">3.2 Dataset Description</w:t>
      </w:r>
    </w:p>
    <w:p>
      <w:pPr>
        <w:pStyle w:val="FirstParagraph"/>
      </w:pPr>
      <w:r>
        <w:t xml:space="preserve">For this work, forty-four of the fifty NIFTY 50 constituent stocks are used. The NIFTY 50 index covers the largest and most liquid companies listed on the National Stock Exchange of India, selected by free-float market capitalisation. [2] Six stocks were dropped because their complete price history was not available through the Yahoo Finance API for the full study period.</w:t>
      </w:r>
    </w:p>
    <w:p>
      <w:pPr>
        <w:pStyle w:val="BodyText"/>
      </w:pPr>
      <w:r>
        <w:t xml:space="preserve">Data is sourced using the yfinance library. [33] For each of the forty-four stocks, daily OHLCV data (Open, High, Low, Close, Volume) and the Adjusted Close price are downloaded covering January 2015 to December 2025. The Adjusted Close is the primary price series used for return computation, because it accounts for stock splits and dividend distributions. Using the raw Close price would introduce artificial jumps on ex-dividend dates, distorting the technical indicators and model inputs.</w:t>
      </w:r>
    </w:p>
    <w:p>
      <w:pPr>
        <w:pStyle w:val="BodyText"/>
      </w:pPr>
      <w:r>
        <w:t xml:space="preserve">The NIFTY 50 index itself is also downloaded as a separate series. It is used as the benchmark for portfolio performance comparison.</w:t>
      </w:r>
    </w:p>
    <w:p>
      <w:pPr>
        <w:pStyle w:val="BodyText"/>
      </w:pPr>
      <w:r>
        <w:t xml:space="preserve">A three-way split is applied to the data. The training set covers January 2015 to December 2021, a span of seven years that includes multiple market regimes. These are the 2016 demonetisation shock, the 2018 NBFC crisis, the COVID crash of March 2020, and the subsequent recovery. The validation set covers January 2022 to December 2023 and was used for hyperparameter tuning and architecture decisions. The test set covers January 2024 to December 2025 and represents completely unseen data for final evaluation. No data from the validation or test sets was used at any stage of model training.</w:t>
      </w:r>
    </w:p>
    <w:p>
      <w:pPr>
        <w:pStyle w:val="BodyText"/>
      </w:pPr>
      <w:r>
        <w:t xml:space="preserve">Table 3.1 shows the distribution of stocks across sectors. The sector classification follows the standard NSE sector grouping.</w:t>
      </w:r>
    </w:p>
    <w:p>
      <w:pPr>
        <w:pStyle w:val="BodyText"/>
      </w:pPr>
      <w:r>
        <w:rPr>
          <w:b/>
          <w:bCs/>
        </w:rPr>
        <w:t xml:space="preserve">Table 3.1</w:t>
      </w:r>
      <w:r>
        <w:t xml:space="preserve">: Dataset, Sector-wise Stock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w:t>
            </w:r>
          </w:p>
        </w:tc>
        <w:tc>
          <w:tcPr/>
          <w:p>
            <w:pPr>
              <w:pStyle w:val="Compact"/>
            </w:pPr>
            <w:r>
              <w:t xml:space="preserve">Stocks</w:t>
            </w:r>
          </w:p>
        </w:tc>
        <w:tc>
          <w:tcPr/>
          <w:p>
            <w:pPr>
              <w:pStyle w:val="Compact"/>
            </w:pPr>
            <w:r>
              <w:t xml:space="preserve">Key Stocks</w:t>
            </w:r>
          </w:p>
        </w:tc>
      </w:tr>
      <w:tr>
        <w:tc>
          <w:tcPr/>
          <w:p>
            <w:pPr>
              <w:pStyle w:val="Compact"/>
            </w:pPr>
            <w:r>
              <w:t xml:space="preserve">Banking</w:t>
            </w:r>
          </w:p>
        </w:tc>
        <w:tc>
          <w:tcPr/>
          <w:p>
            <w:pPr>
              <w:pStyle w:val="Compact"/>
            </w:pPr>
            <w:r>
              <w:t xml:space="preserve">6</w:t>
            </w:r>
          </w:p>
        </w:tc>
        <w:tc>
          <w:tcPr/>
          <w:p>
            <w:pPr>
              <w:pStyle w:val="Compact"/>
            </w:pPr>
            <w:r>
              <w:t xml:space="preserve">HDFCBANK, ICICIBANK, KOTAKBANK, SBIN, AXISBANK, INDUSINDBK</w:t>
            </w:r>
          </w:p>
        </w:tc>
      </w:tr>
      <w:tr>
        <w:tc>
          <w:tcPr/>
          <w:p>
            <w:pPr>
              <w:pStyle w:val="Compact"/>
            </w:pPr>
            <w:r>
              <w:t xml:space="preserve">Finance</w:t>
            </w:r>
          </w:p>
        </w:tc>
        <w:tc>
          <w:tcPr/>
          <w:p>
            <w:pPr>
              <w:pStyle w:val="Compact"/>
            </w:pPr>
            <w:r>
              <w:t xml:space="preserve">4</w:t>
            </w:r>
          </w:p>
        </w:tc>
        <w:tc>
          <w:tcPr/>
          <w:p>
            <w:pPr>
              <w:pStyle w:val="Compact"/>
            </w:pPr>
            <w:r>
              <w:t xml:space="preserve">BAJFINANCE, BAJAJFINSV, HDFC Life, Muthoot</w:t>
            </w:r>
          </w:p>
        </w:tc>
      </w:tr>
      <w:tr>
        <w:tc>
          <w:tcPr/>
          <w:p>
            <w:pPr>
              <w:pStyle w:val="Compact"/>
            </w:pPr>
            <w:r>
              <w:t xml:space="preserve">Information Technology</w:t>
            </w:r>
          </w:p>
        </w:tc>
        <w:tc>
          <w:tcPr/>
          <w:p>
            <w:pPr>
              <w:pStyle w:val="Compact"/>
            </w:pPr>
            <w:r>
              <w:t xml:space="preserve">5</w:t>
            </w:r>
          </w:p>
        </w:tc>
        <w:tc>
          <w:tcPr/>
          <w:p>
            <w:pPr>
              <w:pStyle w:val="Compact"/>
            </w:pPr>
            <w:r>
              <w:t xml:space="preserve">TCS, INFOSYS, WIPRO, HCLTECH, TECHM</w:t>
            </w:r>
          </w:p>
        </w:tc>
      </w:tr>
      <w:tr>
        <w:tc>
          <w:tcPr/>
          <w:p>
            <w:pPr>
              <w:pStyle w:val="Compact"/>
            </w:pPr>
            <w:r>
              <w:t xml:space="preserve">Telecom</w:t>
            </w:r>
          </w:p>
        </w:tc>
        <w:tc>
          <w:tcPr/>
          <w:p>
            <w:pPr>
              <w:pStyle w:val="Compact"/>
            </w:pPr>
            <w:r>
              <w:t xml:space="preserve">1</w:t>
            </w:r>
          </w:p>
        </w:tc>
        <w:tc>
          <w:tcPr/>
          <w:p>
            <w:pPr>
              <w:pStyle w:val="Compact"/>
            </w:pPr>
            <w:r>
              <w:t xml:space="preserve">BHARTIARTL</w:t>
            </w:r>
          </w:p>
        </w:tc>
      </w:tr>
      <w:tr>
        <w:tc>
          <w:tcPr/>
          <w:p>
            <w:pPr>
              <w:pStyle w:val="Compact"/>
            </w:pPr>
            <w:r>
              <w:t xml:space="preserve">Pharmaceuticals</w:t>
            </w:r>
          </w:p>
        </w:tc>
        <w:tc>
          <w:tcPr/>
          <w:p>
            <w:pPr>
              <w:pStyle w:val="Compact"/>
            </w:pPr>
            <w:r>
              <w:t xml:space="preserve">4</w:t>
            </w:r>
          </w:p>
        </w:tc>
        <w:tc>
          <w:tcPr/>
          <w:p>
            <w:pPr>
              <w:pStyle w:val="Compact"/>
            </w:pPr>
            <w:r>
              <w:t xml:space="preserve">SUNPHARMA, DRREDDY, DIVISLAB, CIPLA</w:t>
            </w:r>
          </w:p>
        </w:tc>
      </w:tr>
      <w:tr>
        <w:tc>
          <w:tcPr/>
          <w:p>
            <w:pPr>
              <w:pStyle w:val="Compact"/>
            </w:pPr>
            <w:r>
              <w:t xml:space="preserve">FMCG</w:t>
            </w:r>
          </w:p>
        </w:tc>
        <w:tc>
          <w:tcPr/>
          <w:p>
            <w:pPr>
              <w:pStyle w:val="Compact"/>
            </w:pPr>
            <w:r>
              <w:t xml:space="preserve">4</w:t>
            </w:r>
          </w:p>
        </w:tc>
        <w:tc>
          <w:tcPr/>
          <w:p>
            <w:pPr>
              <w:pStyle w:val="Compact"/>
            </w:pPr>
            <w:r>
              <w:t xml:space="preserve">HINDUNILVR, ITC, NESTLEIND, BRITANNIA</w:t>
            </w:r>
          </w:p>
        </w:tc>
      </w:tr>
      <w:tr>
        <w:tc>
          <w:tcPr/>
          <w:p>
            <w:pPr>
              <w:pStyle w:val="Compact"/>
            </w:pPr>
            <w:r>
              <w:t xml:space="preserve">Energy</w:t>
            </w:r>
          </w:p>
        </w:tc>
        <w:tc>
          <w:tcPr/>
          <w:p>
            <w:pPr>
              <w:pStyle w:val="Compact"/>
            </w:pPr>
            <w:r>
              <w:t xml:space="preserve">4</w:t>
            </w:r>
          </w:p>
        </w:tc>
        <w:tc>
          <w:tcPr/>
          <w:p>
            <w:pPr>
              <w:pStyle w:val="Compact"/>
            </w:pPr>
            <w:r>
              <w:t xml:space="preserve">RELIANCE, ONGC, NTPC, POWERGRID</w:t>
            </w:r>
          </w:p>
        </w:tc>
      </w:tr>
      <w:tr>
        <w:tc>
          <w:tcPr/>
          <w:p>
            <w:pPr>
              <w:pStyle w:val="Compact"/>
            </w:pPr>
            <w:r>
              <w:t xml:space="preserve">Automotive</w:t>
            </w:r>
          </w:p>
        </w:tc>
        <w:tc>
          <w:tcPr/>
          <w:p>
            <w:pPr>
              <w:pStyle w:val="Compact"/>
            </w:pPr>
            <w:r>
              <w:t xml:space="preserve">3</w:t>
            </w:r>
          </w:p>
        </w:tc>
        <w:tc>
          <w:tcPr/>
          <w:p>
            <w:pPr>
              <w:pStyle w:val="Compact"/>
            </w:pPr>
            <w:r>
              <w:t xml:space="preserve">MARUTI, TATAMOTORS, EICHERMOT</w:t>
            </w:r>
          </w:p>
        </w:tc>
      </w:tr>
      <w:tr>
        <w:tc>
          <w:tcPr/>
          <w:p>
            <w:pPr>
              <w:pStyle w:val="Compact"/>
            </w:pPr>
            <w:r>
              <w:t xml:space="preserve">Metals</w:t>
            </w:r>
          </w:p>
        </w:tc>
        <w:tc>
          <w:tcPr/>
          <w:p>
            <w:pPr>
              <w:pStyle w:val="Compact"/>
            </w:pPr>
            <w:r>
              <w:t xml:space="preserve">3</w:t>
            </w:r>
          </w:p>
        </w:tc>
        <w:tc>
          <w:tcPr/>
          <w:p>
            <w:pPr>
              <w:pStyle w:val="Compact"/>
            </w:pPr>
            <w:r>
              <w:t xml:space="preserve">TATASTEEL, JSWSTEEL, HINDALCO</w:t>
            </w:r>
          </w:p>
        </w:tc>
      </w:tr>
      <w:tr>
        <w:tc>
          <w:tcPr/>
          <w:p>
            <w:pPr>
              <w:pStyle w:val="Compact"/>
            </w:pPr>
            <w:r>
              <w:t xml:space="preserve">Others (Infrastructure, Diversified)</w:t>
            </w:r>
          </w:p>
        </w:tc>
        <w:tc>
          <w:tcPr/>
          <w:p>
            <w:pPr>
              <w:pStyle w:val="Compact"/>
            </w:pPr>
            <w:r>
              <w:t xml:space="preserve">10</w:t>
            </w:r>
          </w:p>
        </w:tc>
        <w:tc>
          <w:tcPr/>
          <w:p>
            <w:pPr>
              <w:pStyle w:val="Compact"/>
            </w:pPr>
            <w:r>
              <w:t xml:space="preserve">LT, ULTRACEMCO, GRASIM, ADANIENT, etc.</w:t>
            </w:r>
          </w:p>
        </w:tc>
      </w:tr>
      <w:tr>
        <w:tc>
          <w:tcPr/>
          <w:p>
            <w:pPr>
              <w:pStyle w:val="Compact"/>
            </w:pPr>
            <w:r>
              <w:rPr>
                <w:b/>
                <w:bCs/>
              </w:rPr>
              <w:t xml:space="preserve">Total</w:t>
            </w:r>
          </w:p>
        </w:tc>
        <w:tc>
          <w:tcPr/>
          <w:p>
            <w:pPr>
              <w:pStyle w:val="Compact"/>
            </w:pPr>
            <w:r>
              <w:rPr>
                <w:b/>
                <w:bCs/>
              </w:rPr>
              <w:t xml:space="preserve">44</w:t>
            </w:r>
          </w:p>
        </w:tc>
        <w:tc>
          <w:tcPr/>
          <w:p>
            <w:pPr>
              <w:pStyle w:val="Compact"/>
            </w:pPr>
          </w:p>
        </w:tc>
      </w:tr>
    </w:tbl>
    <w:p>
      <w:pPr>
        <w:pStyle w:val="BodyText"/>
      </w:pPr>
      <w:r>
        <w:t xml:space="preserve">Date range: January 2015 to December 2025 (approximately 2700 trading days per stock).</w:t>
      </w:r>
    </w:p>
    <w:p>
      <w:r>
        <w:pict>
          <v:rect style="width:0;height:1.5pt" o:hralign="center" o:hrstd="t" o:hr="t"/>
        </w:pict>
      </w:r>
    </w:p>
    <w:bookmarkEnd w:id="25"/>
    <w:bookmarkStart w:id="27" w:name="data-preprocessing"/>
    <w:p>
      <w:pPr>
        <w:pStyle w:val="Heading2"/>
      </w:pPr>
      <w:r>
        <w:t xml:space="preserve">3.3 Data Preprocessing</w:t>
      </w:r>
    </w:p>
    <w:p>
      <w:pPr>
        <w:pStyle w:val="FirstParagraph"/>
      </w:pPr>
      <w:r>
        <w:t xml:space="preserve">Raw financial data from Yahoo Finance has several imperfections that need to be addressed before the data can go into model training.</w:t>
      </w:r>
    </w:p>
    <w:p>
      <w:pPr>
        <w:pStyle w:val="BodyText"/>
      </w:pPr>
      <w:r>
        <w:t xml:space="preserve">The most common issue is missing values. Indian markets observe scheduled holidays, and on those days no price data is recorded. Gaps are handled by forward-filling. Each missing value is replaced by the most recently observed valid price. Forward-fill is chosen over interpolation because financial prices are not smooth across market closures. Interpolating between a Friday close and a Tuesday open would imply a price movement on Monday (a holiday) that did not actually happen. That kind of artificial signal does not exist in the real market, so introducing it would corrupt the model inputs.</w:t>
      </w:r>
    </w:p>
    <w:p>
      <w:pPr>
        <w:pStyle w:val="BodyText"/>
      </w:pPr>
      <w:r>
        <w:t xml:space="preserve">Extreme price observations are checked against a threshold of five standard deviations from the rolling mean. Values beyond this threshold are examined individually. Most correspond to genuine corporate events (bonus share issues, stock splits that the Adjusted Close did not fully correct) or data errors from the source. Data errors are corrected or forward-filled. Genuine corporate events are kept as-is.</w:t>
      </w:r>
    </w:p>
    <w:p>
      <w:pPr>
        <w:pStyle w:val="BodyText"/>
      </w:pPr>
      <w:r>
        <w:t xml:space="preserve">Volume data follows the same forward-fill logic for days with zero recorded volume, which typically indicates trading halts.</w:t>
      </w:r>
    </w:p>
    <w:p>
      <w:pPr>
        <w:pStyle w:val="BodyText"/>
      </w:pPr>
      <w:r>
        <w:t xml:space="preserve">After cleaning, the data is verified to be in strict chronological order with no remaining NaN values. This ordering is preserved throughout all subsequent processing steps. No shuffling of the time series is applied at any point. Shuffling would destroy the temporal structure that both the RL environment and the T-GAT model depend on, and it would also create data leakage by allowing information from future time steps to appear before past ones in the training sequence.</w:t>
      </w:r>
    </w:p>
    <w:p>
      <w:pPr>
        <w:pStyle w:val="BodyText"/>
      </w:pPr>
      <w:r>
        <w:t xml:space="preserve">The final cleaned dataset has shape (trading days, 44, 6), representing all six price fields for all forty-four stocks across all trading days in the study period.</w:t>
      </w:r>
    </w:p>
    <w:p>
      <w:r>
        <w:pict>
          <v:rect style="width:0;height:1.5pt" o:hralign="center" o:hrstd="t" o:hr="t"/>
        </w:pict>
      </w:r>
    </w:p>
    <w:bookmarkEnd w:id="26"/>
    <w:bookmarkStart w:id="28" w:name="feature-engineering-technical-indicators"/>
    <w:p>
      <w:pPr>
        <w:pStyle w:val="Heading2"/>
      </w:pPr>
      <w:r>
        <w:t xml:space="preserve">3.4 Feature Engineering — Technical Indicators</w:t>
      </w:r>
    </w:p>
    <w:p>
      <w:pPr>
        <w:pStyle w:val="FirstParagraph"/>
      </w:pPr>
      <w:r>
        <w:t xml:space="preserve">Twenty-one technical indicators are computed per stock from raw OHLCV data, spanning four categories: trend (SMA, EMA, MACD family), momentum (RSI, Stochastic, Williams %R, ROC, CCI), volatility (Bollinger Bands, ATR), and volume (OBV, Volume Ratio, VWAP deviation). Table 3.2 lists all twenty-one indicators with their parameters and purpose.</w:t>
      </w:r>
    </w:p>
    <w:p>
      <w:pPr>
        <w:pStyle w:val="BodyText"/>
      </w:pPr>
      <w:r>
        <w:t xml:space="preserve">After computation, all indicators are normalised using a rolling Z-score with a 252-day window:</w:t>
      </w:r>
    </w:p>
    <w:p>
      <w:pPr>
        <w:pStyle w:val="BodyText"/>
      </w:pPr>
      <m:oMathPara>
        <m:oMathParaPr>
          <m:jc m:val="center"/>
        </m:oMathParaPr>
        <m:oMath>
          <m:r>
            <m:t>Z</m:t>
          </m:r>
          <m:r>
            <m:rPr>
              <m:sty m:val="p"/>
            </m:rPr>
            <m:t>(</m:t>
          </m:r>
          <m:r>
            <m:t>t</m:t>
          </m:r>
          <m:r>
            <m:rPr>
              <m:sty m:val="p"/>
            </m:rPr>
            <m:t>)</m:t>
          </m:r>
          <m:r>
            <m:rPr>
              <m:sty m:val="p"/>
            </m:rPr>
            <m:t>=</m:t>
          </m:r>
          <m:f>
            <m:fPr>
              <m:type m:val="bar"/>
            </m:fPr>
            <m:num>
              <m:r>
                <m:t>X</m:t>
              </m:r>
              <m:r>
                <m:rPr>
                  <m:sty m:val="p"/>
                </m:rPr>
                <m:t>(</m:t>
              </m:r>
              <m:r>
                <m:t>t</m:t>
              </m:r>
              <m:r>
                <m:rPr>
                  <m:sty m:val="p"/>
                </m:rPr>
                <m:t>)</m:t>
              </m:r>
              <m:r>
                <m:rPr>
                  <m:sty m:val="p"/>
                </m:rPr>
                <m:t>−</m:t>
              </m:r>
              <m:r>
                <m:rPr>
                  <m:nor/>
                  <m:sty m:val="p"/>
                </m:rPr>
                <m:t>rolling_mean</m:t>
              </m:r>
              <m:r>
                <m:rPr>
                  <m:sty m:val="p"/>
                </m:rPr>
                <m:t>(</m:t>
              </m:r>
              <m:r>
                <m:t>X</m:t>
              </m:r>
              <m:r>
                <m:rPr>
                  <m:sty m:val="p"/>
                </m:rPr>
                <m:t>,</m:t>
              </m:r>
              <m:r>
                <m:t> </m:t>
              </m:r>
              <m:r>
                <m:t>252</m:t>
              </m:r>
              <m:r>
                <m:rPr>
                  <m:sty m:val="p"/>
                </m:rPr>
                <m:t>)</m:t>
              </m:r>
            </m:num>
            <m:den>
              <m:r>
                <m:rPr>
                  <m:nor/>
                  <m:sty m:val="p"/>
                </m:rPr>
                <m:t>rolling_std</m:t>
              </m:r>
              <m:r>
                <m:rPr>
                  <m:sty m:val="p"/>
                </m:rPr>
                <m:t>(</m:t>
              </m:r>
              <m:r>
                <m:t>X</m:t>
              </m:r>
              <m:r>
                <m:rPr>
                  <m:sty m:val="p"/>
                </m:rPr>
                <m:t>,</m:t>
              </m:r>
              <m:r>
                <m:t> </m:t>
              </m:r>
              <m:r>
                <m:t>252</m:t>
              </m:r>
              <m:r>
                <m:rPr>
                  <m:sty m:val="p"/>
                </m:rPr>
                <m:t>)</m:t>
              </m:r>
            </m:den>
          </m:f>
        </m:oMath>
      </m:oMathPara>
    </w:p>
    <w:p>
      <w:pPr>
        <w:pStyle w:val="FirstParagraph"/>
      </w:pPr>
      <w:r>
        <w:t xml:space="preserve">Rolling normalisation is used rather than global normalisation to prevent data leakage. If global statistics were used, they would incorporate future data into the normalisation of early training points (information that would not be available at deployment time).</w:t>
      </w:r>
    </w:p>
    <w:p>
      <w:pPr>
        <w:pStyle w:val="BodyText"/>
      </w:pPr>
      <w:r>
        <w:rPr>
          <w:b/>
          <w:bCs/>
        </w:rPr>
        <w:t xml:space="preserve">Table 3.2</w:t>
      </w:r>
      <w:r>
        <w:t xml:space="preserve">: All 21 Technical Indicators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Indicator</w:t>
            </w:r>
          </w:p>
        </w:tc>
        <w:tc>
          <w:tcPr/>
          <w:p>
            <w:pPr>
              <w:pStyle w:val="Compact"/>
            </w:pPr>
            <w:r>
              <w:t xml:space="preserve">Category</w:t>
            </w:r>
          </w:p>
        </w:tc>
        <w:tc>
          <w:tcPr/>
          <w:p>
            <w:pPr>
              <w:pStyle w:val="Compact"/>
            </w:pPr>
            <w:r>
              <w:t xml:space="preserve">Period / Parameter</w:t>
            </w:r>
          </w:p>
        </w:tc>
        <w:tc>
          <w:tcPr/>
          <w:p>
            <w:pPr>
              <w:pStyle w:val="Compact"/>
            </w:pPr>
            <w:r>
              <w:t xml:space="preserve">What it Captures</w:t>
            </w:r>
          </w:p>
        </w:tc>
      </w:tr>
      <w:tr>
        <w:tc>
          <w:tcPr/>
          <w:p>
            <w:pPr>
              <w:pStyle w:val="Compact"/>
            </w:pPr>
            <w:r>
              <w:t xml:space="preserve">1</w:t>
            </w:r>
          </w:p>
        </w:tc>
        <w:tc>
          <w:tcPr/>
          <w:p>
            <w:pPr>
              <w:pStyle w:val="Compact"/>
            </w:pPr>
            <w:r>
              <w:t xml:space="preserve">SMA 20</w:t>
            </w:r>
          </w:p>
        </w:tc>
        <w:tc>
          <w:tcPr/>
          <w:p>
            <w:pPr>
              <w:pStyle w:val="Compact"/>
            </w:pPr>
            <w:r>
              <w:t xml:space="preserve">Trend</w:t>
            </w:r>
          </w:p>
        </w:tc>
        <w:tc>
          <w:tcPr/>
          <w:p>
            <w:pPr>
              <w:pStyle w:val="Compact"/>
            </w:pPr>
            <w:r>
              <w:t xml:space="preserve">20-day window</w:t>
            </w:r>
          </w:p>
        </w:tc>
        <w:tc>
          <w:tcPr/>
          <w:p>
            <w:pPr>
              <w:pStyle w:val="Compact"/>
            </w:pPr>
            <w:r>
              <w:t xml:space="preserve">Short-term price average</w:t>
            </w:r>
          </w:p>
        </w:tc>
      </w:tr>
      <w:tr>
        <w:tc>
          <w:tcPr/>
          <w:p>
            <w:pPr>
              <w:pStyle w:val="Compact"/>
            </w:pPr>
            <w:r>
              <w:t xml:space="preserve">2</w:t>
            </w:r>
          </w:p>
        </w:tc>
        <w:tc>
          <w:tcPr/>
          <w:p>
            <w:pPr>
              <w:pStyle w:val="Compact"/>
            </w:pPr>
            <w:r>
              <w:t xml:space="preserve">EMA 20</w:t>
            </w:r>
          </w:p>
        </w:tc>
        <w:tc>
          <w:tcPr/>
          <w:p>
            <w:pPr>
              <w:pStyle w:val="Compact"/>
            </w:pPr>
            <w:r>
              <w:t xml:space="preserve">Trend</w:t>
            </w:r>
          </w:p>
        </w:tc>
        <w:tc>
          <w:tcPr/>
          <w:p>
            <w:pPr>
              <w:pStyle w:val="Compact"/>
            </w:pPr>
            <w:r>
              <w:t xml:space="preserve">20-day, k = 2/21</w:t>
            </w:r>
          </w:p>
        </w:tc>
        <w:tc>
          <w:tcPr/>
          <w:p>
            <w:pPr>
              <w:pStyle w:val="Compact"/>
            </w:pPr>
            <w:r>
              <w:t xml:space="preserve">Recent-weighted short trend</w:t>
            </w:r>
          </w:p>
        </w:tc>
      </w:tr>
      <w:tr>
        <w:tc>
          <w:tcPr/>
          <w:p>
            <w:pPr>
              <w:pStyle w:val="Compact"/>
            </w:pPr>
            <w:r>
              <w:t xml:space="preserve">3</w:t>
            </w:r>
          </w:p>
        </w:tc>
        <w:tc>
          <w:tcPr/>
          <w:p>
            <w:pPr>
              <w:pStyle w:val="Compact"/>
            </w:pPr>
            <w:r>
              <w:t xml:space="preserve">EMA 50</w:t>
            </w:r>
          </w:p>
        </w:tc>
        <w:tc>
          <w:tcPr/>
          <w:p>
            <w:pPr>
              <w:pStyle w:val="Compact"/>
            </w:pPr>
            <w:r>
              <w:t xml:space="preserve">Trend</w:t>
            </w:r>
          </w:p>
        </w:tc>
        <w:tc>
          <w:tcPr/>
          <w:p>
            <w:pPr>
              <w:pStyle w:val="Compact"/>
            </w:pPr>
            <w:r>
              <w:t xml:space="preserve">50-day, k = 2/51</w:t>
            </w:r>
          </w:p>
        </w:tc>
        <w:tc>
          <w:tcPr/>
          <w:p>
            <w:pPr>
              <w:pStyle w:val="Compact"/>
            </w:pPr>
            <w:r>
              <w:t xml:space="preserve">Intermediate trend</w:t>
            </w:r>
          </w:p>
        </w:tc>
      </w:tr>
      <w:tr>
        <w:tc>
          <w:tcPr/>
          <w:p>
            <w:pPr>
              <w:pStyle w:val="Compact"/>
            </w:pPr>
            <w:r>
              <w:t xml:space="preserve">4</w:t>
            </w:r>
          </w:p>
        </w:tc>
        <w:tc>
          <w:tcPr/>
          <w:p>
            <w:pPr>
              <w:pStyle w:val="Compact"/>
            </w:pPr>
            <w:r>
              <w:t xml:space="preserve">MACD</w:t>
            </w:r>
          </w:p>
        </w:tc>
        <w:tc>
          <w:tcPr/>
          <w:p>
            <w:pPr>
              <w:pStyle w:val="Compact"/>
            </w:pPr>
            <w:r>
              <w:t xml:space="preserve">Trend</w:t>
            </w:r>
          </w:p>
        </w:tc>
        <w:tc>
          <w:tcPr/>
          <w:p>
            <w:pPr>
              <w:pStyle w:val="Compact"/>
            </w:pPr>
            <w:r>
              <w:t xml:space="preserve">EMA(12) - EMA(26)</w:t>
            </w:r>
          </w:p>
        </w:tc>
        <w:tc>
          <w:tcPr/>
          <w:p>
            <w:pPr>
              <w:pStyle w:val="Compact"/>
            </w:pPr>
            <w:r>
              <w:t xml:space="preserve">Trend momentum crossover</w:t>
            </w:r>
          </w:p>
        </w:tc>
      </w:tr>
      <w:tr>
        <w:tc>
          <w:tcPr/>
          <w:p>
            <w:pPr>
              <w:pStyle w:val="Compact"/>
            </w:pPr>
            <w:r>
              <w:t xml:space="preserve">5</w:t>
            </w:r>
          </w:p>
        </w:tc>
        <w:tc>
          <w:tcPr/>
          <w:p>
            <w:pPr>
              <w:pStyle w:val="Compact"/>
            </w:pPr>
            <w:r>
              <w:t xml:space="preserve">MACD Signal</w:t>
            </w:r>
          </w:p>
        </w:tc>
        <w:tc>
          <w:tcPr/>
          <w:p>
            <w:pPr>
              <w:pStyle w:val="Compact"/>
            </w:pPr>
            <w:r>
              <w:t xml:space="preserve">Trend</w:t>
            </w:r>
          </w:p>
        </w:tc>
        <w:tc>
          <w:tcPr/>
          <w:p>
            <w:pPr>
              <w:pStyle w:val="Compact"/>
            </w:pPr>
            <w:r>
              <w:t xml:space="preserve">EMA(9) of MACD</w:t>
            </w:r>
          </w:p>
        </w:tc>
        <w:tc>
          <w:tcPr/>
          <w:p>
            <w:pPr>
              <w:pStyle w:val="Compact"/>
            </w:pPr>
            <w:r>
              <w:t xml:space="preserve">Smoothed MACD</w:t>
            </w:r>
          </w:p>
        </w:tc>
      </w:tr>
      <w:tr>
        <w:tc>
          <w:tcPr/>
          <w:p>
            <w:pPr>
              <w:pStyle w:val="Compact"/>
            </w:pPr>
            <w:r>
              <w:t xml:space="preserve">6</w:t>
            </w:r>
          </w:p>
        </w:tc>
        <w:tc>
          <w:tcPr/>
          <w:p>
            <w:pPr>
              <w:pStyle w:val="Compact"/>
            </w:pPr>
            <w:r>
              <w:t xml:space="preserve">MACD Histogram</w:t>
            </w:r>
          </w:p>
        </w:tc>
        <w:tc>
          <w:tcPr/>
          <w:p>
            <w:pPr>
              <w:pStyle w:val="Compact"/>
            </w:pPr>
            <w:r>
              <w:t xml:space="preserve">Trend</w:t>
            </w:r>
          </w:p>
        </w:tc>
        <w:tc>
          <w:tcPr/>
          <w:p>
            <w:pPr>
              <w:pStyle w:val="Compact"/>
            </w:pPr>
            <w:r>
              <w:t xml:space="preserve">MACD - Signal</w:t>
            </w:r>
          </w:p>
        </w:tc>
        <w:tc>
          <w:tcPr/>
          <w:p>
            <w:pPr>
              <w:pStyle w:val="Compact"/>
            </w:pPr>
            <w:r>
              <w:t xml:space="preserve">Divergence from signal</w:t>
            </w:r>
          </w:p>
        </w:tc>
      </w:tr>
      <w:tr>
        <w:tc>
          <w:tcPr/>
          <w:p>
            <w:pPr>
              <w:pStyle w:val="Compact"/>
            </w:pPr>
            <w:r>
              <w:t xml:space="preserve">7</w:t>
            </w:r>
          </w:p>
        </w:tc>
        <w:tc>
          <w:tcPr/>
          <w:p>
            <w:pPr>
              <w:pStyle w:val="Compact"/>
            </w:pPr>
            <w:r>
              <w:t xml:space="preserve">RSI</w:t>
            </w:r>
          </w:p>
        </w:tc>
        <w:tc>
          <w:tcPr/>
          <w:p>
            <w:pPr>
              <w:pStyle w:val="Compact"/>
            </w:pPr>
            <w:r>
              <w:t xml:space="preserve">Momentum</w:t>
            </w:r>
          </w:p>
        </w:tc>
        <w:tc>
          <w:tcPr/>
          <w:p>
            <w:pPr>
              <w:pStyle w:val="Compact"/>
            </w:pPr>
            <w:r>
              <w:t xml:space="preserve">14-period</w:t>
            </w:r>
          </w:p>
        </w:tc>
        <w:tc>
          <w:tcPr/>
          <w:p>
            <w:pPr>
              <w:pStyle w:val="Compact"/>
            </w:pPr>
            <w:r>
              <w:t xml:space="preserve">Overbought / Oversold</w:t>
            </w:r>
          </w:p>
        </w:tc>
      </w:tr>
      <w:tr>
        <w:tc>
          <w:tcPr/>
          <w:p>
            <w:pPr>
              <w:pStyle w:val="Compact"/>
            </w:pPr>
            <w:r>
              <w:t xml:space="preserve">8</w:t>
            </w:r>
          </w:p>
        </w:tc>
        <w:tc>
          <w:tcPr/>
          <w:p>
            <w:pPr>
              <w:pStyle w:val="Compact"/>
            </w:pPr>
            <w:r>
              <w:t xml:space="preserve">Stochastic %K</w:t>
            </w:r>
          </w:p>
        </w:tc>
        <w:tc>
          <w:tcPr/>
          <w:p>
            <w:pPr>
              <w:pStyle w:val="Compact"/>
            </w:pPr>
            <w:r>
              <w:t xml:space="preserve">Momentum</w:t>
            </w:r>
          </w:p>
        </w:tc>
        <w:tc>
          <w:tcPr/>
          <w:p>
            <w:pPr>
              <w:pStyle w:val="Compact"/>
            </w:pPr>
            <w:r>
              <w:t xml:space="preserve">14-period</w:t>
            </w:r>
          </w:p>
        </w:tc>
        <w:tc>
          <w:tcPr/>
          <w:p>
            <w:pPr>
              <w:pStyle w:val="Compact"/>
            </w:pPr>
            <w:r>
              <w:t xml:space="preserve">Close position in range</w:t>
            </w:r>
          </w:p>
        </w:tc>
      </w:tr>
      <w:tr>
        <w:tc>
          <w:tcPr/>
          <w:p>
            <w:pPr>
              <w:pStyle w:val="Compact"/>
            </w:pPr>
            <w:r>
              <w:t xml:space="preserve">9</w:t>
            </w:r>
          </w:p>
        </w:tc>
        <w:tc>
          <w:tcPr/>
          <w:p>
            <w:pPr>
              <w:pStyle w:val="Compact"/>
            </w:pPr>
            <w:r>
              <w:t xml:space="preserve">Stochastic %D</w:t>
            </w:r>
          </w:p>
        </w:tc>
        <w:tc>
          <w:tcPr/>
          <w:p>
            <w:pPr>
              <w:pStyle w:val="Compact"/>
            </w:pPr>
            <w:r>
              <w:t xml:space="preserve">Momentum</w:t>
            </w:r>
          </w:p>
        </w:tc>
        <w:tc>
          <w:tcPr/>
          <w:p>
            <w:pPr>
              <w:pStyle w:val="Compact"/>
            </w:pPr>
            <w:r>
              <w:t xml:space="preserve">3-period SMA of %K</w:t>
            </w:r>
          </w:p>
        </w:tc>
        <w:tc>
          <w:tcPr/>
          <w:p>
            <w:pPr>
              <w:pStyle w:val="Compact"/>
            </w:pPr>
            <w:r>
              <w:t xml:space="preserve">Smoothed stochastic</w:t>
            </w:r>
          </w:p>
        </w:tc>
      </w:tr>
      <w:tr>
        <w:tc>
          <w:tcPr/>
          <w:p>
            <w:pPr>
              <w:pStyle w:val="Compact"/>
            </w:pPr>
            <w:r>
              <w:t xml:space="preserve">10</w:t>
            </w:r>
          </w:p>
        </w:tc>
        <w:tc>
          <w:tcPr/>
          <w:p>
            <w:pPr>
              <w:pStyle w:val="Compact"/>
            </w:pPr>
            <w:r>
              <w:t xml:space="preserve">Williams %R</w:t>
            </w:r>
          </w:p>
        </w:tc>
        <w:tc>
          <w:tcPr/>
          <w:p>
            <w:pPr>
              <w:pStyle w:val="Compact"/>
            </w:pPr>
            <w:r>
              <w:t xml:space="preserve">Momentum</w:t>
            </w:r>
          </w:p>
        </w:tc>
        <w:tc>
          <w:tcPr/>
          <w:p>
            <w:pPr>
              <w:pStyle w:val="Compact"/>
            </w:pPr>
            <w:r>
              <w:t xml:space="preserve">14-period</w:t>
            </w:r>
          </w:p>
        </w:tc>
        <w:tc>
          <w:tcPr/>
          <w:p>
            <w:pPr>
              <w:pStyle w:val="Compact"/>
            </w:pPr>
            <w:r>
              <w:t xml:space="preserve">Inverted stochastic</w:t>
            </w:r>
          </w:p>
        </w:tc>
      </w:tr>
      <w:tr>
        <w:tc>
          <w:tcPr/>
          <w:p>
            <w:pPr>
              <w:pStyle w:val="Compact"/>
            </w:pPr>
            <w:r>
              <w:t xml:space="preserve">11</w:t>
            </w:r>
          </w:p>
        </w:tc>
        <w:tc>
          <w:tcPr/>
          <w:p>
            <w:pPr>
              <w:pStyle w:val="Compact"/>
            </w:pPr>
            <w:r>
              <w:t xml:space="preserve">ROC</w:t>
            </w:r>
          </w:p>
        </w:tc>
        <w:tc>
          <w:tcPr/>
          <w:p>
            <w:pPr>
              <w:pStyle w:val="Compact"/>
            </w:pPr>
            <w:r>
              <w:t xml:space="preserve">Momentum</w:t>
            </w:r>
          </w:p>
        </w:tc>
        <w:tc>
          <w:tcPr/>
          <w:p>
            <w:pPr>
              <w:pStyle w:val="Compact"/>
            </w:pPr>
            <w:r>
              <w:t xml:space="preserve">10-period</w:t>
            </w:r>
          </w:p>
        </w:tc>
        <w:tc>
          <w:tcPr/>
          <w:p>
            <w:pPr>
              <w:pStyle w:val="Compact"/>
            </w:pPr>
            <w:r>
              <w:t xml:space="preserve">Rate of price change</w:t>
            </w:r>
          </w:p>
        </w:tc>
      </w:tr>
      <w:tr>
        <w:tc>
          <w:tcPr/>
          <w:p>
            <w:pPr>
              <w:pStyle w:val="Compact"/>
            </w:pPr>
            <w:r>
              <w:t xml:space="preserve">12</w:t>
            </w:r>
          </w:p>
        </w:tc>
        <w:tc>
          <w:tcPr/>
          <w:p>
            <w:pPr>
              <w:pStyle w:val="Compact"/>
            </w:pPr>
            <w:r>
              <w:t xml:space="preserve">CCI</w:t>
            </w:r>
          </w:p>
        </w:tc>
        <w:tc>
          <w:tcPr/>
          <w:p>
            <w:pPr>
              <w:pStyle w:val="Compact"/>
            </w:pPr>
            <w:r>
              <w:t xml:space="preserve">Momentum</w:t>
            </w:r>
          </w:p>
        </w:tc>
        <w:tc>
          <w:tcPr/>
          <w:p>
            <w:pPr>
              <w:pStyle w:val="Compact"/>
            </w:pPr>
            <w:r>
              <w:t xml:space="preserve">20-period</w:t>
            </w:r>
          </w:p>
        </w:tc>
        <w:tc>
          <w:tcPr/>
          <w:p>
            <w:pPr>
              <w:pStyle w:val="Compact"/>
            </w:pPr>
            <w:r>
              <w:t xml:space="preserve">Price deviation from average</w:t>
            </w:r>
          </w:p>
        </w:tc>
      </w:tr>
      <w:tr>
        <w:tc>
          <w:tcPr/>
          <w:p>
            <w:pPr>
              <w:pStyle w:val="Compact"/>
            </w:pPr>
            <w:r>
              <w:t xml:space="preserve">13</w:t>
            </w:r>
          </w:p>
        </w:tc>
        <w:tc>
          <w:tcPr/>
          <w:p>
            <w:pPr>
              <w:pStyle w:val="Compact"/>
            </w:pPr>
            <w:r>
              <w:t xml:space="preserve">Bollinger Upper</w:t>
            </w:r>
          </w:p>
        </w:tc>
        <w:tc>
          <w:tcPr/>
          <w:p>
            <w:pPr>
              <w:pStyle w:val="Compact"/>
            </w:pPr>
            <w:r>
              <w:t xml:space="preserve">Volatility</w:t>
            </w:r>
          </w:p>
        </w:tc>
        <w:tc>
          <w:tcPr/>
          <w:p>
            <w:pPr>
              <w:pStyle w:val="Compact"/>
            </w:pPr>
            <w:r>
              <w:t xml:space="preserve">SMA(20) + 2sigma</w:t>
            </w:r>
          </w:p>
        </w:tc>
        <w:tc>
          <w:tcPr/>
          <w:p>
            <w:pPr>
              <w:pStyle w:val="Compact"/>
            </w:pPr>
            <w:r>
              <w:t xml:space="preserve">Resistance level</w:t>
            </w:r>
          </w:p>
        </w:tc>
      </w:tr>
      <w:tr>
        <w:tc>
          <w:tcPr/>
          <w:p>
            <w:pPr>
              <w:pStyle w:val="Compact"/>
            </w:pPr>
            <w:r>
              <w:t xml:space="preserve">14</w:t>
            </w:r>
          </w:p>
        </w:tc>
        <w:tc>
          <w:tcPr/>
          <w:p>
            <w:pPr>
              <w:pStyle w:val="Compact"/>
            </w:pPr>
            <w:r>
              <w:t xml:space="preserve">Bollinger Lower</w:t>
            </w:r>
          </w:p>
        </w:tc>
        <w:tc>
          <w:tcPr/>
          <w:p>
            <w:pPr>
              <w:pStyle w:val="Compact"/>
            </w:pPr>
            <w:r>
              <w:t xml:space="preserve">Volatility</w:t>
            </w:r>
          </w:p>
        </w:tc>
        <w:tc>
          <w:tcPr/>
          <w:p>
            <w:pPr>
              <w:pStyle w:val="Compact"/>
            </w:pPr>
            <w:r>
              <w:t xml:space="preserve">SMA(20) - 2sigma</w:t>
            </w:r>
          </w:p>
        </w:tc>
        <w:tc>
          <w:tcPr/>
          <w:p>
            <w:pPr>
              <w:pStyle w:val="Compact"/>
            </w:pPr>
            <w:r>
              <w:t xml:space="preserve">Support level</w:t>
            </w:r>
          </w:p>
        </w:tc>
      </w:tr>
      <w:tr>
        <w:tc>
          <w:tcPr/>
          <w:p>
            <w:pPr>
              <w:pStyle w:val="Compact"/>
            </w:pPr>
            <w:r>
              <w:t xml:space="preserve">15</w:t>
            </w:r>
          </w:p>
        </w:tc>
        <w:tc>
          <w:tcPr/>
          <w:p>
            <w:pPr>
              <w:pStyle w:val="Compact"/>
            </w:pPr>
            <w:r>
              <w:t xml:space="preserve">Bollinger Bandwidth</w:t>
            </w:r>
          </w:p>
        </w:tc>
        <w:tc>
          <w:tcPr/>
          <w:p>
            <w:pPr>
              <w:pStyle w:val="Compact"/>
            </w:pPr>
            <w:r>
              <w:t xml:space="preserve">Volatility</w:t>
            </w:r>
          </w:p>
        </w:tc>
        <w:tc>
          <w:tcPr/>
          <w:p>
            <w:pPr>
              <w:pStyle w:val="Compact"/>
            </w:pPr>
            <w:r>
              <w:t xml:space="preserve">(Upper - Lower) / Mid</w:t>
            </w:r>
          </w:p>
        </w:tc>
        <w:tc>
          <w:tcPr/>
          <w:p>
            <w:pPr>
              <w:pStyle w:val="Compact"/>
            </w:pPr>
            <w:r>
              <w:t xml:space="preserve">Volatility magnitude</w:t>
            </w:r>
          </w:p>
        </w:tc>
      </w:tr>
      <w:tr>
        <w:tc>
          <w:tcPr/>
          <w:p>
            <w:pPr>
              <w:pStyle w:val="Compact"/>
            </w:pPr>
            <w:r>
              <w:t xml:space="preserve">16</w:t>
            </w:r>
          </w:p>
        </w:tc>
        <w:tc>
          <w:tcPr/>
          <w:p>
            <w:pPr>
              <w:pStyle w:val="Compact"/>
            </w:pPr>
            <w:r>
              <w:t xml:space="preserve">ATR</w:t>
            </w:r>
          </w:p>
        </w:tc>
        <w:tc>
          <w:tcPr/>
          <w:p>
            <w:pPr>
              <w:pStyle w:val="Compact"/>
            </w:pPr>
            <w:r>
              <w:t xml:space="preserve">Volatility</w:t>
            </w:r>
          </w:p>
        </w:tc>
        <w:tc>
          <w:tcPr/>
          <w:p>
            <w:pPr>
              <w:pStyle w:val="Compact"/>
            </w:pPr>
            <w:r>
              <w:t xml:space="preserve">14-period EMA of True Range</w:t>
            </w:r>
          </w:p>
        </w:tc>
        <w:tc>
          <w:tcPr/>
          <w:p>
            <w:pPr>
              <w:pStyle w:val="Compact"/>
            </w:pPr>
            <w:r>
              <w:t xml:space="preserve">Intraday volatility</w:t>
            </w:r>
          </w:p>
        </w:tc>
      </w:tr>
      <w:tr>
        <w:tc>
          <w:tcPr/>
          <w:p>
            <w:pPr>
              <w:pStyle w:val="Compact"/>
            </w:pPr>
            <w:r>
              <w:t xml:space="preserve">17</w:t>
            </w:r>
          </w:p>
        </w:tc>
        <w:tc>
          <w:tcPr/>
          <w:p>
            <w:pPr>
              <w:pStyle w:val="Compact"/>
            </w:pPr>
            <w:r>
              <w:t xml:space="preserve">Daily Return</w:t>
            </w:r>
          </w:p>
        </w:tc>
        <w:tc>
          <w:tcPr/>
          <w:p>
            <w:pPr>
              <w:pStyle w:val="Compact"/>
            </w:pPr>
            <w:r>
              <w:t xml:space="preserve">Price</w:t>
            </w:r>
          </w:p>
        </w:tc>
        <w:tc>
          <w:tcPr/>
          <w:p>
            <w:pPr>
              <w:pStyle w:val="Compact"/>
            </w:pPr>
            <w:r>
              <w:t xml:space="preserve">(Close_t / Close_{t-1}) - 1</w:t>
            </w:r>
          </w:p>
        </w:tc>
        <w:tc>
          <w:tcPr/>
          <w:p>
            <w:pPr>
              <w:pStyle w:val="Compact"/>
            </w:pPr>
            <w:r>
              <w:t xml:space="preserve">Single-day price change</w:t>
            </w:r>
          </w:p>
        </w:tc>
      </w:tr>
      <w:tr>
        <w:tc>
          <w:tcPr/>
          <w:p>
            <w:pPr>
              <w:pStyle w:val="Compact"/>
            </w:pPr>
            <w:r>
              <w:t xml:space="preserve">18</w:t>
            </w:r>
          </w:p>
        </w:tc>
        <w:tc>
          <w:tcPr/>
          <w:p>
            <w:pPr>
              <w:pStyle w:val="Compact"/>
            </w:pPr>
            <w:r>
              <w:t xml:space="preserve">Momentum 10</w:t>
            </w:r>
          </w:p>
        </w:tc>
        <w:tc>
          <w:tcPr/>
          <w:p>
            <w:pPr>
              <w:pStyle w:val="Compact"/>
            </w:pPr>
            <w:r>
              <w:t xml:space="preserve">Price</w:t>
            </w:r>
          </w:p>
        </w:tc>
        <w:tc>
          <w:tcPr/>
          <w:p>
            <w:pPr>
              <w:pStyle w:val="Compact"/>
            </w:pPr>
            <w:r>
              <w:t xml:space="preserve">Close_t / Close_{t-10}</w:t>
            </w:r>
          </w:p>
        </w:tc>
        <w:tc>
          <w:tcPr/>
          <w:p>
            <w:pPr>
              <w:pStyle w:val="Compact"/>
            </w:pPr>
            <w:r>
              <w:t xml:space="preserve">10-day price momentum</w:t>
            </w:r>
          </w:p>
        </w:tc>
      </w:tr>
      <w:tr>
        <w:tc>
          <w:tcPr/>
          <w:p>
            <w:pPr>
              <w:pStyle w:val="Compact"/>
            </w:pPr>
            <w:r>
              <w:t xml:space="preserve">19</w:t>
            </w:r>
          </w:p>
        </w:tc>
        <w:tc>
          <w:tcPr/>
          <w:p>
            <w:pPr>
              <w:pStyle w:val="Compact"/>
            </w:pPr>
            <w:r>
              <w:t xml:space="preserve">OBV</w:t>
            </w:r>
          </w:p>
        </w:tc>
        <w:tc>
          <w:tcPr/>
          <w:p>
            <w:pPr>
              <w:pStyle w:val="Compact"/>
            </w:pPr>
            <w:r>
              <w:t xml:space="preserve">Volume</w:t>
            </w:r>
          </w:p>
        </w:tc>
        <w:tc>
          <w:tcPr/>
          <w:p>
            <w:pPr>
              <w:pStyle w:val="Compact"/>
            </w:pPr>
            <w:r>
              <w:t xml:space="preserve">Cumulative volume direction</w:t>
            </w:r>
          </w:p>
        </w:tc>
        <w:tc>
          <w:tcPr/>
          <w:p>
            <w:pPr>
              <w:pStyle w:val="Compact"/>
            </w:pPr>
            <w:r>
              <w:t xml:space="preserve">Volume pressure</w:t>
            </w:r>
          </w:p>
        </w:tc>
      </w:tr>
      <w:tr>
        <w:tc>
          <w:tcPr/>
          <w:p>
            <w:pPr>
              <w:pStyle w:val="Compact"/>
            </w:pPr>
            <w:r>
              <w:t xml:space="preserve">20</w:t>
            </w:r>
          </w:p>
        </w:tc>
        <w:tc>
          <w:tcPr/>
          <w:p>
            <w:pPr>
              <w:pStyle w:val="Compact"/>
            </w:pPr>
            <w:r>
              <w:t xml:space="preserve">Volume Ratio</w:t>
            </w:r>
          </w:p>
        </w:tc>
        <w:tc>
          <w:tcPr/>
          <w:p>
            <w:pPr>
              <w:pStyle w:val="Compact"/>
            </w:pPr>
            <w:r>
              <w:t xml:space="preserve">Volume</w:t>
            </w:r>
          </w:p>
        </w:tc>
        <w:tc>
          <w:tcPr/>
          <w:p>
            <w:pPr>
              <w:pStyle w:val="Compact"/>
            </w:pPr>
            <w:r>
              <w:t xml:space="preserve">Volume / SMA(Volume, 20)</w:t>
            </w:r>
          </w:p>
        </w:tc>
        <w:tc>
          <w:tcPr/>
          <w:p>
            <w:pPr>
              <w:pStyle w:val="Compact"/>
            </w:pPr>
            <w:r>
              <w:t xml:space="preserve">Volume anomaly</w:t>
            </w:r>
          </w:p>
        </w:tc>
      </w:tr>
      <w:tr>
        <w:tc>
          <w:tcPr/>
          <w:p>
            <w:pPr>
              <w:pStyle w:val="Compact"/>
            </w:pPr>
            <w:r>
              <w:t xml:space="preserve">21</w:t>
            </w:r>
          </w:p>
        </w:tc>
        <w:tc>
          <w:tcPr/>
          <w:p>
            <w:pPr>
              <w:pStyle w:val="Compact"/>
            </w:pPr>
            <w:r>
              <w:t xml:space="preserve">VWAP deviation</w:t>
            </w:r>
          </w:p>
        </w:tc>
        <w:tc>
          <w:tcPr/>
          <w:p>
            <w:pPr>
              <w:pStyle w:val="Compact"/>
            </w:pPr>
            <w:r>
              <w:t xml:space="preserve">Volume</w:t>
            </w:r>
          </w:p>
        </w:tc>
        <w:tc>
          <w:tcPr/>
          <w:p>
            <w:pPr>
              <w:pStyle w:val="Compact"/>
            </w:pPr>
            <w:r>
              <w:t xml:space="preserve">(Close - VWAP) / VWAP</w:t>
            </w:r>
          </w:p>
        </w:tc>
        <w:tc>
          <w:tcPr/>
          <w:p>
            <w:pPr>
              <w:pStyle w:val="Compact"/>
            </w:pPr>
            <w:r>
              <w:t xml:space="preserve">Price vs. volume-weighted average</w:t>
            </w:r>
          </w:p>
        </w:tc>
      </w:tr>
    </w:tbl>
    <w:p>
      <w:r>
        <w:pict>
          <v:rect style="width:0;height:1.5pt" o:hralign="center" o:hrstd="t" o:hr="t"/>
        </w:pict>
      </w:r>
    </w:p>
    <w:bookmarkEnd w:id="27"/>
    <w:bookmarkStart w:id="29" w:name="sentiment-analysis-module"/>
    <w:p>
      <w:pPr>
        <w:pStyle w:val="Heading2"/>
      </w:pPr>
      <w:r>
        <w:t xml:space="preserve">3.5 Sentiment Analysis Module</w:t>
      </w:r>
    </w:p>
    <w:p>
      <w:pPr>
        <w:pStyle w:val="FirstParagraph"/>
      </w:pPr>
      <w:r>
        <w:t xml:space="preserve">Financial news carries information that price history alone cannot capture. When a company announces quarterly results, when a sector regulator releases new guidelines, or when macroeconomic data comes out differently from what analysts expected, the market reaction often begins in news text before it appears in price movements. The sentiment module in FINQUANT-NEXUS extracts this forward-looking signal from live news and converts it into a numerical feature the RL agents can use.</w:t>
      </w:r>
    </w:p>
    <w:p>
      <w:pPr>
        <w:pStyle w:val="BodyText"/>
      </w:pPr>
      <w:r>
        <w:t xml:space="preserve">General-purpose sentiment classifiers trained on movie reviews or social media text do not transfer well to financial language. Words like</w:t>
      </w:r>
      <w:r>
        <w:t xml:space="preserve"> </w:t>
      </w:r>
      <w:r>
        <w:t xml:space="preserve">“bear”</w:t>
      </w:r>
      <w:r>
        <w:t xml:space="preserve">,</w:t>
      </w:r>
      <w:r>
        <w:t xml:space="preserve"> </w:t>
      </w:r>
      <w:r>
        <w:t xml:space="preserve">“short”</w:t>
      </w:r>
      <w:r>
        <w:t xml:space="preserve">,</w:t>
      </w:r>
      <w:r>
        <w:t xml:space="preserve"> </w:t>
      </w:r>
      <w:r>
        <w:t xml:space="preserve">“correction”</w:t>
      </w:r>
      <w:r>
        <w:t xml:space="preserve">, and</w:t>
      </w:r>
      <w:r>
        <w:t xml:space="preserve"> </w:t>
      </w:r>
      <w:r>
        <w:t xml:space="preserve">“liability”</w:t>
      </w:r>
      <w:r>
        <w:t xml:space="preserve"> </w:t>
      </w:r>
      <w:r>
        <w:t xml:space="preserve">have domain-specific meanings in finance that a general classifier handles incorrectly. Loughran and McDonald showed this clearly in their 2011 paper on finance-specific lexicons. [24] So a domain-trained model is needed instead.</w:t>
      </w:r>
    </w:p>
    <w:p>
      <w:pPr>
        <w:pStyle w:val="BodyText"/>
      </w:pPr>
      <w:r>
        <w:t xml:space="preserve">FinBERT, published by Araci in 2019 [26] and fine-tuned by ProsusAI on a large corpus of financial news and earnings call transcripts [35], is the model used here. It is based on BERT [25], which processes text bidirectionally, considering both the left and right context of each word. The ProsusAI/finbert model outputs three class probabilities: P(positive), P(neutral), and P(negative) for any input text.</w:t>
      </w:r>
    </w:p>
    <w:p>
      <w:pPr>
        <w:pStyle w:val="BodyText"/>
      </w:pPr>
      <w:r>
        <w:t xml:space="preserve">The model is downloaded once and stored locally at data/finbert_local/. All subsequent inference runs from this local cache, so the sentiment module does not require an internet connection during operation.</w:t>
      </w:r>
    </w:p>
    <w:p>
      <w:pPr>
        <w:pStyle w:val="BodyText"/>
      </w:pPr>
      <w:r>
        <w:rPr>
          <w:b/>
          <w:bCs/>
        </w:rPr>
        <w:t xml:space="preserve">News Sources.</w:t>
      </w:r>
      <w:r>
        <w:t xml:space="preserve"> </w:t>
      </w:r>
      <w:r>
        <w:t xml:space="preserve">Three sources are queried for each stock.</w:t>
      </w:r>
    </w:p>
    <w:p>
      <w:pPr>
        <w:pStyle w:val="BodyText"/>
      </w:pPr>
      <w:r>
        <w:t xml:space="preserve">The Google News RSS feed provides English-language headlines from a wide range of Indian and international sources. The Yahoo Finance news API provides stock-specific articles. Indian financial RSS feeds from Moneycontrol and Economic Times cover domestic market stories that may not appear in the first two sources.</w:t>
      </w:r>
    </w:p>
    <w:p>
      <w:pPr>
        <w:pStyle w:val="BodyText"/>
      </w:pPr>
      <w:r>
        <w:rPr>
          <w:b/>
          <w:bCs/>
        </w:rPr>
        <w:t xml:space="preserve">Fetching Pipeline.</w:t>
      </w:r>
      <w:r>
        <w:t xml:space="preserve"> </w:t>
      </w:r>
      <w:r>
        <w:t xml:space="preserve">News fetching is implemented with Python’s ThreadPoolExecutor, allowing all forty-four stocks to be queried concurrently rather than one at a time. Each individual source request has a five-second timeout to prevent a slow or unresponsive feed from blocking the entire batch. After fetching, headlines from all three sources for the same stock are deduplicated by comparing headline text. The same article appearing in multiple feeds is counted only once.</w:t>
      </w:r>
    </w:p>
    <w:p>
      <w:pPr>
        <w:pStyle w:val="BodyText"/>
      </w:pPr>
      <w:r>
        <w:rPr>
          <w:b/>
          <w:bCs/>
        </w:rPr>
        <w:t xml:space="preserve">Inference and Score Computation.</w:t>
      </w:r>
      <w:r>
        <w:t xml:space="preserve"> </w:t>
      </w:r>
      <w:r>
        <w:t xml:space="preserve">Each unique headline is tokenised using the FinBERT tokenizer with a maximum token length of 512. The tokenised input is passed through the FinBERT model, which outputs the three class probability values. The sentiment score for that headline is:</w:t>
      </w:r>
    </w:p>
    <w:p>
      <w:pPr>
        <w:pStyle w:val="BodyText"/>
      </w:pPr>
      <m:oMathPara>
        <m:oMathParaPr>
          <m:jc m:val="center"/>
        </m:oMathParaPr>
        <m:oMath>
          <m:r>
            <m:rPr>
              <m:nor/>
              <m:sty m:val="p"/>
            </m:rPr>
            <m:t>score</m:t>
          </m:r>
          <m:r>
            <m:rPr>
              <m:sty m:val="p"/>
            </m:rPr>
            <m:t>=</m:t>
          </m:r>
          <m:r>
            <m:t>P</m:t>
          </m:r>
          <m:r>
            <m:rPr>
              <m:sty m:val="p"/>
            </m:rPr>
            <m:t>(</m:t>
          </m:r>
          <m:r>
            <m:rPr>
              <m:nor/>
              <m:sty m:val="p"/>
            </m:rPr>
            <m:t>positive</m:t>
          </m:r>
          <m:r>
            <m:rPr>
              <m:sty m:val="p"/>
            </m:rPr>
            <m:t>)</m:t>
          </m:r>
          <m:r>
            <m:rPr>
              <m:sty m:val="p"/>
            </m:rPr>
            <m:t>−</m:t>
          </m:r>
          <m:r>
            <m:t>P</m:t>
          </m:r>
          <m:r>
            <m:rPr>
              <m:sty m:val="p"/>
            </m:rPr>
            <m:t>(</m:t>
          </m:r>
          <m:r>
            <m:rPr>
              <m:nor/>
              <m:sty m:val="p"/>
            </m:rPr>
            <m:t>negative</m:t>
          </m:r>
          <m:r>
            <m:rPr>
              <m:sty m:val="p"/>
            </m:rPr>
            <m:t>)</m:t>
          </m:r>
        </m:oMath>
      </m:oMathPara>
    </w:p>
    <w:p>
      <w:pPr>
        <w:pStyle w:val="FirstParagraph"/>
      </w:pPr>
      <w:r>
        <w:t xml:space="preserve">This gives a score in the range from minus one to plus one. A score near plus one indicates strongly positive sentiment. A score near minus one indicates strongly negative. A score near zero indicates neutral.</w:t>
      </w:r>
    </w:p>
    <w:p>
      <w:pPr>
        <w:pStyle w:val="BodyText"/>
      </w:pPr>
      <w:r>
        <w:rPr>
          <w:b/>
          <w:bCs/>
        </w:rPr>
        <w:t xml:space="preserve">Daily Aggregation.</w:t>
      </w:r>
      <w:r>
        <w:t xml:space="preserve"> </w:t>
      </w:r>
      <w:r>
        <w:t xml:space="preserve">Multiple headlines may be available for the same stock on the same day. These are aggregated into a single daily score using a weighted average, where each headline’s weight is proportional to how recently it was published within the trading day. The result is one sentiment score per stock per trading day, giving a feature matrix of shape (trading days, 44).</w:t>
      </w:r>
    </w:p>
    <w:p>
      <w:pPr>
        <w:pStyle w:val="BodyText"/>
      </w:pPr>
      <w:r>
        <w:t xml:space="preserve">Market mood is computed as the unweighted average of all forty-four stock scores for a given day. If this average exceeds 0.2, the overall market mood is classified as Bullish. If it falls below minus 0.2, it is Bearish. Values in between are Neutral.</w:t>
      </w:r>
    </w:p>
    <w:p>
      <w:pPr>
        <w:pStyle w:val="BodyText"/>
      </w:pPr>
      <w:r>
        <w:rPr>
          <w:b/>
          <w:bCs/>
        </w:rPr>
        <w:t xml:space="preserve">Caching.</w:t>
      </w:r>
      <w:r>
        <w:t xml:space="preserve"> </w:t>
      </w:r>
      <w:r>
        <w:t xml:space="preserve">Sentiment inference for forty-four stocks takes roughly fifteen to thirty seconds per full batch on the CPU build. To avoid calling the model repeatedly for every dashboard refresh, results are stored in a SQLite database with a time-to-live (TTL) of three minutes. If a dashboard request arrives within three minutes of the last computation, the cached result is returned immediately. If the cache has expired, fresh inference is triggered.</w:t>
      </w:r>
    </w:p>
    <w:p>
      <w:pPr>
        <w:pStyle w:val="BodyText"/>
      </w:pPr>
      <w:r>
        <w:rPr>
          <w:b/>
          <w:bCs/>
        </w:rPr>
        <w:t xml:space="preserve">Integration into RL Observation Space.</w:t>
      </w:r>
      <w:r>
        <w:t xml:space="preserve"> </w:t>
      </w:r>
      <w:r>
        <w:t xml:space="preserve">The daily sentiment scores for all forty-four stocks form a forty-four dimensional feature vector. This is concatenated with the technical indicators and T-GAT embeddings to form the full RL observation.</w:t>
      </w:r>
    </w:p>
    <w:p>
      <w:pPr>
        <w:pStyle w:val="BodyText"/>
      </w:pPr>
      <w:r>
        <w:t xml:space="preserve">Figure 3.4 (see fqn1/disst/imgs/fig_3_4_sentiment_pipeline.png) shows the complete flow from news sources through inference to the RL observation space.</w:t>
      </w:r>
    </w:p>
    <w:p>
      <w:r>
        <w:pict>
          <v:rect style="width:0;height:1.5pt" o:hralign="center" o:hrstd="t" o:hr="t"/>
        </w:pict>
      </w:r>
    </w:p>
    <w:bookmarkEnd w:id="28"/>
    <w:bookmarkStart w:id="30" w:name="stock-relationship-graph-construction"/>
    <w:p>
      <w:pPr>
        <w:pStyle w:val="Heading2"/>
      </w:pPr>
      <w:r>
        <w:t xml:space="preserve">3.6 Stock Relationship Graph Construction</w:t>
      </w:r>
    </w:p>
    <w:p>
      <w:pPr>
        <w:pStyle w:val="FirstParagraph"/>
      </w:pPr>
      <w:r>
        <w:t xml:space="preserve">Individual stock models treat each company as an independent series. But companies within the same sector respond to the same regulatory changes, and companies linked by supply chains have economically meaningful dependencies. Modelling these relationships explicitly (rather than expecting the RL agent to infer them from correlated price histories alone) gives the system structural information that is stable and interpretable.</w:t>
      </w:r>
    </w:p>
    <w:p>
      <w:pPr>
        <w:pStyle w:val="BodyText"/>
      </w:pPr>
      <w:r>
        <w:t xml:space="preserve">The stock universe is represented as a graph G = (V, E), where V is the set of forty-four stock nodes and E is the set of edges. Three types of edges are used, each capturing a different kind of relationship.</w:t>
      </w:r>
    </w:p>
    <w:p>
      <w:pPr>
        <w:pStyle w:val="BodyText"/>
      </w:pPr>
      <w:r>
        <w:rPr>
          <w:b/>
          <w:bCs/>
        </w:rPr>
        <w:t xml:space="preserve">Sector Edges.</w:t>
      </w:r>
      <w:r>
        <w:t xml:space="preserve"> </w:t>
      </w:r>
      <w:r>
        <w:t xml:space="preserve">Two stocks are connected by a sector edge if they belong to the same NSE sector classification. These edges are undirected, static, and do not change over the study period. The rationale is straightforward. Sector-level events affect all companies in that sector simultaneously. When the Reserve Bank of India changes the repo rate, it affects every Indian bank. When crude oil prices move sharply, all energy-sector stocks respond. Sector edges encode this group membership directly in the graph structure. The graph has 79 sector edges across the eleven sector categories represented in the dataset.</w:t>
      </w:r>
    </w:p>
    <w:p>
      <w:pPr>
        <w:pStyle w:val="BodyText"/>
      </w:pPr>
      <w:r>
        <w:rPr>
          <w:b/>
          <w:bCs/>
        </w:rPr>
        <w:t xml:space="preserve">Supply Chain Edges.</w:t>
      </w:r>
      <w:r>
        <w:t xml:space="preserve"> </w:t>
      </w:r>
      <w:r>
        <w:t xml:space="preserve">A second set of edges encodes known business dependency relationships between companies in different sectors. These were defined manually based on publicly available information about major supplier and customer relationships among NIFTY 50 companies. Examples include TATASTEEL to MARUTI (steel as input to automotive manufacturing) and ONGC to RELIANCE (crude oil supply). These edges are directed and static, reflecting that the dependency has a direction. A cost change upstream propagates to margins downstream, not the reverse. The graph has 24 supply chain edges.</w:t>
      </w:r>
    </w:p>
    <w:p>
      <w:pPr>
        <w:pStyle w:val="BodyText"/>
      </w:pPr>
      <w:r>
        <w:rPr>
          <w:b/>
          <w:bCs/>
        </w:rPr>
        <w:t xml:space="preserve">Correlation Edges.</w:t>
      </w:r>
      <w:r>
        <w:t xml:space="preserve"> </w:t>
      </w:r>
      <w:r>
        <w:t xml:space="preserve">The third edge type is dynamic. A 60-day rolling Pearson correlation is computed between the daily returns of every pair of stocks. If the correlation between two stocks exceeds a threshold of 0.6, an undirected edge is created between them for that time step. If the correlation later drops below 0.6, the edge is removed. This captures temporary co-movement clusters, such as the IT sector rallying together when the rupee weakens, or metals stocks moving together when global commodity prices shift. The number of correlation edges therefore changes day to day. Across the 2024 to 2025 test window the count varied roughly between 90 and 220 edges depending on the market regime, with an average close to 150. The figure of 147 edges quoted later (Table 3.4 and Chapter 4.6) refers to the snapshot taken from the dashboard at the time of evaluation.</w:t>
      </w:r>
    </w:p>
    <w:p>
      <w:pPr>
        <w:pStyle w:val="BodyText"/>
      </w:pPr>
      <w:r>
        <w:t xml:space="preserve">PyTorch Geometric (PyG) [34] is used for graph construction and batching. PyG stores the graph in a compressed adjacency format with separate edge index tensors for each edge type, which allows the RelationalGATLayer in the T-GAT to apply different attention mechanisms to each edge type separately.</w:t>
      </w:r>
    </w:p>
    <w:p>
      <w:pPr>
        <w:pStyle w:val="BodyText"/>
      </w:pPr>
      <w:r>
        <w:rPr>
          <w:b/>
          <w:bCs/>
        </w:rPr>
        <w:t xml:space="preserve">Table 3.4</w:t>
      </w:r>
      <w:r>
        <w:t xml:space="preserve">: Graph Edge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Edge Type</w:t>
            </w:r>
          </w:p>
        </w:tc>
        <w:tc>
          <w:tcPr/>
          <w:p>
            <w:pPr>
              <w:pStyle w:val="Compact"/>
            </w:pPr>
            <w:r>
              <w:t xml:space="preserve">Count</w:t>
            </w:r>
          </w:p>
        </w:tc>
        <w:tc>
          <w:tcPr/>
          <w:p>
            <w:pPr>
              <w:pStyle w:val="Compact"/>
            </w:pPr>
            <w:r>
              <w:t xml:space="preserve">Static or Dynamic</w:t>
            </w:r>
          </w:p>
        </w:tc>
        <w:tc>
          <w:tcPr/>
          <w:p>
            <w:pPr>
              <w:pStyle w:val="Compact"/>
            </w:pPr>
            <w:r>
              <w:t xml:space="preserve">Update Frequency</w:t>
            </w:r>
          </w:p>
        </w:tc>
      </w:tr>
      <w:tr>
        <w:tc>
          <w:tcPr/>
          <w:p>
            <w:pPr>
              <w:pStyle w:val="Compact"/>
            </w:pPr>
            <w:r>
              <w:t xml:space="preserve">Sector</w:t>
            </w:r>
          </w:p>
        </w:tc>
        <w:tc>
          <w:tcPr/>
          <w:p>
            <w:pPr>
              <w:pStyle w:val="Compact"/>
            </w:pPr>
            <w:r>
              <w:t xml:space="preserve">79</w:t>
            </w:r>
          </w:p>
        </w:tc>
        <w:tc>
          <w:tcPr/>
          <w:p>
            <w:pPr>
              <w:pStyle w:val="Compact"/>
            </w:pPr>
            <w:r>
              <w:t xml:space="preserve">Static</w:t>
            </w:r>
          </w:p>
        </w:tc>
        <w:tc>
          <w:tcPr/>
          <w:p>
            <w:pPr>
              <w:pStyle w:val="Compact"/>
            </w:pPr>
            <w:r>
              <w:t xml:space="preserve">Never</w:t>
            </w:r>
          </w:p>
        </w:tc>
      </w:tr>
      <w:tr>
        <w:tc>
          <w:tcPr/>
          <w:p>
            <w:pPr>
              <w:pStyle w:val="Compact"/>
            </w:pPr>
            <w:r>
              <w:t xml:space="preserve">Supply Chain</w:t>
            </w:r>
          </w:p>
        </w:tc>
        <w:tc>
          <w:tcPr/>
          <w:p>
            <w:pPr>
              <w:pStyle w:val="Compact"/>
            </w:pPr>
            <w:r>
              <w:t xml:space="preserve">24</w:t>
            </w:r>
          </w:p>
        </w:tc>
        <w:tc>
          <w:tcPr/>
          <w:p>
            <w:pPr>
              <w:pStyle w:val="Compact"/>
            </w:pPr>
            <w:r>
              <w:t xml:space="preserve">Static</w:t>
            </w:r>
          </w:p>
        </w:tc>
        <w:tc>
          <w:tcPr/>
          <w:p>
            <w:pPr>
              <w:pStyle w:val="Compact"/>
            </w:pPr>
            <w:r>
              <w:t xml:space="preserve">Never</w:t>
            </w:r>
          </w:p>
        </w:tc>
      </w:tr>
      <w:tr>
        <w:tc>
          <w:tcPr/>
          <w:p>
            <w:pPr>
              <w:pStyle w:val="Compact"/>
            </w:pPr>
            <w:r>
              <w:t xml:space="preserve">Correlation (60-day rolling, threshold 0.6)</w:t>
            </w:r>
          </w:p>
        </w:tc>
        <w:tc>
          <w:tcPr/>
          <w:p>
            <w:pPr>
              <w:pStyle w:val="Compact"/>
            </w:pPr>
            <w:r>
              <w:t xml:space="preserve">147</w:t>
            </w:r>
          </w:p>
        </w:tc>
        <w:tc>
          <w:tcPr/>
          <w:p>
            <w:pPr>
              <w:pStyle w:val="Compact"/>
            </w:pPr>
            <w:r>
              <w:t xml:space="preserve">Dynamic</w:t>
            </w:r>
          </w:p>
        </w:tc>
        <w:tc>
          <w:tcPr/>
          <w:p>
            <w:pPr>
              <w:pStyle w:val="Compact"/>
            </w:pPr>
            <w:r>
              <w:t xml:space="preserve">Daily</w:t>
            </w:r>
          </w:p>
        </w:tc>
      </w:tr>
      <w:tr>
        <w:tc>
          <w:tcPr/>
          <w:p>
            <w:pPr>
              <w:pStyle w:val="Compact"/>
            </w:pPr>
            <w:r>
              <w:rPr>
                <w:b/>
                <w:bCs/>
              </w:rPr>
              <w:t xml:space="preserve">Total</w:t>
            </w:r>
          </w:p>
        </w:tc>
        <w:tc>
          <w:tcPr/>
          <w:p>
            <w:pPr>
              <w:pStyle w:val="Compact"/>
            </w:pPr>
            <w:r>
              <w:rPr>
                <w:b/>
                <w:bCs/>
              </w:rPr>
              <w:t xml:space="preserve">250</w:t>
            </w:r>
          </w:p>
        </w:tc>
        <w:tc>
          <w:tcPr/>
          <w:p>
            <w:pPr>
              <w:pStyle w:val="Compact"/>
            </w:pPr>
          </w:p>
        </w:tc>
        <w:tc>
          <w:tcPr/>
          <w:p>
            <w:pPr>
              <w:pStyle w:val="Compact"/>
            </w:pPr>
          </w:p>
        </w:tc>
      </w:tr>
    </w:tbl>
    <w:p>
      <w:pPr>
        <w:pStyle w:val="BodyText"/>
      </w:pPr>
      <w:r>
        <w:t xml:space="preserve">Node features at each time step consist of the twenty-one technical indicators plus the one FinBERT sentiment score, giving a twenty-two dimensional feature vector per node.</w:t>
      </w:r>
    </w:p>
    <w:p>
      <w:pPr>
        <w:pStyle w:val="BodyText"/>
      </w:pPr>
      <w:r>
        <w:t xml:space="preserve">Figure 3.5 (see fqn1/disst/imgs/fig_4_6_graph_all_edges.png) shows the force-directed visualisation of the stock graph with all three edge types enabled.</w:t>
      </w:r>
    </w:p>
    <w:p>
      <w:r>
        <w:pict>
          <v:rect style="width:0;height:1.5pt" o:hralign="center" o:hrstd="t" o:hr="t"/>
        </w:pict>
      </w:r>
    </w:p>
    <w:bookmarkEnd w:id="29"/>
    <w:bookmarkStart w:id="31" w:name="temporal-graph-attention-network-t-gat"/>
    <w:p>
      <w:pPr>
        <w:pStyle w:val="Heading2"/>
      </w:pPr>
      <w:r>
        <w:t xml:space="preserve">3.7 Temporal Graph Attention Network (T-GAT)</w:t>
      </w:r>
    </w:p>
    <w:p>
      <w:pPr>
        <w:pStyle w:val="FirstParagraph"/>
      </w:pPr>
      <w:r>
        <w:t xml:space="preserve">The T-GAT model has two components. A RelationalGATLayer that applies edge-type-specific attention, and a GRU Temporal Encoder that captures how stock representations evolve over time.</w:t>
      </w:r>
    </w:p>
    <w:p>
      <w:pPr>
        <w:pStyle w:val="BodyText"/>
      </w:pPr>
      <w:r>
        <w:rPr>
          <w:b/>
          <w:bCs/>
        </w:rPr>
        <w:t xml:space="preserve">RelationalGATLayer.</w:t>
      </w:r>
      <w:r>
        <w:t xml:space="preserve"> </w:t>
      </w:r>
      <w:r>
        <w:t xml:space="preserve">Separate weight matrices are used for each of the three edge types. For node i and neighbour j connected by an edge of type r (sector, supply_chain, or correlation):</w:t>
      </w:r>
    </w:p>
    <w:p>
      <w:pPr>
        <w:pStyle w:val="BodyText"/>
      </w:pPr>
      <m:oMathPara>
        <m:oMathParaPr>
          <m:jc m:val="center"/>
        </m:oMathParaPr>
        <m:oMath>
          <m:sSubSup>
            <m:e>
              <m:r>
                <m:t>α</m:t>
              </m:r>
            </m:e>
            <m:sub>
              <m:r>
                <m:t>i</m:t>
              </m:r>
              <m:r>
                <m:t>j</m:t>
              </m:r>
            </m:sub>
            <m:sup>
              <m:r>
                <m:t>r</m:t>
              </m:r>
            </m:sup>
          </m:sSubSup>
          <m:r>
            <m:rPr>
              <m:sty m:val="p"/>
            </m:rPr>
            <m:t>=</m:t>
          </m:r>
          <m:sSub>
            <m:e>
              <m:r>
                <m:rPr>
                  <m:nor/>
                  <m:sty m:val="p"/>
                </m:rPr>
                <m:t>softmax</m:t>
              </m:r>
            </m:e>
            <m:sub>
              <m:r>
                <m:t>j</m:t>
              </m:r>
            </m:sub>
          </m:sSub>
          <m:r>
            <m:t>​</m:t>
          </m:r>
          <m:d>
            <m:dPr>
              <m:begChr m:val="["/>
              <m:sepChr m:val=""/>
              <m:endChr m:val="]"/>
              <m:grow/>
            </m:dPr>
            <m:e>
              <m:r>
                <m:rPr>
                  <m:nor/>
                  <m:sty m:val="p"/>
                </m:rPr>
                <m:t>LeakyReLU</m:t>
              </m:r>
              <m:r>
                <m:t>​</m:t>
              </m:r>
              <m:d>
                <m:dPr>
                  <m:begChr m:val="("/>
                  <m:sepChr m:val=""/>
                  <m:endChr m:val=")"/>
                  <m:grow/>
                </m:dPr>
                <m:e>
                  <m:sSubSup>
                    <m:e>
                      <m:r>
                        <m:rPr>
                          <m:sty m:val="bi"/>
                        </m:rPr>
                        <m:t>a</m:t>
                      </m:r>
                    </m:e>
                    <m:sub>
                      <m:r>
                        <m:t>r</m:t>
                      </m:r>
                    </m:sub>
                    <m:sup>
                      <m:r>
                        <m:t>T</m:t>
                      </m:r>
                    </m:sup>
                  </m:sSubSup>
                  <m:d>
                    <m:dPr>
                      <m:begChr m:val="["/>
                      <m:sepChr m:val=""/>
                      <m:endChr m:val="]"/>
                      <m:grow/>
                    </m:dPr>
                    <m:e>
                      <m:sSub>
                        <m:e>
                          <m:r>
                            <m:t>W</m:t>
                          </m:r>
                        </m:e>
                        <m:sub>
                          <m:r>
                            <m:t>r</m:t>
                          </m:r>
                        </m:sub>
                      </m:sSub>
                      <m:sSub>
                        <m:e>
                          <m:r>
                            <m:t>h</m:t>
                          </m:r>
                        </m:e>
                        <m:sub>
                          <m:r>
                            <m:t>i</m:t>
                          </m:r>
                        </m:sub>
                      </m:sSub>
                      <m:r>
                        <m:t> </m:t>
                      </m:r>
                      <m:d>
                        <m:dPr>
                          <m:begChr m:val="∥"/>
                          <m:sepChr m:val=""/>
                          <m:endChr m:val=""/>
                          <m:grow/>
                        </m:dPr>
                        <m:e>
                          <m:r>
                            <m:t> </m:t>
                          </m:r>
                          <m:sSub>
                            <m:e>
                              <m:r>
                                <m:t>W</m:t>
                              </m:r>
                            </m:e>
                            <m:sub>
                              <m:r>
                                <m:t>r</m:t>
                              </m:r>
                            </m:sub>
                          </m:sSub>
                          <m:sSub>
                            <m:e>
                              <m:r>
                                <m:t>h</m:t>
                              </m:r>
                            </m:e>
                            <m:sub>
                              <m:r>
                                <m:t>j</m:t>
                              </m:r>
                            </m:sub>
                          </m:sSub>
                        </m:e>
                      </m:d>
                    </m:e>
                  </m:d>
                </m:e>
              </m:d>
            </m:e>
          </m:d>
        </m:oMath>
      </m:oMathPara>
    </w:p>
    <w:p>
      <w:pPr>
        <w:pStyle w:val="FirstParagraph"/>
      </w:pPr>
      <m:oMathPara>
        <m:oMathParaPr>
          <m:jc m:val="center"/>
        </m:oMathParaPr>
        <m:oMath>
          <m:sSup>
            <m:e>
              <m:r>
                <m:t>h</m:t>
              </m:r>
            </m:e>
            <m:sup>
              <m:r>
                <m:rPr>
                  <m:sty m:val="p"/>
                </m:rPr>
                <m:t>′</m:t>
              </m:r>
            </m:sup>
          </m:sSup>
          <m:sSubSup>
            <m:e>
              <m:r>
                <m:t>​</m:t>
              </m:r>
            </m:e>
            <m:sub>
              <m:r>
                <m:t>i</m:t>
              </m:r>
            </m:sub>
            <m:sup>
              <m:r>
                <m:t> </m:t>
              </m:r>
              <m:r>
                <m:t>r</m:t>
              </m:r>
            </m:sup>
          </m:sSubSup>
          <m:r>
            <m:rPr>
              <m:sty m:val="p"/>
            </m:rPr>
            <m:t>=</m:t>
          </m:r>
          <m:r>
            <m:t>σ</m:t>
          </m:r>
          <m:r>
            <m:t>​</m:t>
          </m:r>
          <m:d>
            <m:dPr>
              <m:begChr m:val="("/>
              <m:sepChr m:val=""/>
              <m:endChr m:val=")"/>
              <m:grow/>
            </m:dPr>
            <m:e>
              <m:nary>
                <m:naryPr>
                  <m:chr m:val="∑"/>
                  <m:limLoc m:val="undOvr"/>
                  <m:subHide m:val="off"/>
                  <m:supHide m:val="on"/>
                </m:naryPr>
                <m:sub>
                  <m:r>
                    <m:t>j</m:t>
                  </m:r>
                </m:sub>
                <m:sup>
                  <m:r>
                    <m:t>​</m:t>
                  </m:r>
                </m:sup>
                <m:e>
                  <m:sSubSup>
                    <m:e>
                      <m:r>
                        <m:t>α</m:t>
                      </m:r>
                    </m:e>
                    <m:sub>
                      <m:r>
                        <m:t>i</m:t>
                      </m:r>
                      <m:r>
                        <m:t>j</m:t>
                      </m:r>
                    </m:sub>
                    <m:sup>
                      <m:r>
                        <m:t>r</m:t>
                      </m:r>
                    </m:sup>
                  </m:sSubSup>
                </m:e>
              </m:nary>
              <m:r>
                <m:rPr>
                  <m:sty m:val="p"/>
                </m:rPr>
                <m:t>⋅</m:t>
              </m:r>
              <m:sSub>
                <m:e>
                  <m:r>
                    <m:t>W</m:t>
                  </m:r>
                </m:e>
                <m:sub>
                  <m:r>
                    <m:t>r</m:t>
                  </m:r>
                </m:sub>
              </m:sSub>
              <m:r>
                <m:rPr>
                  <m:sty m:val="p"/>
                </m:rPr>
                <m:t>⋅</m:t>
              </m:r>
              <m:sSub>
                <m:e>
                  <m:r>
                    <m:t>h</m:t>
                  </m:r>
                </m:e>
                <m:sub>
                  <m:r>
                    <m:t>j</m:t>
                  </m:r>
                </m:sub>
              </m:sSub>
            </m:e>
          </m:d>
        </m:oMath>
      </m:oMathPara>
    </w:p>
    <w:p>
      <w:pPr>
        <w:pStyle w:val="FirstParagraph"/>
      </w:pPr>
      <w:r>
        <w:t xml:space="preserve">The final node representation concatenates contributions from all three edge types:</w:t>
      </w:r>
    </w:p>
    <w:p>
      <w:pPr>
        <w:pStyle w:val="BodyText"/>
      </w:pPr>
      <m:oMathPara>
        <m:oMathParaPr>
          <m:jc m:val="center"/>
        </m:oMathParaPr>
        <m:oMath>
          <m:sSubSup>
            <m:e>
              <m:r>
                <m:t>h</m:t>
              </m:r>
            </m:e>
            <m:sub>
              <m:r>
                <m:t>i</m:t>
              </m:r>
            </m:sub>
            <m:sup>
              <m:r>
                <m:rPr>
                  <m:sty m:val="p"/>
                </m:rPr>
                <m:t>′</m:t>
              </m:r>
            </m:sup>
          </m:sSubSup>
          <m:r>
            <m:rPr>
              <m:sty m:val="p"/>
            </m:rPr>
            <m:t>=</m:t>
          </m:r>
          <m:sSup>
            <m:e>
              <m:r>
                <m:t>h</m:t>
              </m:r>
            </m:e>
            <m:sup>
              <m:r>
                <m:rPr>
                  <m:sty m:val="p"/>
                </m:rPr>
                <m:t>′</m:t>
              </m:r>
            </m:sup>
          </m:sSup>
          <m:sSubSup>
            <m:e>
              <m:r>
                <m:t>​</m:t>
              </m:r>
            </m:e>
            <m:sub>
              <m:r>
                <m:t>i</m:t>
              </m:r>
            </m:sub>
            <m:sup>
              <m:r>
                <m:rPr>
                  <m:nor/>
                  <m:sty m:val="p"/>
                </m:rPr>
                <m:t>sector</m:t>
              </m:r>
            </m:sup>
          </m:sSubSup>
          <m:r>
            <m:t> </m:t>
          </m:r>
          <m:r>
            <m:rPr>
              <m:sty m:val="p"/>
            </m:rPr>
            <m:t>∥</m:t>
          </m:r>
          <m:r>
            <m:t> </m:t>
          </m:r>
          <m:sSup>
            <m:e>
              <m:r>
                <m:t>h</m:t>
              </m:r>
            </m:e>
            <m:sup>
              <m:r>
                <m:rPr>
                  <m:sty m:val="p"/>
                </m:rPr>
                <m:t>′</m:t>
              </m:r>
            </m:sup>
          </m:sSup>
          <m:sSubSup>
            <m:e>
              <m:r>
                <m:t>​</m:t>
              </m:r>
            </m:e>
            <m:sub>
              <m:r>
                <m:t>i</m:t>
              </m:r>
            </m:sub>
            <m:sup>
              <m:r>
                <m:rPr>
                  <m:nor/>
                  <m:sty m:val="p"/>
                </m:rPr>
                <m:t>supply</m:t>
              </m:r>
            </m:sup>
          </m:sSubSup>
          <m:r>
            <m:t> </m:t>
          </m:r>
          <m:r>
            <m:rPr>
              <m:sty m:val="p"/>
            </m:rPr>
            <m:t>∥</m:t>
          </m:r>
          <m:r>
            <m:t> </m:t>
          </m:r>
          <m:sSup>
            <m:e>
              <m:r>
                <m:t>h</m:t>
              </m:r>
            </m:e>
            <m:sup>
              <m:r>
                <m:rPr>
                  <m:sty m:val="p"/>
                </m:rPr>
                <m:t>′</m:t>
              </m:r>
            </m:sup>
          </m:sSup>
          <m:sSubSup>
            <m:e>
              <m:r>
                <m:t>​</m:t>
              </m:r>
            </m:e>
            <m:sub>
              <m:r>
                <m:t>i</m:t>
              </m:r>
            </m:sub>
            <m:sup>
              <m:r>
                <m:rPr>
                  <m:nor/>
                  <m:sty m:val="p"/>
                </m:rPr>
                <m:t>correlation</m:t>
              </m:r>
            </m:sup>
          </m:sSubSup>
        </m:oMath>
      </m:oMathPara>
    </w:p>
    <w:p>
      <w:pPr>
        <w:pStyle w:val="FirstParagraph"/>
      </w:pPr>
      <w:r>
        <w:t xml:space="preserve">Eight attention heads are used per edge type. Their outputs are averaged before concatenation.</w:t>
      </w:r>
    </w:p>
    <w:p>
      <w:pPr>
        <w:pStyle w:val="BodyText"/>
      </w:pPr>
      <w:r>
        <w:rPr>
          <w:b/>
          <w:bCs/>
        </w:rPr>
        <w:t xml:space="preserve">GRU Temporal Encoder.</w:t>
      </w:r>
      <w:r>
        <w:t xml:space="preserve"> </w:t>
      </w:r>
      <w:r>
        <w:t xml:space="preserve">A two-layer GRU with hidden size 128 processes the daily sequence of GAT outputs for each stock. The output is projected to a 32-dimensional embedding per stock per time step.</w:t>
      </w:r>
    </w:p>
    <w:p>
      <w:pPr>
        <w:pStyle w:val="BodyText"/>
      </w:pPr>
      <w:r>
        <w:rPr>
          <w:b/>
          <w:bCs/>
        </w:rPr>
        <w:t xml:space="preserve">Training.</w:t>
      </w:r>
      <w:r>
        <w:t xml:space="preserve"> </w:t>
      </w:r>
      <w:r>
        <w:t xml:space="preserve">The T-GAT is pre-trained on the 2015 to 2021 training set using binary cross-entropy loss on next-day return direction (Adam, lr=0.001). Once pre-training is done, the 32-dimensional embeddings are extracted and stored for use as RL observation features. T-GAT weights are frozen during RL training.</w:t>
      </w:r>
    </w:p>
    <w:p>
      <w:pPr>
        <w:pStyle w:val="BodyText"/>
      </w:pPr>
      <w:r>
        <w:t xml:space="preserve">Figure 3.6 (see fqn1/disst/imgs/fig_3_6_tgat.png) shows the T-GAT architecture.</w:t>
      </w:r>
    </w:p>
    <w:p>
      <w:r>
        <w:pict>
          <v:rect style="width:0;height:1.5pt" o:hralign="center" o:hrstd="t" o:hr="t"/>
        </w:pict>
      </w:r>
    </w:p>
    <w:bookmarkEnd w:id="30"/>
    <w:bookmarkStart w:id="32" w:name="reinforcement-learning-environment"/>
    <w:p>
      <w:pPr>
        <w:pStyle w:val="Heading2"/>
      </w:pPr>
      <w:r>
        <w:t xml:space="preserve">3.8 Reinforcement Learning Environment</w:t>
      </w:r>
    </w:p>
    <w:p>
      <w:pPr>
        <w:pStyle w:val="FirstParagraph"/>
      </w:pPr>
      <w:r>
        <w:t xml:space="preserve">Portfolio allocation is naturally a sequential decision problem. At each trading day, the agent observes the current state of the market and the portfolio, decides how to allocate capital across stocks, then observes the result of that allocation over the next day, and faces the same decision again. This loop, repeated over hundreds of trading days, is what reinforcement learning is designed for.</w:t>
      </w:r>
    </w:p>
    <w:p>
      <w:pPr>
        <w:pStyle w:val="BodyText"/>
      </w:pPr>
      <w:r>
        <w:t xml:space="preserve">The environment in this work implements the Gymnasium interface [36] (the actively maintained successor to OpenAI Gym). Following this interface ensures compatibility with the Stable-Baselines3 [18] implementations of all five RL algorithms used in this work.</w:t>
      </w:r>
    </w:p>
    <w:p>
      <w:pPr>
        <w:pStyle w:val="BodyText"/>
      </w:pPr>
      <w:r>
        <w:rPr>
          <w:b/>
          <w:bCs/>
        </w:rPr>
        <w:t xml:space="preserve">Observation Space.</w:t>
      </w:r>
      <w:r>
        <w:t xml:space="preserve"> </w:t>
      </w:r>
      <w:r>
        <w:t xml:space="preserve">The observation that the agent receives at each time step is a concatenation of four components.</w:t>
      </w:r>
    </w:p>
    <w:p>
      <w:pPr>
        <w:pStyle w:val="BodyText"/>
      </w:pPr>
      <w:r>
        <w:t xml:space="preserve">The technical indicator matrix contains twenty-one features for each of the forty-four stocks, giving 924 values. The T-GAT embedding matrix contains thirty-two dimensional embeddings for each of the forty-four stocks, giving 1408 values. The sentiment score vector contains one score per stock, giving 44 values. The current portfolio weight vector contains the current allocation across all forty-four stocks, giving 44 values.</w:t>
      </w:r>
    </w:p>
    <w:p>
      <w:pPr>
        <w:pStyle w:val="BodyText"/>
      </w:pPr>
      <w:r>
        <w:t xml:space="preserve">The total observation size is 924 + 1408 + 44 + 44 = 2420. All values are normalised to the range minus one to plus one before being passed to the agent.</w:t>
      </w:r>
    </w:p>
    <w:p>
      <w:pPr>
        <w:pStyle w:val="BodyText"/>
      </w:pPr>
      <w:r>
        <w:rPr>
          <w:b/>
          <w:bCs/>
        </w:rPr>
        <w:t xml:space="preserve">Action Space.</w:t>
      </w:r>
      <w:r>
        <w:t xml:space="preserve"> </w:t>
      </w:r>
      <w:r>
        <w:t xml:space="preserve">The agent outputs a continuous vector of forty-four values, one for each stock. The raw output is passed through a softmax function to convert it into a valid probability distribution:</w:t>
      </w:r>
    </w:p>
    <w:p>
      <w:pPr>
        <w:pStyle w:val="BodyText"/>
      </w:pPr>
      <m:oMathPara>
        <m:oMathParaPr>
          <m:jc m:val="center"/>
        </m:oMathParaPr>
        <m:oMath>
          <m:sSub>
            <m:e>
              <m:r>
                <m:t>w</m:t>
              </m:r>
            </m:e>
            <m:sub>
              <m:r>
                <m:t>i</m:t>
              </m:r>
            </m:sub>
          </m:sSub>
          <m:r>
            <m:rPr>
              <m:sty m:val="p"/>
            </m:rPr>
            <m:t>=</m:t>
          </m:r>
          <m:f>
            <m:fPr>
              <m:type m:val="bar"/>
            </m:fPr>
            <m:num>
              <m:r>
                <m:rPr>
                  <m:sty m:val="p"/>
                </m:rPr>
                <m:t>exp</m:t>
              </m:r>
              <m:r>
                <m:rPr>
                  <m:sty m:val="p"/>
                </m:rPr>
                <m:t>(</m:t>
              </m:r>
              <m:sSub>
                <m:e>
                  <m:r>
                    <m:t>a</m:t>
                  </m:r>
                </m:e>
                <m:sub>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a</m:t>
                  </m:r>
                </m:e>
                <m:sub>
                  <m:r>
                    <m:t>j</m:t>
                  </m:r>
                </m:sub>
              </m:sSub>
              <m:r>
                <m:rPr>
                  <m:sty m:val="p"/>
                </m:rPr>
                <m:t>)</m:t>
              </m:r>
            </m:den>
          </m:f>
        </m:oMath>
      </m:oMathPara>
    </w:p>
    <w:p>
      <w:pPr>
        <w:pStyle w:val="FirstParagraph"/>
      </w:pPr>
      <w:r>
        <w:t xml:space="preserve">This ensures all weights are non-negative and sum to exactly 1.0. Short selling is not permitted.</w:t>
      </w:r>
    </w:p>
    <w:p>
      <w:pPr>
        <w:pStyle w:val="BodyText"/>
      </w:pPr>
      <w:r>
        <w:rPr>
          <w:b/>
          <w:bCs/>
        </w:rPr>
        <w:t xml:space="preserve">Reward Function.</w:t>
      </w:r>
      <w:r>
        <w:t xml:space="preserve"> </w:t>
      </w:r>
      <w:r>
        <w:t xml:space="preserve">The reward signal is designed to encourage the agent to achieve a high Sharpe ratio while penalising excessive drawdown and unnecessary portfolio turnover:</w:t>
      </w:r>
    </w:p>
    <w:p>
      <w:pPr>
        <w:pStyle w:val="BodyText"/>
      </w:pPr>
      <m:oMathPara>
        <m:oMathParaPr>
          <m:jc m:val="center"/>
        </m:oMathParaPr>
        <m:oMath>
          <m:r>
            <m:t>R</m:t>
          </m:r>
          <m:r>
            <m:rPr>
              <m:sty m:val="p"/>
            </m:rPr>
            <m:t>(</m:t>
          </m:r>
          <m:r>
            <m:t>t</m:t>
          </m:r>
          <m:r>
            <m:rPr>
              <m:sty m:val="p"/>
            </m:rPr>
            <m:t>)</m:t>
          </m:r>
          <m:r>
            <m:rPr>
              <m:sty m:val="p"/>
            </m:rPr>
            <m:t>=</m:t>
          </m:r>
          <m:sSub>
            <m:e>
              <m:r>
                <m:rPr>
                  <m:nor/>
                  <m:sty m:val="p"/>
                </m:rPr>
                <m:t>Sharpe</m:t>
              </m:r>
            </m:e>
            <m:sub>
              <m:r>
                <m:rPr>
                  <m:nor/>
                  <m:sty m:val="p"/>
                </m:rPr>
                <m:t>rolling,30</m:t>
              </m:r>
            </m:sub>
          </m:sSub>
          <m:r>
            <m:rPr>
              <m:sty m:val="p"/>
            </m:rPr>
            <m:t>−</m:t>
          </m:r>
          <m:sSub>
            <m:e>
              <m:r>
                <m:t>λ</m:t>
              </m:r>
            </m:e>
            <m:sub>
              <m:r>
                <m:t>1</m:t>
              </m:r>
            </m:sub>
          </m:sSub>
          <m:r>
            <m:rPr>
              <m:sty m:val="p"/>
            </m:rPr>
            <m:t>⋅</m:t>
          </m:r>
          <m:r>
            <m:rPr>
              <m:nor/>
              <m:sty m:val="p"/>
            </m:rPr>
            <m:t>drawdown_penalty</m:t>
          </m:r>
          <m:r>
            <m:rPr>
              <m:sty m:val="p"/>
            </m:rPr>
            <m:t>(</m:t>
          </m:r>
          <m:r>
            <m:t>t</m:t>
          </m:r>
          <m:r>
            <m:rPr>
              <m:sty m:val="p"/>
            </m:rPr>
            <m:t>)</m:t>
          </m:r>
          <m:r>
            <m:rPr>
              <m:sty m:val="p"/>
            </m:rPr>
            <m:t>−</m:t>
          </m:r>
          <m:sSub>
            <m:e>
              <m:r>
                <m:t>λ</m:t>
              </m:r>
            </m:e>
            <m:sub>
              <m:r>
                <m:t>2</m:t>
              </m:r>
            </m:sub>
          </m:sSub>
          <m:r>
            <m:rPr>
              <m:sty m:val="p"/>
            </m:rPr>
            <m:t>⋅</m:t>
          </m:r>
          <m:r>
            <m:rPr>
              <m:nor/>
              <m:sty m:val="p"/>
            </m:rPr>
            <m:t>turnover_penalty</m:t>
          </m:r>
          <m:r>
            <m:rPr>
              <m:sty m:val="p"/>
            </m:rPr>
            <m:t>(</m:t>
          </m:r>
          <m:r>
            <m:t>t</m:t>
          </m:r>
          <m:r>
            <m:rPr>
              <m:sty m:val="p"/>
            </m:rPr>
            <m:t>)</m:t>
          </m:r>
        </m:oMath>
      </m:oMathPara>
    </w:p>
    <w:p>
      <w:pPr>
        <w:pStyle w:val="FirstParagraph"/>
      </w:pPr>
      <w:r>
        <w:t xml:space="preserve">The rolling Sharpe is computed over the most recent thirty trading days. The drawdown penalty is activated when the portfolio’s peak-to-trough drawdown exceeds eight percent. The turnover penalty is proportional to the total absolute change in portfolio weights between consecutive steps, discouraging the agent from rebalancing excessively and incurring unnecessary transaction costs. The penalty weights are λ₁ = 0.5 and λ₂ = 0.3, tuned on the validation set.</w:t>
      </w:r>
    </w:p>
    <w:p>
      <w:pPr>
        <w:pStyle w:val="BodyText"/>
      </w:pPr>
      <w:r>
        <w:t xml:space="preserve">Using the Sharpe ratio as the primary reward component rather than raw return is a deliberate choice. Raw return gives no penalty for taking on high risk. An agent optimising for raw return alone would likely take concentrated positions with high volatility. Using Sharpe penalises this behaviour and pushes the agent toward risk-adjusted performance.</w:t>
      </w:r>
    </w:p>
    <w:p>
      <w:pPr>
        <w:pStyle w:val="BodyText"/>
      </w:pPr>
      <w:r>
        <w:rPr>
          <w:b/>
          <w:bCs/>
        </w:rPr>
        <w:t xml:space="preserve">Constraints.</w:t>
      </w:r>
      <w:r>
        <w:t xml:space="preserve"> </w:t>
      </w:r>
      <w:r>
        <w:t xml:space="preserve">Three hard constraints are enforced at every step.</w:t>
      </w:r>
    </w:p>
    <w:p>
      <w:pPr>
        <w:pStyle w:val="BodyText"/>
      </w:pPr>
      <w:r>
        <w:t xml:space="preserve">A maximum position size of 12% per stock prevents excessive concentration in any single company. If the softmax output allocates more than 12% to any stock, the excess is redistributed proportionally to the other stocks.</w:t>
      </w:r>
    </w:p>
    <w:p>
      <w:pPr>
        <w:pStyle w:val="BodyText"/>
      </w:pPr>
      <w:r>
        <w:t xml:space="preserve">A stop-loss rule reduces a stock’s weight by fifty percent in the next step if its single-day return falls below -3%. This models the risk management behaviour of a professional fund manager.</w:t>
      </w:r>
    </w:p>
    <w:p>
      <w:pPr>
        <w:pStyle w:val="BodyText"/>
      </w:pPr>
      <w:r>
        <w:t xml:space="preserve">A maximum portfolio drawdown of -12% terminates the current episode early. This prevents the agent from training in episodes where the portfolio has already suffered a catastrophic loss, which would distort the reward signal.</w:t>
      </w:r>
    </w:p>
    <w:p>
      <w:pPr>
        <w:pStyle w:val="BodyText"/>
      </w:pPr>
      <w:r>
        <w:rPr>
          <w:b/>
          <w:bCs/>
        </w:rPr>
        <w:t xml:space="preserve">Episode Structure.</w:t>
      </w:r>
      <w:r>
        <w:t xml:space="preserve"> </w:t>
      </w:r>
      <w:r>
        <w:t xml:space="preserve">Each episode covers 252 trading days (one calendar year). The starting date is drawn randomly from the training period (2015 to 2021) at the beginning of each episode, exposing the agent to diverse market conditions during training. A transaction cost of 0.1% per trade and market slippage of 0.05% are deducted from portfolio returns at each rebalancing step.</w:t>
      </w:r>
    </w:p>
    <w:p>
      <w:pPr>
        <w:pStyle w:val="BodyText"/>
      </w:pPr>
      <w:r>
        <w:t xml:space="preserve">Figure 3.7 (see fqn1/disst/imgs/fig_3_7_rl_env.png) shows the state-action-reward cycle of the environment.</w:t>
      </w:r>
    </w:p>
    <w:p>
      <w:r>
        <w:pict>
          <v:rect style="width:0;height:1.5pt" o:hralign="center" o:hrstd="t" o:hr="t"/>
        </w:pict>
      </w:r>
    </w:p>
    <w:bookmarkEnd w:id="31"/>
    <w:bookmarkStart w:id="33" w:name="reinforcement-learning-agents"/>
    <w:p>
      <w:pPr>
        <w:pStyle w:val="Heading2"/>
      </w:pPr>
      <w:r>
        <w:t xml:space="preserve">3.9 Reinforcement Learning Agents</w:t>
      </w:r>
    </w:p>
    <w:p>
      <w:pPr>
        <w:pStyle w:val="FirstParagraph"/>
      </w:pPr>
      <w:r>
        <w:t xml:space="preserve">Five RL algorithms are trained in the environment described in Section 3.8. PPO [13] and A2C [16] are on-policy algorithms that update using data from the current policy. SAC [14], TD3 [15], and DDPG [12] are off-policy algorithms that learn from a replay buffer. The algorithmic details of each are covered in Chapter 2. A key design choice in this work is that all five share the same observation space, action space, and risk constraints, enabling a direct performance comparison on identical data.</w:t>
      </w:r>
    </w:p>
    <w:p>
      <w:pPr>
        <w:pStyle w:val="BodyText"/>
      </w:pPr>
      <w:r>
        <w:rPr>
          <w:b/>
          <w:bCs/>
        </w:rPr>
        <w:t xml:space="preserve">Ensemble Agent.</w:t>
      </w:r>
      <w:r>
        <w:t xml:space="preserve"> </w:t>
      </w:r>
      <w:r>
        <w:t xml:space="preserve">A sixth agent averages the weight outputs of all five:</w:t>
      </w:r>
    </w:p>
    <w:p>
      <w:pPr>
        <w:pStyle w:val="BodyText"/>
      </w:pPr>
      <m:oMathPara>
        <m:oMathParaPr>
          <m:jc m:val="center"/>
        </m:oMathParaPr>
        <m:oMath>
          <m:sSub>
            <m:e>
              <m:r>
                <m:t>a</m:t>
              </m:r>
            </m:e>
            <m:sub>
              <m:r>
                <m:rPr>
                  <m:nor/>
                  <m:sty m:val="p"/>
                </m:rPr>
                <m:t>ensemble</m:t>
              </m:r>
            </m:sub>
          </m:sSub>
          <m:r>
            <m:rPr>
              <m:sty m:val="p"/>
            </m:rPr>
            <m:t>=</m:t>
          </m:r>
          <m:f>
            <m:fPr>
              <m:type m:val="bar"/>
            </m:fPr>
            <m:num>
              <m:sSub>
                <m:e>
                  <m:r>
                    <m:t>a</m:t>
                  </m:r>
                </m:e>
                <m:sub>
                  <m:r>
                    <m:rPr>
                      <m:nor/>
                      <m:sty m:val="p"/>
                    </m:rPr>
                    <m:t>PPO</m:t>
                  </m:r>
                </m:sub>
              </m:sSub>
              <m:r>
                <m:rPr>
                  <m:sty m:val="p"/>
                </m:rPr>
                <m:t>+</m:t>
              </m:r>
              <m:sSub>
                <m:e>
                  <m:r>
                    <m:t>a</m:t>
                  </m:r>
                </m:e>
                <m:sub>
                  <m:r>
                    <m:rPr>
                      <m:nor/>
                      <m:sty m:val="p"/>
                    </m:rPr>
                    <m:t>SAC</m:t>
                  </m:r>
                </m:sub>
              </m:sSub>
              <m:r>
                <m:rPr>
                  <m:sty m:val="p"/>
                </m:rPr>
                <m:t>+</m:t>
              </m:r>
              <m:sSub>
                <m:e>
                  <m:r>
                    <m:t>a</m:t>
                  </m:r>
                </m:e>
                <m:sub>
                  <m:r>
                    <m:rPr>
                      <m:nor/>
                      <m:sty m:val="p"/>
                    </m:rPr>
                    <m:t>TD3</m:t>
                  </m:r>
                </m:sub>
              </m:sSub>
              <m:r>
                <m:rPr>
                  <m:sty m:val="p"/>
                </m:rPr>
                <m:t>+</m:t>
              </m:r>
              <m:sSub>
                <m:e>
                  <m:r>
                    <m:t>a</m:t>
                  </m:r>
                </m:e>
                <m:sub>
                  <m:r>
                    <m:rPr>
                      <m:nor/>
                      <m:sty m:val="p"/>
                    </m:rPr>
                    <m:t>A2C</m:t>
                  </m:r>
                </m:sub>
              </m:sSub>
              <m:r>
                <m:rPr>
                  <m:sty m:val="p"/>
                </m:rPr>
                <m:t>+</m:t>
              </m:r>
              <m:sSub>
                <m:e>
                  <m:r>
                    <m:t>a</m:t>
                  </m:r>
                </m:e>
                <m:sub>
                  <m:r>
                    <m:rPr>
                      <m:nor/>
                      <m:sty m:val="p"/>
                    </m:rPr>
                    <m:t>DDPG</m:t>
                  </m:r>
                </m:sub>
              </m:sSub>
            </m:num>
            <m:den>
              <m:r>
                <m:t>5</m:t>
              </m:r>
            </m:den>
          </m:f>
        </m:oMath>
      </m:oMathPara>
    </w:p>
    <w:p>
      <w:pPr>
        <w:pStyle w:val="FirstParagraph"/>
      </w:pPr>
      <w:r>
        <w:t xml:space="preserve">Softmax normalisation is applied to produce the final portfolio weights. No additional training is required. The averaging reduces sensitivity to any single algorithm’s worst-case behaviour across market conditions.</w:t>
      </w:r>
    </w:p>
    <w:p>
      <w:pPr>
        <w:pStyle w:val="BodyText"/>
      </w:pPr>
      <w:r>
        <w:rPr>
          <w:b/>
          <w:bCs/>
        </w:rPr>
        <w:t xml:space="preserve">Training Protocol.</w:t>
      </w:r>
      <w:r>
        <w:t xml:space="preserve"> </w:t>
      </w:r>
      <w:r>
        <w:t xml:space="preserve">All five algorithms are trained for 500,000 steps on the 2015 to 2021 training data. Discount factor γ = 0.99. Adam optimizer, learning rate 3×10⁻⁴. Batch size 64 for on-policy methods, 256 for off-policy. All implementations use Stable-Baselines3 v2.8.0 with custom environment wrappers.</w:t>
      </w:r>
    </w:p>
    <w:p>
      <w:pPr>
        <w:pStyle w:val="BodyText"/>
      </w:pPr>
      <w:r>
        <w:rPr>
          <w:b/>
          <w:bCs/>
        </w:rPr>
        <w:t xml:space="preserve">Table 3.3</w:t>
      </w:r>
      <w:r>
        <w:t xml:space="preserve">: RL Algorithm Hyperparameters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PPO</w:t>
            </w:r>
          </w:p>
        </w:tc>
        <w:tc>
          <w:tcPr/>
          <w:p>
            <w:pPr>
              <w:pStyle w:val="Compact"/>
            </w:pPr>
            <w:r>
              <w:t xml:space="preserve">SAC</w:t>
            </w:r>
          </w:p>
        </w:tc>
        <w:tc>
          <w:tcPr/>
          <w:p>
            <w:pPr>
              <w:pStyle w:val="Compact"/>
            </w:pPr>
            <w:r>
              <w:t xml:space="preserve">TD3</w:t>
            </w:r>
          </w:p>
        </w:tc>
        <w:tc>
          <w:tcPr/>
          <w:p>
            <w:pPr>
              <w:pStyle w:val="Compact"/>
            </w:pPr>
            <w:r>
              <w:t xml:space="preserve">A2C</w:t>
            </w:r>
          </w:p>
        </w:tc>
        <w:tc>
          <w:tcPr/>
          <w:p>
            <w:pPr>
              <w:pStyle w:val="Compact"/>
            </w:pPr>
            <w:r>
              <w:t xml:space="preserve">DDPG</w:t>
            </w:r>
          </w:p>
        </w:tc>
      </w:tr>
      <w:tr>
        <w:tc>
          <w:tcPr/>
          <w:p>
            <w:pPr>
              <w:pStyle w:val="Compact"/>
            </w:pPr>
            <w:r>
              <w:t xml:space="preserve">Type</w:t>
            </w:r>
          </w:p>
        </w:tc>
        <w:tc>
          <w:tcPr/>
          <w:p>
            <w:pPr>
              <w:pStyle w:val="Compact"/>
            </w:pPr>
            <w:r>
              <w:t xml:space="preserve">On-policy</w:t>
            </w:r>
          </w:p>
        </w:tc>
        <w:tc>
          <w:tcPr/>
          <w:p>
            <w:pPr>
              <w:pStyle w:val="Compact"/>
            </w:pPr>
            <w:r>
              <w:t xml:space="preserve">Off-policy</w:t>
            </w:r>
          </w:p>
        </w:tc>
        <w:tc>
          <w:tcPr/>
          <w:p>
            <w:pPr>
              <w:pStyle w:val="Compact"/>
            </w:pPr>
            <w:r>
              <w:t xml:space="preserve">Off-policy</w:t>
            </w:r>
          </w:p>
        </w:tc>
        <w:tc>
          <w:tcPr/>
          <w:p>
            <w:pPr>
              <w:pStyle w:val="Compact"/>
            </w:pPr>
            <w:r>
              <w:t xml:space="preserve">On-policy</w:t>
            </w:r>
          </w:p>
        </w:tc>
        <w:tc>
          <w:tcPr/>
          <w:p>
            <w:pPr>
              <w:pStyle w:val="Compact"/>
            </w:pPr>
            <w:r>
              <w:t xml:space="preserve">Off-policy</w:t>
            </w:r>
          </w:p>
        </w:tc>
      </w:tr>
      <w:tr>
        <w:tc>
          <w:tcPr/>
          <w:p>
            <w:pPr>
              <w:pStyle w:val="Compact"/>
            </w:pPr>
            <w:r>
              <w:t xml:space="preserve">Training steps</w:t>
            </w:r>
          </w:p>
        </w:tc>
        <w:tc>
          <w:tcPr/>
          <w:p>
            <w:pPr>
              <w:pStyle w:val="Compact"/>
            </w:pPr>
            <w:r>
              <w:t xml:space="preserve">500,000</w:t>
            </w:r>
          </w:p>
        </w:tc>
        <w:tc>
          <w:tcPr/>
          <w:p>
            <w:pPr>
              <w:pStyle w:val="Compact"/>
            </w:pPr>
            <w:r>
              <w:t xml:space="preserve">500,000</w:t>
            </w:r>
          </w:p>
        </w:tc>
        <w:tc>
          <w:tcPr/>
          <w:p>
            <w:pPr>
              <w:pStyle w:val="Compact"/>
            </w:pPr>
            <w:r>
              <w:t xml:space="preserve">500,000</w:t>
            </w:r>
          </w:p>
        </w:tc>
        <w:tc>
          <w:tcPr/>
          <w:p>
            <w:pPr>
              <w:pStyle w:val="Compact"/>
            </w:pPr>
            <w:r>
              <w:t xml:space="preserve">500,000</w:t>
            </w:r>
          </w:p>
        </w:tc>
        <w:tc>
          <w:tcPr/>
          <w:p>
            <w:pPr>
              <w:pStyle w:val="Compact"/>
            </w:pPr>
            <w:r>
              <w:t xml:space="preserve">500,000</w:t>
            </w:r>
          </w:p>
        </w:tc>
      </w:tr>
      <w:tr>
        <w:tc>
          <w:tcPr/>
          <w:p>
            <w:pPr>
              <w:pStyle w:val="Compact"/>
            </w:pPr>
            <w:r>
              <w:t xml:space="preserve">Learning rate</w:t>
            </w:r>
          </w:p>
        </w:tc>
        <w:tc>
          <w:tcPr/>
          <w:p>
            <w:pPr>
              <w:pStyle w:val="Compact"/>
            </w:pPr>
            <w:r>
              <w:t xml:space="preserve">3e-4</w:t>
            </w:r>
          </w:p>
        </w:tc>
        <w:tc>
          <w:tcPr/>
          <w:p>
            <w:pPr>
              <w:pStyle w:val="Compact"/>
            </w:pPr>
            <w:r>
              <w:t xml:space="preserve">3e-4</w:t>
            </w:r>
          </w:p>
        </w:tc>
        <w:tc>
          <w:tcPr/>
          <w:p>
            <w:pPr>
              <w:pStyle w:val="Compact"/>
            </w:pPr>
            <w:r>
              <w:t xml:space="preserve">3e-4</w:t>
            </w:r>
          </w:p>
        </w:tc>
        <w:tc>
          <w:tcPr/>
          <w:p>
            <w:pPr>
              <w:pStyle w:val="Compact"/>
            </w:pPr>
            <w:r>
              <w:t xml:space="preserve">3e-4</w:t>
            </w:r>
          </w:p>
        </w:tc>
        <w:tc>
          <w:tcPr/>
          <w:p>
            <w:pPr>
              <w:pStyle w:val="Compact"/>
            </w:pPr>
            <w:r>
              <w:t xml:space="preserve">3e-4</w:t>
            </w:r>
          </w:p>
        </w:tc>
      </w:tr>
      <w:tr>
        <w:tc>
          <w:tcPr/>
          <w:p>
            <w:pPr>
              <w:pStyle w:val="Compact"/>
            </w:pPr>
            <w:r>
              <w:t xml:space="preserve">Discount factor (gamma)</w:t>
            </w:r>
          </w:p>
        </w:tc>
        <w:tc>
          <w:tcPr/>
          <w:p>
            <w:pPr>
              <w:pStyle w:val="Compact"/>
            </w:pPr>
            <w:r>
              <w:t xml:space="preserve">0.99</w:t>
            </w:r>
          </w:p>
        </w:tc>
        <w:tc>
          <w:tcPr/>
          <w:p>
            <w:pPr>
              <w:pStyle w:val="Compact"/>
            </w:pPr>
            <w:r>
              <w:t xml:space="preserve">0.99</w:t>
            </w:r>
          </w:p>
        </w:tc>
        <w:tc>
          <w:tcPr/>
          <w:p>
            <w:pPr>
              <w:pStyle w:val="Compact"/>
            </w:pPr>
            <w:r>
              <w:t xml:space="preserve">0.99</w:t>
            </w:r>
          </w:p>
        </w:tc>
        <w:tc>
          <w:tcPr/>
          <w:p>
            <w:pPr>
              <w:pStyle w:val="Compact"/>
            </w:pPr>
            <w:r>
              <w:t xml:space="preserve">0.99</w:t>
            </w:r>
          </w:p>
        </w:tc>
        <w:tc>
          <w:tcPr/>
          <w:p>
            <w:pPr>
              <w:pStyle w:val="Compact"/>
            </w:pPr>
            <w:r>
              <w:t xml:space="preserve">0.99</w:t>
            </w:r>
          </w:p>
        </w:tc>
      </w:tr>
      <w:tr>
        <w:tc>
          <w:tcPr/>
          <w:p>
            <w:pPr>
              <w:pStyle w:val="Compact"/>
            </w:pPr>
            <w:r>
              <w:t xml:space="preserve">Batch size</w:t>
            </w:r>
          </w:p>
        </w:tc>
        <w:tc>
          <w:tcPr/>
          <w:p>
            <w:pPr>
              <w:pStyle w:val="Compact"/>
            </w:pPr>
            <w:r>
              <w:t xml:space="preserve">64</w:t>
            </w:r>
          </w:p>
        </w:tc>
        <w:tc>
          <w:tcPr/>
          <w:p>
            <w:pPr>
              <w:pStyle w:val="Compact"/>
            </w:pPr>
            <w:r>
              <w:t xml:space="preserve">256</w:t>
            </w:r>
          </w:p>
        </w:tc>
        <w:tc>
          <w:tcPr/>
          <w:p>
            <w:pPr>
              <w:pStyle w:val="Compact"/>
            </w:pPr>
            <w:r>
              <w:t xml:space="preserve">256</w:t>
            </w:r>
          </w:p>
        </w:tc>
        <w:tc>
          <w:tcPr/>
          <w:p>
            <w:pPr>
              <w:pStyle w:val="Compact"/>
            </w:pPr>
            <w:r>
              <w:t xml:space="preserve">64</w:t>
            </w:r>
          </w:p>
        </w:tc>
        <w:tc>
          <w:tcPr/>
          <w:p>
            <w:pPr>
              <w:pStyle w:val="Compact"/>
            </w:pPr>
            <w:r>
              <w:t xml:space="preserve">256</w:t>
            </w:r>
          </w:p>
        </w:tc>
      </w:tr>
      <w:tr>
        <w:tc>
          <w:tcPr/>
          <w:p>
            <w:pPr>
              <w:pStyle w:val="Compact"/>
            </w:pPr>
            <w:r>
              <w:t xml:space="preserve">Clip epsilon</w:t>
            </w:r>
          </w:p>
        </w:tc>
        <w:tc>
          <w:tcPr/>
          <w:p>
            <w:pPr>
              <w:pStyle w:val="Compact"/>
            </w:pPr>
            <w:r>
              <w:t xml:space="preserve">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Entropy coefficient</w:t>
            </w:r>
          </w:p>
        </w:tc>
        <w:tc>
          <w:tcPr/>
          <w:p>
            <w:pPr>
              <w:pStyle w:val="Compact"/>
            </w:pPr>
            <w:r>
              <w:t xml:space="preserve">0.01</w:t>
            </w:r>
          </w:p>
        </w:tc>
        <w:tc>
          <w:tcPr/>
          <w:p>
            <w:pPr>
              <w:pStyle w:val="Compact"/>
            </w:pPr>
            <w:r>
              <w:t xml:space="preserve">Auto</w:t>
            </w:r>
          </w:p>
        </w:tc>
        <w:tc>
          <w:tcPr/>
          <w:p>
            <w:pPr>
              <w:pStyle w:val="Compact"/>
            </w:pPr>
            <w:r>
              <w:t xml:space="preserve">—</w:t>
            </w:r>
          </w:p>
        </w:tc>
        <w:tc>
          <w:tcPr/>
          <w:p>
            <w:pPr>
              <w:pStyle w:val="Compact"/>
            </w:pPr>
            <w:r>
              <w:t xml:space="preserve">0.01</w:t>
            </w:r>
          </w:p>
        </w:tc>
        <w:tc>
          <w:tcPr/>
          <w:p>
            <w:pPr>
              <w:pStyle w:val="Compact"/>
            </w:pPr>
            <w:r>
              <w:t xml:space="preserve">—</w:t>
            </w:r>
          </w:p>
        </w:tc>
      </w:tr>
      <w:tr>
        <w:tc>
          <w:tcPr/>
          <w:p>
            <w:pPr>
              <w:pStyle w:val="Compact"/>
            </w:pPr>
            <w:r>
              <w:t xml:space="preserve">Policy delay</w:t>
            </w:r>
          </w:p>
        </w:tc>
        <w:tc>
          <w:tcPr/>
          <w:p>
            <w:pPr>
              <w:pStyle w:val="Compact"/>
            </w:pPr>
            <w:r>
              <w:t xml:space="preserve">—</w:t>
            </w:r>
          </w:p>
        </w:tc>
        <w:tc>
          <w:tcPr/>
          <w:p>
            <w:pPr>
              <w:pStyle w:val="Compact"/>
            </w:pPr>
            <w:r>
              <w:t xml:space="preserve">—</w:t>
            </w:r>
          </w:p>
        </w:tc>
        <w:tc>
          <w:tcPr/>
          <w:p>
            <w:pPr>
              <w:pStyle w:val="Compact"/>
            </w:pPr>
            <w:r>
              <w:t xml:space="preserve">2</w:t>
            </w:r>
          </w:p>
        </w:tc>
        <w:tc>
          <w:tcPr/>
          <w:p>
            <w:pPr>
              <w:pStyle w:val="Compact"/>
            </w:pPr>
            <w:r>
              <w:t xml:space="preserve">—</w:t>
            </w:r>
          </w:p>
        </w:tc>
        <w:tc>
          <w:tcPr/>
          <w:p>
            <w:pPr>
              <w:pStyle w:val="Compact"/>
            </w:pPr>
            <w:r>
              <w:t xml:space="preserve">—</w:t>
            </w:r>
          </w:p>
        </w:tc>
      </w:tr>
      <w:tr>
        <w:tc>
          <w:tcPr/>
          <w:p>
            <w:pPr>
              <w:pStyle w:val="Compact"/>
            </w:pPr>
            <w:r>
              <w:t xml:space="preserve">Replay buffer size</w:t>
            </w:r>
          </w:p>
        </w:tc>
        <w:tc>
          <w:tcPr/>
          <w:p>
            <w:pPr>
              <w:pStyle w:val="Compact"/>
            </w:pPr>
            <w:r>
              <w:t xml:space="preserve">—</w:t>
            </w:r>
          </w:p>
        </w:tc>
        <w:tc>
          <w:tcPr/>
          <w:p>
            <w:pPr>
              <w:pStyle w:val="Compact"/>
            </w:pPr>
            <w:r>
              <w:t xml:space="preserve">1e6</w:t>
            </w:r>
          </w:p>
        </w:tc>
        <w:tc>
          <w:tcPr/>
          <w:p>
            <w:pPr>
              <w:pStyle w:val="Compact"/>
            </w:pPr>
            <w:r>
              <w:t xml:space="preserve">1e6</w:t>
            </w:r>
          </w:p>
        </w:tc>
        <w:tc>
          <w:tcPr/>
          <w:p>
            <w:pPr>
              <w:pStyle w:val="Compact"/>
            </w:pPr>
            <w:r>
              <w:t xml:space="preserve">—</w:t>
            </w:r>
          </w:p>
        </w:tc>
        <w:tc>
          <w:tcPr/>
          <w:p>
            <w:pPr>
              <w:pStyle w:val="Compact"/>
            </w:pPr>
            <w:r>
              <w:t xml:space="preserve">1e6</w:t>
            </w:r>
          </w:p>
        </w:tc>
      </w:tr>
      <w:tr>
        <w:tc>
          <w:tcPr/>
          <w:p>
            <w:pPr>
              <w:pStyle w:val="Compact"/>
            </w:pPr>
            <w:r>
              <w:t xml:space="preserve">Optimizer</w:t>
            </w:r>
          </w:p>
        </w:tc>
        <w:tc>
          <w:tcPr/>
          <w:p>
            <w:pPr>
              <w:pStyle w:val="Compact"/>
            </w:pPr>
            <w:r>
              <w:t xml:space="preserve">Adam</w:t>
            </w:r>
          </w:p>
        </w:tc>
        <w:tc>
          <w:tcPr/>
          <w:p>
            <w:pPr>
              <w:pStyle w:val="Compact"/>
            </w:pPr>
            <w:r>
              <w:t xml:space="preserve">Adam</w:t>
            </w:r>
          </w:p>
        </w:tc>
        <w:tc>
          <w:tcPr/>
          <w:p>
            <w:pPr>
              <w:pStyle w:val="Compact"/>
            </w:pPr>
            <w:r>
              <w:t xml:space="preserve">Adam</w:t>
            </w:r>
          </w:p>
        </w:tc>
        <w:tc>
          <w:tcPr/>
          <w:p>
            <w:pPr>
              <w:pStyle w:val="Compact"/>
            </w:pPr>
            <w:r>
              <w:t xml:space="preserve">Adam</w:t>
            </w:r>
          </w:p>
        </w:tc>
        <w:tc>
          <w:tcPr/>
          <w:p>
            <w:pPr>
              <w:pStyle w:val="Compact"/>
            </w:pPr>
            <w:r>
              <w:t xml:space="preserve">Adam</w:t>
            </w:r>
          </w:p>
        </w:tc>
      </w:tr>
    </w:tbl>
    <w:p>
      <w:r>
        <w:pict>
          <v:rect style="width:0;height:1.5pt" o:hralign="center" o:hrstd="t" o:hr="t"/>
        </w:pict>
      </w:r>
    </w:p>
    <w:bookmarkEnd w:id="32"/>
    <w:bookmarkStart w:id="34" w:name="stress-testing-framework"/>
    <w:p>
      <w:pPr>
        <w:pStyle w:val="Heading2"/>
      </w:pPr>
      <w:r>
        <w:t xml:space="preserve">3.10 Stress Testing Framework</w:t>
      </w:r>
    </w:p>
    <w:p>
      <w:pPr>
        <w:pStyle w:val="FirstParagraph"/>
      </w:pPr>
      <w:r>
        <w:t xml:space="preserve">Backtesting on historical data tells how a portfolio would have performed during the specific sequence of events that actually occurred. Stress testing answers a different question. How does the portfolio behave under market conditions that are more extreme or more volatile than what was observed in the test period?</w:t>
      </w:r>
    </w:p>
    <w:p>
      <w:pPr>
        <w:pStyle w:val="BodyText"/>
      </w:pPr>
      <w:r>
        <w:t xml:space="preserve">The stress testing module uses Monte Carlo simulation. For each of eight crisis scenarios, one thousand independent forward price paths are generated. Each path covers 252 trading days. The Ensemble RL agent’s portfolio weights (computed on the most recent observation from the test set) are held fixed across all paths in a given scenario. What this does is isolate the effect of the market scenario from any agent rebalancing decisions.</w:t>
      </w:r>
    </w:p>
    <w:p>
      <w:pPr>
        <w:pStyle w:val="BodyText"/>
      </w:pPr>
      <w:r>
        <w:t xml:space="preserve">A GAN-based return generator is used to calibrate the simulation parameters. The generator is a three-layer LSTM with hidden size 128 and latent dimension 64, trained for 500 epochs on the daily returns of the 44 stocks across the 2015 to 2021 training window. During training, the discriminator learns to distinguish real return sequences from generated ones, and the generator learns to produce sequences whose statistical fingerprint matches the historical data. The advantage over a plain Gaussian model is that the GAN preserves heavy tails, volatility clustering, and short-term momentum that Indian equity returns actually exhibit. The forward simulation in Section 4.10 (Black Bootstrap) uses the same calibrated generator to draw block-resampled paths over a one-year horizon.</w:t>
      </w:r>
    </w:p>
    <w:p>
      <w:pPr>
        <w:pStyle w:val="BodyText"/>
      </w:pPr>
      <w:r>
        <w:t xml:space="preserve">The eight scenarios, each calibrated to a historical crisis period, are: Normal (baseline), 2008 Financial Crisis, COVID-19 Crash, Flash Crash, Dot-Com 2000, India Bear 2015, Rate Hike 2022, and Geo-Political Shock. Each applies volatility parameters from the corresponding historical period rather than long-run averages.</w:t>
      </w:r>
    </w:p>
    <w:p>
      <w:pPr>
        <w:pStyle w:val="BodyText"/>
      </w:pPr>
      <w:r>
        <w:t xml:space="preserve">Three risk metrics are computed from the distribution of simulated returns across the one thousand paths for each scenario.</w:t>
      </w:r>
    </w:p>
    <w:p>
      <w:pPr>
        <w:pStyle w:val="BodyText"/>
      </w:pPr>
      <w:r>
        <w:t xml:space="preserve">Value at Risk at the 95th percentile (VaR 95%) is the return that is not exceeded in 95% of the simulated paths. In other words, only 5% of paths have a worse outcome.</w:t>
      </w:r>
    </w:p>
    <w:p>
      <w:pPr>
        <w:pStyle w:val="BodyText"/>
      </w:pPr>
      <w:r>
        <w:t xml:space="preserve">Conditional Value at Risk at the 95th percentile (CVaR 95%), also called Expected Shortfall, is the average return across the worst 5% of paths. This is more informative than VaR alone because it characterises the severity of tail losses, not just the threshold. [7]</w:t>
      </w:r>
    </w:p>
    <w:p>
      <w:pPr>
        <w:pStyle w:val="BodyText"/>
      </w:pPr>
      <w:r>
        <w:t xml:space="preserve">The survival rate is the percentage of paths in which the portfolio’s drawdown stays within the maximum drawdown constraint of -12%. This metric is directly interpretable. It is the probability that the portfolio survives the scenario without hitting its circuit breaker.</w:t>
      </w:r>
    </w:p>
    <w:p>
      <w:r>
        <w:pict>
          <v:rect style="width:0;height:1.5pt" o:hralign="center" o:hrstd="t" o:hr="t"/>
        </w:pict>
      </w:r>
    </w:p>
    <w:bookmarkEnd w:id="33"/>
    <w:bookmarkStart w:id="35" w:name="federated-learning-system"/>
    <w:p>
      <w:pPr>
        <w:pStyle w:val="Heading2"/>
      </w:pPr>
      <w:r>
        <w:t xml:space="preserve">3.11 Federated Learning System</w:t>
      </w:r>
    </w:p>
    <w:p>
      <w:pPr>
        <w:pStyle w:val="FirstParagraph"/>
      </w:pPr>
      <w:r>
        <w:t xml:space="preserve">The motivation for federated learning here is practical. Sector-specific portfolio data is sensitive. A banking fund’s allocation across HDFCBANK, ICICIBANK, and KOTAKBANK reflects proprietary investment decisions. An energy fund’s positions in RELIANCE, ONGC, and NTPC reflect months of research and risk assessment. Neither fund would share this data with a central server, and regulatory constraints on sharing client portfolio information make centralised training infeasible in real institutional settings.</w:t>
      </w:r>
    </w:p>
    <w:p>
      <w:pPr>
        <w:pStyle w:val="BodyText"/>
      </w:pPr>
      <w:r>
        <w:t xml:space="preserve">So federated learning is used instead. Each sector participant trains a local model on their own data and shares only the model weight updates. The central server never sees the raw data of any client.</w:t>
      </w:r>
    </w:p>
    <w:p>
      <w:pPr>
        <w:pStyle w:val="BodyText"/>
      </w:pPr>
      <w:r>
        <w:rPr>
          <w:b/>
          <w:bCs/>
        </w:rPr>
        <w:t xml:space="preserve">Client Architecture.</w:t>
      </w:r>
      <w:r>
        <w:t xml:space="preserve"> </w:t>
      </w:r>
      <w:r>
        <w:t xml:space="preserve">Four sector clients participate in the federated training. The four clients between them cover all 44 stocks (10 + 6 + 8 + 20 = 44). The percentages quoted below describe each client’s share of the</w:t>
      </w:r>
      <w:r>
        <w:t xml:space="preserve"> </w:t>
      </w:r>
      <w:r>
        <w:rPr>
          <w:i/>
          <w:iCs/>
        </w:rPr>
        <w:t xml:space="preserve">total portfolio weight</w:t>
      </w:r>
      <w:r>
        <w:t xml:space="preserve"> </w:t>
      </w:r>
      <w:r>
        <w:t xml:space="preserve">under the Ensemble allocation, not the share of the stock count. The two figures differ because the Ensemble allocates capital unevenly across sectors.</w:t>
      </w:r>
    </w:p>
    <w:p>
      <w:pPr>
        <w:pStyle w:val="BodyText"/>
      </w:pPr>
      <w:r>
        <w:t xml:space="preserve">Client 1 (Banking and Finance) holds ten stocks: HDFCBANK, ICICIBANK, KOTAKBANK, SBIN, AXISBANK, INDUSINDBK, BAJFINANCE, BAJAJFINSV, and others in the finance category. This client carries roughly 23% of the portfolio by weight.</w:t>
      </w:r>
    </w:p>
    <w:p>
      <w:pPr>
        <w:pStyle w:val="BodyText"/>
      </w:pPr>
      <w:r>
        <w:t xml:space="preserve">Client 2 (IT and Telecom) holds six stocks: TCS, INFOSYS, WIPRO, HCLTECH, TECHM, and BHARTIARTL. This client carries roughly 14% of the portfolio by weight.</w:t>
      </w:r>
    </w:p>
    <w:p>
      <w:pPr>
        <w:pStyle w:val="BodyText"/>
      </w:pPr>
      <w:r>
        <w:t xml:space="preserve">Client 3 (Pharma and FMCG) holds eight stocks: SUNPHARMA, DRREDDY, DIVISLAB, CIPLA, HINDUNILVR, ITC, NESTLEIND, and BRITANNIA. This client carries roughly 18% of the portfolio by weight.</w:t>
      </w:r>
    </w:p>
    <w:p>
      <w:pPr>
        <w:pStyle w:val="BodyText"/>
      </w:pPr>
      <w:r>
        <w:t xml:space="preserve">Client 4 (Energy, Auto, and Others) holds twenty stocks covering the energy, automotive, metals, infrastructure, and conglomerate categories. This client carries roughly 45% of the portfolio by weight.</w:t>
      </w:r>
    </w:p>
    <w:p>
      <w:pPr>
        <w:pStyle w:val="BodyText"/>
      </w:pPr>
      <w:r>
        <w:rPr>
          <w:b/>
          <w:bCs/>
        </w:rPr>
        <w:t xml:space="preserve">Local Training.</w:t>
      </w:r>
      <w:r>
        <w:t xml:space="preserve"> </w:t>
      </w:r>
      <w:r>
        <w:t xml:space="preserve">In each communication round, each client receives the current global model weights from the server. It trains locally for five epochs on its own sector data. Only the weight updates (the difference between the locally trained weights and the received global weights) are computed and sent back to the server. The raw training data never leaves the client.</w:t>
      </w:r>
    </w:p>
    <w:p>
      <w:pPr>
        <w:pStyle w:val="BodyText"/>
      </w:pPr>
      <w:r>
        <w:rPr>
          <w:b/>
          <w:bCs/>
        </w:rPr>
        <w:t xml:space="preserve">DP-SGD (Differential Privacy).</w:t>
      </w:r>
      <w:r>
        <w:t xml:space="preserve"> </w:t>
      </w:r>
      <w:r>
        <w:t xml:space="preserve">Before sending weight updates to the server, each client applies DP-SGD noise. [30] The mechanism clips each gradient to a maximum L2 norm of 1.0 to prevent any single data sample from having too large an influence on the update:</w:t>
      </w:r>
    </w:p>
    <w:p>
      <w:pPr>
        <w:pStyle w:val="BodyText"/>
      </w:pPr>
      <m:oMathPara>
        <m:oMathParaPr>
          <m:jc m:val="center"/>
        </m:oMathParaPr>
        <m:oMath>
          <m:sSub>
            <m:e>
              <m:r>
                <m:t>g</m:t>
              </m:r>
            </m:e>
            <m:sub>
              <m:r>
                <m:rPr>
                  <m:nor/>
                  <m:sty m:val="p"/>
                </m:rPr>
                <m:t>clipped</m:t>
              </m:r>
            </m:sub>
          </m:sSub>
          <m:r>
            <m:rPr>
              <m:sty m:val="p"/>
            </m:rPr>
            <m:t>=</m:t>
          </m:r>
          <m:r>
            <m:t>g</m:t>
          </m:r>
          <m:r>
            <m:rPr>
              <m:sty m:val="p"/>
            </m:rPr>
            <m:t>⋅</m:t>
          </m:r>
          <m:r>
            <m:rPr>
              <m:sty m:val="p"/>
            </m:rPr>
            <m:t>min</m:t>
          </m:r>
          <m:r>
            <m:t>​</m:t>
          </m:r>
          <m:d>
            <m:dPr>
              <m:begChr m:val="("/>
              <m:sepChr m:val=""/>
              <m:endChr m:val=")"/>
              <m:grow/>
            </m:dPr>
            <m:e>
              <m:r>
                <m:t>1</m:t>
              </m:r>
              <m:r>
                <m:rPr>
                  <m:sty m:val="p"/>
                </m:rPr>
                <m:t>,</m:t>
              </m:r>
              <m:r>
                <m:t> </m:t>
              </m:r>
              <m:f>
                <m:fPr>
                  <m:type m:val="bar"/>
                </m:fPr>
                <m:num>
                  <m:r>
                    <m:t>C</m:t>
                  </m:r>
                </m:num>
                <m:den>
                  <m:sSub>
                    <m:e>
                      <m:d>
                        <m:dPr>
                          <m:begChr m:val="∥"/>
                          <m:sepChr m:val=""/>
                          <m:endChr m:val="∥"/>
                          <m:grow/>
                        </m:dPr>
                        <m:e>
                          <m:r>
                            <m:t>g</m:t>
                          </m:r>
                        </m:e>
                      </m:d>
                    </m:e>
                    <m:sub>
                      <m:r>
                        <m:t>2</m:t>
                      </m:r>
                    </m:sub>
                  </m:sSub>
                </m:den>
              </m:f>
            </m:e>
          </m:d>
        </m:oMath>
      </m:oMathPara>
    </w:p>
    <w:p>
      <w:pPr>
        <w:pStyle w:val="FirstParagraph"/>
      </w:pPr>
      <w:r>
        <w:t xml:space="preserve">Calibrated Gaussian noise is then added:</w:t>
      </w:r>
    </w:p>
    <w:p>
      <w:pPr>
        <w:pStyle w:val="BodyText"/>
      </w:pPr>
      <m:oMathPara>
        <m:oMathParaPr>
          <m:jc m:val="center"/>
        </m:oMathParaPr>
        <m:oMath>
          <m:sSub>
            <m:e>
              <m:r>
                <m:t>g</m:t>
              </m:r>
            </m:e>
            <m:sub>
              <m:r>
                <m:rPr>
                  <m:nor/>
                  <m:sty m:val="p"/>
                </m:rPr>
                <m:t>noisy</m:t>
              </m:r>
            </m:sub>
          </m:sSub>
          <m:r>
            <m:rPr>
              <m:sty m:val="p"/>
            </m:rPr>
            <m:t>=</m:t>
          </m:r>
          <m:sSub>
            <m:e>
              <m:r>
                <m:t>g</m:t>
              </m:r>
            </m:e>
            <m:sub>
              <m:r>
                <m:rPr>
                  <m:nor/>
                  <m:sty m:val="p"/>
                </m:rPr>
                <m:t>clipped</m:t>
              </m:r>
            </m:sub>
          </m:sSub>
          <m:r>
            <m:rPr>
              <m:sty m:val="p"/>
            </m:rPr>
            <m:t>+</m:t>
          </m:r>
          <m:r>
            <m:rPr>
              <m:scr m:val="script"/>
              <m:sty m:val="p"/>
            </m:rPr>
            <m:t>N</m:t>
          </m:r>
          <m:r>
            <m:t>​</m:t>
          </m:r>
          <m:d>
            <m:dPr>
              <m:begChr m:val="("/>
              <m:sepChr m:val=""/>
              <m:endChr m:val=")"/>
              <m:grow/>
            </m:dPr>
            <m:e>
              <m:r>
                <m:t>0</m:t>
              </m:r>
              <m:r>
                <m:rPr>
                  <m:sty m:val="p"/>
                </m:rPr>
                <m:t>,</m:t>
              </m:r>
              <m:r>
                <m:t> </m:t>
              </m:r>
              <m:sSup>
                <m:e>
                  <m:r>
                    <m:t>σ</m:t>
                  </m:r>
                </m:e>
                <m:sup>
                  <m:r>
                    <m:t>2</m:t>
                  </m:r>
                </m:sup>
              </m:sSup>
              <m:r>
                <m:t>I</m:t>
              </m:r>
            </m:e>
          </m:d>
        </m:oMath>
      </m:oMathPara>
    </w:p>
    <w:p>
      <w:pPr>
        <w:pStyle w:val="FirstParagraph"/>
      </w:pPr>
      <w:r>
        <w:t xml:space="preserve">The noise standard deviation σ is set to achieve a privacy budget of ε = 8.0 with δ = 0.00001 across 50 communication rounds. The choice of ε = 8.0 is a deliberate balance. Stricter privacy (smaller ε) requires more noise, which degrades model quality noticeably.</w:t>
      </w:r>
    </w:p>
    <w:p>
      <w:pPr>
        <w:pStyle w:val="BodyText"/>
      </w:pPr>
      <w:r>
        <w:rPr>
          <w:b/>
          <w:bCs/>
        </w:rPr>
        <w:t xml:space="preserve">FedProx Server Aggregation.</w:t>
      </w:r>
      <w:r>
        <w:t xml:space="preserve"> </w:t>
      </w:r>
      <w:r>
        <w:t xml:space="preserve">Standard FedAvg aggregation computes a weighted average of client model weights proportional to each client’s data size. [28] This works well when client data is similarly distributed, but the four sector clients in this system have very different return distributions, volatility patterns, and factor exposures. Under FedAvg, the client with the most data or the highest loss gradient tends to dominate the aggregated model.</w:t>
      </w:r>
    </w:p>
    <w:p>
      <w:pPr>
        <w:pStyle w:val="BodyText"/>
      </w:pPr>
      <w:r>
        <w:t xml:space="preserve">FedProx [29] addresses this by adding a proximal term to each client’s local optimisation objective:</w:t>
      </w:r>
    </w:p>
    <w:p>
      <w:pPr>
        <w:pStyle w:val="BodyText"/>
      </w:pPr>
      <m:oMathPara>
        <m:oMathParaPr>
          <m:jc m:val="center"/>
        </m:oMathParaPr>
        <m:oMath>
          <m:r>
            <m:rPr>
              <m:nor/>
              <m:sty m:val="p"/>
            </m:rPr>
            <m:t>minimize</m:t>
          </m:r>
          <m:r>
            <m:t> </m:t>
          </m:r>
          <m:sSub>
            <m:e>
              <m:r>
                <m:t>F</m:t>
              </m:r>
            </m:e>
            <m:sub>
              <m:r>
                <m:t>k</m:t>
              </m:r>
            </m:sub>
          </m:sSub>
          <m:r>
            <m:rPr>
              <m:sty m:val="p"/>
            </m:rPr>
            <m:t>(</m:t>
          </m:r>
          <m:r>
            <m:t>w</m:t>
          </m:r>
          <m:r>
            <m:rPr>
              <m:sty m:val="p"/>
            </m:rPr>
            <m:t>)</m:t>
          </m:r>
          <m:r>
            <m:rPr>
              <m:sty m:val="p"/>
            </m:rPr>
            <m:t>+</m:t>
          </m:r>
          <m:f>
            <m:fPr>
              <m:type m:val="bar"/>
            </m:fPr>
            <m:num>
              <m:r>
                <m:t>μ</m:t>
              </m:r>
            </m:num>
            <m:den>
              <m:r>
                <m:t>2</m:t>
              </m:r>
            </m:den>
          </m:f>
          <m:sSup>
            <m:e>
              <m:d>
                <m:dPr>
                  <m:begChr m:val="∥"/>
                  <m:sepChr m:val=""/>
                  <m:endChr m:val="∥"/>
                  <m:grow/>
                </m:dPr>
                <m:e>
                  <m:r>
                    <m:t>w</m:t>
                  </m:r>
                  <m:r>
                    <m:rPr>
                      <m:sty m:val="p"/>
                    </m:rPr>
                    <m:t>−</m:t>
                  </m:r>
                  <m:sSub>
                    <m:e>
                      <m:r>
                        <m:t>w</m:t>
                      </m:r>
                    </m:e>
                    <m:sub>
                      <m:r>
                        <m:rPr>
                          <m:nor/>
                          <m:sty m:val="p"/>
                        </m:rPr>
                        <m:t>global</m:t>
                      </m:r>
                    </m:sub>
                  </m:sSub>
                </m:e>
              </m:d>
            </m:e>
            <m:sup>
              <m:r>
                <m:t>2</m:t>
              </m:r>
            </m:sup>
          </m:sSup>
        </m:oMath>
      </m:oMathPara>
    </w:p>
    <w:p>
      <w:pPr>
        <w:pStyle w:val="FirstParagraph"/>
      </w:pPr>
      <w:r>
        <w:t xml:space="preserve">The proximal term penalises the local model for moving too far from the global model during local training. With μ = 0.01, client models are regularised toward the global model at each step, preventing any single sector from dominating the global update. The convergence chart in the dashboard (Figure 3.8, see fqn1/disst/imgs/fig_4_8_federated.png) shows that FedProx converges faster and more smoothly than FedAvg on this heterogeneous sector data.</w:t>
      </w:r>
    </w:p>
    <w:p>
      <w:pPr>
        <w:pStyle w:val="BodyText"/>
      </w:pPr>
      <w:r>
        <w:rPr>
          <w:b/>
          <w:bCs/>
        </w:rPr>
        <w:t xml:space="preserve">Communication Rounds.</w:t>
      </w:r>
      <w:r>
        <w:t xml:space="preserve"> </w:t>
      </w:r>
      <w:r>
        <w:t xml:space="preserve">The full federated training runs for 50 rounds. In each round, the server broadcasts the current global model weights to all four clients. Each client trains locally for five epochs under DP-SGD. Each client sends its noisy weight updates back to the server. The server applies FedProx aggregation to produce the updated global model. The global Sharpe ratio of the aggregated model is tracked across rounds. After 50 rounds, the system reaches a converged state (marked CONVERGED in the dashboard) with a Global Sharpe of 0.729.</w:t>
      </w:r>
    </w:p>
    <w:p>
      <w:pPr>
        <w:pStyle w:val="BodyText"/>
      </w:pPr>
      <w:r>
        <w:t xml:space="preserve">The global FL model’s sector allocation weights are used as one of three signals in the portfolio’s smart optimisation mode, contributing a 20% signal weight alongside RL (40%) and sentiment (40%).</w:t>
      </w:r>
    </w:p>
    <w:p>
      <w:r>
        <w:pict>
          <v:rect style="width:0;height:1.5pt" o:hralign="center" o:hrstd="t" o:hr="t"/>
        </w:pict>
      </w:r>
    </w:p>
    <w:bookmarkEnd w:id="34"/>
    <w:bookmarkStart w:id="36" w:name="rest-api-design"/>
    <w:p>
      <w:pPr>
        <w:pStyle w:val="Heading2"/>
      </w:pPr>
      <w:r>
        <w:t xml:space="preserve">3.12 REST API Design</w:t>
      </w:r>
    </w:p>
    <w:p>
      <w:pPr>
        <w:pStyle w:val="FirstParagraph"/>
      </w:pPr>
      <w:r>
        <w:t xml:space="preserve">The FastAPI backend [37] connects all Python-based backend components (data pipeline, RL models, T-GAT, sentiment, FL system, stress testing) with the React frontend. FastAPI is chosen because it provides automatic request validation through Pydantic models, generates interactive API documentation at /docs automatically, and supports asynchronous request handling, which is important for long-running calls like live sentiment inference.</w:t>
      </w:r>
    </w:p>
    <w:p>
      <w:pPr>
        <w:pStyle w:val="BodyText"/>
      </w:pPr>
      <w:r>
        <w:t xml:space="preserve">CORS middleware is configured to allow requests from the React development server at localhost:3000 to the FastAPI server at localhost:8000.</w:t>
      </w:r>
    </w:p>
    <w:p>
      <w:pPr>
        <w:pStyle w:val="BodyText"/>
      </w:pPr>
      <w:r>
        <w:t xml:space="preserve">The API endpoints are organised into functional groups. The health group provides a liveness check at GET /api/health. The portfolio group provides the current portfolio summary (Sharpe, Sortino, return, drawdown, holdings table) at GET /api/portfolio-summary. The RL group provides performance metrics for all six algorithms at GET /api/rl-summary and training reward curves at GET /api/rl-training-data. The sentiment group at GET /api/news-sentiment triggers live FinBERT inference and returns scores for all forty-four stocks along with recent headlines. The stress testing group at GET /api/stress-test returns the Monte Carlo results for the currently selected scenario. The federated learning group at GET /api/fl-summary returns convergence curve data, privacy tracker, and client fairness metrics. The graph group at GET /api/gnn-summary returns node, edge, and embedding statistics.</w:t>
      </w:r>
    </w:p>
    <w:p>
      <w:pPr>
        <w:pStyle w:val="BodyText"/>
      </w:pPr>
      <w:r>
        <w:t xml:space="preserve">In total, the API exposes more than fifty endpoints covering every data dimension of the system.</w:t>
      </w:r>
    </w:p>
    <w:p>
      <w:pPr>
        <w:pStyle w:val="BodyText"/>
      </w:pPr>
      <w:r>
        <w:t xml:space="preserve">Caching is applied at two levels. Historical price data and pre-computed technical indicators are held in memory after the first load, avoiding repeated disk reads for every API call. News sentiment results are cached in SQLite with a three-minute TTL.</w:t>
      </w:r>
    </w:p>
    <w:p>
      <w:pPr>
        <w:pStyle w:val="BodyText"/>
      </w:pPr>
      <w:r>
        <w:t xml:space="preserve">All responses follow a consistent JSON schema defined by Pydantic models. This makes the React frontend code predictable and allows the Swagger documentation to accurately describe every endpoint’s response structure.</w:t>
      </w:r>
    </w:p>
    <w:p>
      <w:r>
        <w:pict>
          <v:rect style="width:0;height:1.5pt" o:hralign="center" o:hrstd="t" o:hr="t"/>
        </w:pict>
      </w:r>
    </w:p>
    <w:bookmarkEnd w:id="35"/>
    <w:bookmarkStart w:id="37" w:name="dashboard-design"/>
    <w:p>
      <w:pPr>
        <w:pStyle w:val="Heading2"/>
      </w:pPr>
      <w:r>
        <w:t xml:space="preserve">3.13 Dashboard Design</w:t>
      </w:r>
    </w:p>
    <w:p>
      <w:pPr>
        <w:pStyle w:val="FirstParagraph"/>
      </w:pPr>
      <w:r>
        <w:t xml:space="preserve">The FINQUANT-NEXUS dashboard is built with React 19, TypeScript, and Vite. State management uses Zustand for UI state and React Query for API data. Charts use Recharts. Layout uses Tailwind CSS. Pipeline animations use Framer Motion.</w:t>
      </w:r>
    </w:p>
    <w:p>
      <w:pPr>
        <w:pStyle w:val="BodyText"/>
      </w:pPr>
      <w:r>
        <w:t xml:space="preserve">The eight pages and their primary content are:</w:t>
      </w:r>
    </w:p>
    <w:p>
      <w:pPr>
        <w:pStyle w:val="Compact"/>
        <w:numPr>
          <w:ilvl w:val="0"/>
          <w:numId w:val="1003"/>
        </w:numPr>
      </w:pPr>
      <w:r>
        <w:rPr>
          <w:b/>
          <w:bCs/>
        </w:rPr>
        <w:t xml:space="preserve">Portfolio</w:t>
      </w:r>
      <w:r>
        <w:t xml:space="preserve">: Sharpe/Sortino/Return/Drawdown metric cards, holdings table, growth chart vs NIFTY 50 and Fixed Deposit</w:t>
      </w:r>
    </w:p>
    <w:p>
      <w:pPr>
        <w:pStyle w:val="Compact"/>
        <w:numPr>
          <w:ilvl w:val="0"/>
          <w:numId w:val="1003"/>
        </w:numPr>
      </w:pPr>
      <w:r>
        <w:rPr>
          <w:b/>
          <w:bCs/>
        </w:rPr>
        <w:t xml:space="preserve">RL Agent</w:t>
      </w:r>
      <w:r>
        <w:t xml:space="preserve">: Per-algorithm metrics, six-algorithm comparison table, training reward curves, sector allocation chart</w:t>
      </w:r>
    </w:p>
    <w:p>
      <w:pPr>
        <w:pStyle w:val="Compact"/>
        <w:numPr>
          <w:ilvl w:val="0"/>
          <w:numId w:val="1003"/>
        </w:numPr>
      </w:pPr>
      <w:r>
        <w:rPr>
          <w:b/>
          <w:bCs/>
        </w:rPr>
        <w:t xml:space="preserve">Stress Testing</w:t>
      </w:r>
      <w:r>
        <w:t xml:space="preserve">: Eight crisis scenario cards (VaR, CVaR, survival rate), Monte Carlo fan chart for selected scenario</w:t>
      </w:r>
    </w:p>
    <w:p>
      <w:pPr>
        <w:pStyle w:val="Compact"/>
        <w:numPr>
          <w:ilvl w:val="0"/>
          <w:numId w:val="1003"/>
        </w:numPr>
      </w:pPr>
      <w:r>
        <w:rPr>
          <w:b/>
          <w:bCs/>
        </w:rPr>
        <w:t xml:space="preserve">Federated Learning</w:t>
      </w:r>
      <w:r>
        <w:t xml:space="preserve">: FedProx vs FedAvg convergence chart, epsilon tracker, per-client Sharpe improvement</w:t>
      </w:r>
    </w:p>
    <w:p>
      <w:pPr>
        <w:pStyle w:val="Compact"/>
        <w:numPr>
          <w:ilvl w:val="0"/>
          <w:numId w:val="1003"/>
        </w:numPr>
      </w:pPr>
      <w:r>
        <w:rPr>
          <w:b/>
          <w:bCs/>
        </w:rPr>
        <w:t xml:space="preserve">Sentiment</w:t>
      </w:r>
      <w:r>
        <w:t xml:space="preserve">: Live FinBERT scores per stock, market mood indicator, news feed with sentiment labels, sector-level chart</w:t>
      </w:r>
    </w:p>
    <w:p>
      <w:pPr>
        <w:pStyle w:val="Compact"/>
        <w:numPr>
          <w:ilvl w:val="0"/>
          <w:numId w:val="1003"/>
        </w:numPr>
      </w:pPr>
      <w:r>
        <w:rPr>
          <w:b/>
          <w:bCs/>
        </w:rPr>
        <w:t xml:space="preserve">Graph Visualisation</w:t>
      </w:r>
      <w:r>
        <w:t xml:space="preserve">: Force-directed stock network, edge-type toggles, node detail panel on click</w:t>
      </w:r>
    </w:p>
    <w:p>
      <w:pPr>
        <w:pStyle w:val="Compact"/>
        <w:numPr>
          <w:ilvl w:val="0"/>
          <w:numId w:val="1003"/>
        </w:numPr>
      </w:pPr>
      <w:r>
        <w:rPr>
          <w:b/>
          <w:bCs/>
        </w:rPr>
        <w:t xml:space="preserve">Pipeline</w:t>
      </w:r>
      <w:r>
        <w:t xml:space="preserve">: Animated 15-stage data flow diagram with status indicators</w:t>
      </w:r>
    </w:p>
    <w:p>
      <w:pPr>
        <w:pStyle w:val="Compact"/>
        <w:numPr>
          <w:ilvl w:val="0"/>
          <w:numId w:val="1003"/>
        </w:numPr>
      </w:pPr>
      <w:r>
        <w:rPr>
          <w:b/>
          <w:bCs/>
        </w:rPr>
        <w:t xml:space="preserve">Future Prediction</w:t>
      </w:r>
      <w:r>
        <w:t xml:space="preserve">: Black Bootstrap 1,000 forward paths, probability of profit, per-algorithm forward comparison</w:t>
      </w:r>
    </w:p>
    <w:p>
      <w:r>
        <w:pict>
          <v:rect style="width:0;height:1.5pt" o:hralign="center" o:hrstd="t" o:hr="t"/>
        </w:pict>
      </w:r>
    </w:p>
    <w:bookmarkEnd w:id="36"/>
    <w:bookmarkEnd w:id="37"/>
    <w:p>
      <w:r>
        <w:br w:type="page"/>
      </w:r>
    </w:p>
    <w:bookmarkStart w:id="38" w:name="chapter-4-implementation-and-results"/>
    <w:p>
      <w:pPr>
        <w:pStyle w:val="Heading1"/>
      </w:pPr>
      <w:r>
        <w:t xml:space="preserve">Chapter 4 — Implementation and Results</w:t>
      </w:r>
    </w:p>
    <w:p>
      <w:r>
        <w:pict>
          <v:rect style="width:0;height:1.5pt" o:hralign="center" o:hrstd="t" o:hr="t"/>
        </w:pict>
      </w:r>
    </w:p>
    <w:bookmarkEnd w:id="38"/>
    <w:bookmarkStart w:id="39" w:name="chapter-4"/>
    <w:p>
      <w:pPr>
        <w:pStyle w:val="Heading1"/>
      </w:pPr>
      <w:r>
        <w:t xml:space="preserve">CHAPTER 4</w:t>
      </w:r>
    </w:p>
    <w:bookmarkEnd w:id="39"/>
    <w:bookmarkStart w:id="40" w:name="implementation-and-results"/>
    <w:p>
      <w:pPr>
        <w:pStyle w:val="Heading1"/>
      </w:pPr>
      <w:r>
        <w:t xml:space="preserve">IMPLEMENTATION AND RESULTS</w:t>
      </w:r>
    </w:p>
    <w:p>
      <w:r>
        <w:pict>
          <v:rect style="width:0;height:1.5pt" o:hralign="center" o:hrstd="t" o:hr="t"/>
        </w:pict>
      </w:r>
    </w:p>
    <w:p>
      <w:pPr>
        <w:pStyle w:val="FirstParagraph"/>
      </w:pPr>
      <w:r>
        <w:t xml:space="preserve">Chapter 3 covered the design decisions behind each component of FINQUANT-NEXUS. This chapter records what actually happened when those components were built and run. Each module was implemented and executed in the order described, starting from raw data collection and ending with the interactive dashboard. Results are reported as they came out of the system. Comparative analysis and deeper interpretation of the findings are left to Chapter 5.</w:t>
      </w:r>
    </w:p>
    <w:p>
      <w:r>
        <w:pict>
          <v:rect style="width:0;height:1.5pt" o:hralign="center" o:hrstd="t" o:hr="t"/>
        </w:pict>
      </w:r>
    </w:p>
    <w:bookmarkStart w:id="41" w:name="development-environment"/>
    <w:p>
      <w:pPr>
        <w:pStyle w:val="Heading2"/>
      </w:pPr>
      <w:r>
        <w:t xml:space="preserve">4.1 Development Environment</w:t>
      </w:r>
    </w:p>
    <w:p>
      <w:pPr>
        <w:pStyle w:val="FirstParagraph"/>
      </w:pPr>
      <w:r>
        <w:t xml:space="preserve">All implementation, training, and testing for this dissertation was carried out on a single local machine. The hardware configuration is listed in Table 4.1.</w:t>
      </w:r>
    </w:p>
    <w:p>
      <w:pPr>
        <w:pStyle w:val="BodyText"/>
      </w:pPr>
      <w:r>
        <w:rPr>
          <w:b/>
          <w:bCs/>
        </w:rPr>
        <w:t xml:space="preserve">Table 4.1: Development Environment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Operating System</w:t>
            </w:r>
          </w:p>
        </w:tc>
        <w:tc>
          <w:tcPr/>
          <w:p>
            <w:pPr>
              <w:pStyle w:val="Compact"/>
            </w:pPr>
            <w:r>
              <w:t xml:space="preserve">Windows 11 Pro (Build 26100)</w:t>
            </w:r>
          </w:p>
        </w:tc>
      </w:tr>
      <w:tr>
        <w:tc>
          <w:tcPr/>
          <w:p>
            <w:pPr>
              <w:pStyle w:val="Compact"/>
            </w:pPr>
            <w:r>
              <w:t xml:space="preserve">Processor</w:t>
            </w:r>
          </w:p>
        </w:tc>
        <w:tc>
          <w:tcPr/>
          <w:p>
            <w:pPr>
              <w:pStyle w:val="Compact"/>
            </w:pPr>
            <w:r>
              <w:t xml:space="preserve">13th Gen Intel Core i5-13420H @ 2.6 GHz</w:t>
            </w:r>
          </w:p>
        </w:tc>
      </w:tr>
      <w:tr>
        <w:tc>
          <w:tcPr/>
          <w:p>
            <w:pPr>
              <w:pStyle w:val="Compact"/>
            </w:pPr>
            <w:r>
              <w:t xml:space="preserve">CPU Cores / Threads</w:t>
            </w:r>
          </w:p>
        </w:tc>
        <w:tc>
          <w:tcPr/>
          <w:p>
            <w:pPr>
              <w:pStyle w:val="Compact"/>
            </w:pPr>
            <w:r>
              <w:t xml:space="preserve">8 cores / 12 threads</w:t>
            </w:r>
          </w:p>
        </w:tc>
      </w:tr>
      <w:tr>
        <w:tc>
          <w:tcPr/>
          <w:p>
            <w:pPr>
              <w:pStyle w:val="Compact"/>
            </w:pPr>
            <w:r>
              <w:t xml:space="preserve">RAM</w:t>
            </w:r>
          </w:p>
        </w:tc>
        <w:tc>
          <w:tcPr/>
          <w:p>
            <w:pPr>
              <w:pStyle w:val="Compact"/>
            </w:pPr>
            <w:r>
              <w:t xml:space="preserve">16 GB DDR4</w:t>
            </w:r>
          </w:p>
        </w:tc>
      </w:tr>
      <w:tr>
        <w:tc>
          <w:tcPr/>
          <w:p>
            <w:pPr>
              <w:pStyle w:val="Compact"/>
            </w:pPr>
            <w:r>
              <w:t xml:space="preserve">GPU</w:t>
            </w:r>
          </w:p>
        </w:tc>
        <w:tc>
          <w:tcPr/>
          <w:p>
            <w:pPr>
              <w:pStyle w:val="Compact"/>
            </w:pPr>
            <w:r>
              <w:t xml:space="preserve">NVIDIA GeForce RTX 3050 (4 GB VRAM)</w:t>
            </w:r>
          </w:p>
        </w:tc>
      </w:tr>
      <w:tr>
        <w:tc>
          <w:tcPr/>
          <w:p>
            <w:pPr>
              <w:pStyle w:val="Compact"/>
            </w:pPr>
            <w:r>
              <w:t xml:space="preserve">PyTorch Runtime</w:t>
            </w:r>
          </w:p>
        </w:tc>
        <w:tc>
          <w:tcPr/>
          <w:p>
            <w:pPr>
              <w:pStyle w:val="Compact"/>
            </w:pPr>
            <w:r>
              <w:t xml:space="preserve">CPU-only build (v2.11.0)</w:t>
            </w:r>
          </w:p>
        </w:tc>
      </w:tr>
      <w:tr>
        <w:tc>
          <w:tcPr/>
          <w:p>
            <w:pPr>
              <w:pStyle w:val="Compact"/>
            </w:pPr>
            <w:r>
              <w:t xml:space="preserve">Python Version</w:t>
            </w:r>
          </w:p>
        </w:tc>
        <w:tc>
          <w:tcPr/>
          <w:p>
            <w:pPr>
              <w:pStyle w:val="Compact"/>
            </w:pPr>
            <w:r>
              <w:t xml:space="preserve">3.11</w:t>
            </w:r>
          </w:p>
        </w:tc>
      </w:tr>
      <w:tr>
        <w:tc>
          <w:tcPr/>
          <w:p>
            <w:pPr>
              <w:pStyle w:val="Compact"/>
            </w:pPr>
            <w:r>
              <w:t xml:space="preserve">Stable-Baselines3</w:t>
            </w:r>
          </w:p>
        </w:tc>
        <w:tc>
          <w:tcPr/>
          <w:p>
            <w:pPr>
              <w:pStyle w:val="Compact"/>
            </w:pPr>
            <w:r>
              <w:t xml:space="preserve">2.8.0</w:t>
            </w:r>
          </w:p>
        </w:tc>
      </w:tr>
      <w:tr>
        <w:tc>
          <w:tcPr/>
          <w:p>
            <w:pPr>
              <w:pStyle w:val="Compact"/>
            </w:pPr>
            <w:r>
              <w:t xml:space="preserve">HuggingFace Transformers</w:t>
            </w:r>
          </w:p>
        </w:tc>
        <w:tc>
          <w:tcPr/>
          <w:p>
            <w:pPr>
              <w:pStyle w:val="Compact"/>
            </w:pPr>
            <w:r>
              <w:t xml:space="preserve">5.5.0</w:t>
            </w:r>
          </w:p>
        </w:tc>
      </w:tr>
      <w:tr>
        <w:tc>
          <w:tcPr/>
          <w:p>
            <w:pPr>
              <w:pStyle w:val="Compact"/>
            </w:pPr>
            <w:r>
              <w:t xml:space="preserve">PyTorch Geometric</w:t>
            </w:r>
          </w:p>
        </w:tc>
        <w:tc>
          <w:tcPr/>
          <w:p>
            <w:pPr>
              <w:pStyle w:val="Compact"/>
            </w:pPr>
            <w:r>
              <w:t xml:space="preserve">2.7.0</w:t>
            </w:r>
          </w:p>
        </w:tc>
      </w:tr>
      <w:tr>
        <w:tc>
          <w:tcPr/>
          <w:p>
            <w:pPr>
              <w:pStyle w:val="Compact"/>
            </w:pPr>
            <w:r>
              <w:t xml:space="preserve">Flower (flwr)</w:t>
            </w:r>
          </w:p>
        </w:tc>
        <w:tc>
          <w:tcPr/>
          <w:p>
            <w:pPr>
              <w:pStyle w:val="Compact"/>
            </w:pPr>
            <w:r>
              <w:t xml:space="preserve">1.29.0</w:t>
            </w:r>
          </w:p>
        </w:tc>
      </w:tr>
      <w:tr>
        <w:tc>
          <w:tcPr/>
          <w:p>
            <w:pPr>
              <w:pStyle w:val="Compact"/>
            </w:pPr>
            <w:r>
              <w:t xml:space="preserve">FastAPI</w:t>
            </w:r>
          </w:p>
        </w:tc>
        <w:tc>
          <w:tcPr/>
          <w:p>
            <w:pPr>
              <w:pStyle w:val="Compact"/>
            </w:pPr>
            <w:r>
              <w:t xml:space="preserve">0.135.2</w:t>
            </w:r>
          </w:p>
        </w:tc>
      </w:tr>
      <w:tr>
        <w:tc>
          <w:tcPr/>
          <w:p>
            <w:pPr>
              <w:pStyle w:val="Compact"/>
            </w:pPr>
            <w:r>
              <w:t xml:space="preserve">React</w:t>
            </w:r>
          </w:p>
        </w:tc>
        <w:tc>
          <w:tcPr/>
          <w:p>
            <w:pPr>
              <w:pStyle w:val="Compact"/>
            </w:pPr>
            <w:r>
              <w:t xml:space="preserve">19</w:t>
            </w:r>
          </w:p>
        </w:tc>
      </w:tr>
      <w:tr>
        <w:tc>
          <w:tcPr/>
          <w:p>
            <w:pPr>
              <w:pStyle w:val="Compact"/>
            </w:pPr>
            <w:r>
              <w:t xml:space="preserve">Node.js</w:t>
            </w:r>
          </w:p>
        </w:tc>
        <w:tc>
          <w:tcPr/>
          <w:p>
            <w:pPr>
              <w:pStyle w:val="Compact"/>
            </w:pPr>
            <w:r>
              <w:t xml:space="preserve">v24.14.1</w:t>
            </w:r>
          </w:p>
        </w:tc>
      </w:tr>
    </w:tbl>
    <w:p>
      <w:pPr>
        <w:pStyle w:val="BodyText"/>
      </w:pPr>
      <w:r>
        <w:t xml:space="preserve">The machine has a discrete GPU, but the PyTorch build used here was the CPU-only version. Because of that, all neural network operations (T-GAT training, RL policy network updates, and GAN-based calibration for stress testing) ran entirely on the CPU. A GPU-accelerated build would reduce training time considerably.</w:t>
      </w:r>
    </w:p>
    <w:p>
      <w:pPr>
        <w:pStyle w:val="BodyText"/>
      </w:pPr>
      <w:r>
        <w:t xml:space="preserve">To work around the lack of GPU batch acceleration, RL training used a batch size of 64 with gradient accumulation set to 4 steps, giving an effective batch size of 256. This kept memory usage within limits while maintaining stable gradient estimates throughout training.</w:t>
      </w:r>
    </w:p>
    <w:p>
      <w:r>
        <w:pict>
          <v:rect style="width:0;height:1.5pt" o:hralign="center" o:hrstd="t" o:hr="t"/>
        </w:pict>
      </w:r>
    </w:p>
    <w:bookmarkEnd w:id="40"/>
    <w:bookmarkStart w:id="42" w:name="data-collection-and-processing-results"/>
    <w:p>
      <w:pPr>
        <w:pStyle w:val="Heading2"/>
      </w:pPr>
      <w:r>
        <w:t xml:space="preserve">4.2 Data Collection and Processing Results</w:t>
      </w:r>
    </w:p>
    <w:p>
      <w:pPr>
        <w:pStyle w:val="FirstParagraph"/>
      </w:pPr>
      <w:r>
        <w:t xml:space="preserve">Daily OHLCV data for 44 NIFTY 50 stocks was downloaded using yfinance, covering January 2015 to December 2025 (approximately 2,761 trading sessions per stock). NaN values from market holidays and indicator warm-up periods were resolved by forward-fill. Twenty-one technical indicators were computed per stock and normalized using a 252-day rolling Z-score window. The final feature matrix has shape (2,761, 44, 21). The dataset splits into training (January 2015 to December 2021, ~1,757 sessions), validation (January 2022 to December 2023, ~502 sessions), and test (January 2024 to December 2025, ~502 sessions). No validation or test data was used during training.</w:t>
      </w:r>
    </w:p>
    <w:p>
      <w:pPr>
        <w:pStyle w:val="BodyText"/>
      </w:pPr>
      <w:r>
        <w:t xml:space="preserve">Figure 4.1 shows a sample price chart for RELIANCE, HDFCBANK, and INFOSYS across the full study period.</w:t>
      </w:r>
    </w:p>
    <w:p>
      <w:pPr>
        <w:pStyle w:val="BodyText"/>
      </w:pPr>
      <w:r>
        <w:t xml:space="preserve">[INSERT Figure 4.1 here — file: imgs/fig_4_1_stock_chart.png — Caption: Figure 4.1: Sample NIFTY 50 stock price chart showing RELIANCE, HDFCBANK, and INFOSYS daily closing price from January 2015 to December 2025. NOTE: This screenshot is still pending — take from dashboard Data Pipeline tab.]</w:t>
      </w:r>
    </w:p>
    <w:p>
      <w:pPr>
        <w:pStyle w:val="BodyText"/>
      </w:pPr>
      <w:r>
        <w:rPr>
          <w:b/>
          <w:bCs/>
        </w:rPr>
        <w:t xml:space="preserve">Table 4.2: Dataset Summary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Data source</w:t>
            </w:r>
          </w:p>
        </w:tc>
        <w:tc>
          <w:tcPr/>
          <w:p>
            <w:pPr>
              <w:pStyle w:val="Compact"/>
            </w:pPr>
            <w:r>
              <w:t xml:space="preserve">Yahoo Finance API (yfinance)</w:t>
            </w:r>
          </w:p>
        </w:tc>
      </w:tr>
      <w:tr>
        <w:tc>
          <w:tcPr/>
          <w:p>
            <w:pPr>
              <w:pStyle w:val="Compact"/>
            </w:pPr>
            <w:r>
              <w:t xml:space="preserve">Stocks included</w:t>
            </w:r>
          </w:p>
        </w:tc>
        <w:tc>
          <w:tcPr/>
          <w:p>
            <w:pPr>
              <w:pStyle w:val="Compact"/>
            </w:pPr>
            <w:r>
              <w:t xml:space="preserve">44 (6 excluded for incomplete history)</w:t>
            </w:r>
          </w:p>
        </w:tc>
      </w:tr>
      <w:tr>
        <w:tc>
          <w:tcPr/>
          <w:p>
            <w:pPr>
              <w:pStyle w:val="Compact"/>
            </w:pPr>
            <w:r>
              <w:t xml:space="preserve">Date range</w:t>
            </w:r>
          </w:p>
        </w:tc>
        <w:tc>
          <w:tcPr/>
          <w:p>
            <w:pPr>
              <w:pStyle w:val="Compact"/>
            </w:pPr>
            <w:r>
              <w:t xml:space="preserve">January 2015 to December 2025</w:t>
            </w:r>
          </w:p>
        </w:tc>
      </w:tr>
      <w:tr>
        <w:tc>
          <w:tcPr/>
          <w:p>
            <w:pPr>
              <w:pStyle w:val="Compact"/>
            </w:pPr>
            <w:r>
              <w:t xml:space="preserve">Approximate trading sessions per stock</w:t>
            </w:r>
          </w:p>
        </w:tc>
        <w:tc>
          <w:tcPr/>
          <w:p>
            <w:pPr>
              <w:pStyle w:val="Compact"/>
            </w:pPr>
            <w:r>
              <w:t xml:space="preserve">2,761</w:t>
            </w:r>
          </w:p>
        </w:tc>
      </w:tr>
      <w:tr>
        <w:tc>
          <w:tcPr/>
          <w:p>
            <w:pPr>
              <w:pStyle w:val="Compact"/>
            </w:pPr>
            <w:r>
              <w:t xml:space="preserve">OHLCV columns</w:t>
            </w:r>
          </w:p>
        </w:tc>
        <w:tc>
          <w:tcPr/>
          <w:p>
            <w:pPr>
              <w:pStyle w:val="Compact"/>
            </w:pPr>
            <w:r>
              <w:t xml:space="preserve">5 per stock</w:t>
            </w:r>
          </w:p>
        </w:tc>
      </w:tr>
      <w:tr>
        <w:tc>
          <w:tcPr/>
          <w:p>
            <w:pPr>
              <w:pStyle w:val="Compact"/>
            </w:pPr>
            <w:r>
              <w:t xml:space="preserve">Technical indicators computed</w:t>
            </w:r>
          </w:p>
        </w:tc>
        <w:tc>
          <w:tcPr/>
          <w:p>
            <w:pPr>
              <w:pStyle w:val="Compact"/>
            </w:pPr>
            <w:r>
              <w:t xml:space="preserve">21 per stock</w:t>
            </w:r>
          </w:p>
        </w:tc>
      </w:tr>
      <w:tr>
        <w:tc>
          <w:tcPr/>
          <w:p>
            <w:pPr>
              <w:pStyle w:val="Compact"/>
            </w:pPr>
            <w:r>
              <w:t xml:space="preserve">Feature matrix shape</w:t>
            </w:r>
          </w:p>
        </w:tc>
        <w:tc>
          <w:tcPr/>
          <w:p>
            <w:pPr>
              <w:pStyle w:val="Compact"/>
            </w:pPr>
            <w:r>
              <w:t xml:space="preserve">(2,761, 44, 21)</w:t>
            </w:r>
          </w:p>
        </w:tc>
      </w:tr>
      <w:tr>
        <w:tc>
          <w:tcPr/>
          <w:p>
            <w:pPr>
              <w:pStyle w:val="Compact"/>
            </w:pPr>
            <w:r>
              <w:t xml:space="preserve">Training period</w:t>
            </w:r>
          </w:p>
        </w:tc>
        <w:tc>
          <w:tcPr/>
          <w:p>
            <w:pPr>
              <w:pStyle w:val="Compact"/>
            </w:pPr>
            <w:r>
              <w:t xml:space="preserve">January 2015 to December 2021</w:t>
            </w:r>
          </w:p>
        </w:tc>
      </w:tr>
      <w:tr>
        <w:tc>
          <w:tcPr/>
          <w:p>
            <w:pPr>
              <w:pStyle w:val="Compact"/>
            </w:pPr>
            <w:r>
              <w:t xml:space="preserve">Validation period</w:t>
            </w:r>
          </w:p>
        </w:tc>
        <w:tc>
          <w:tcPr/>
          <w:p>
            <w:pPr>
              <w:pStyle w:val="Compact"/>
            </w:pPr>
            <w:r>
              <w:t xml:space="preserve">January 2022 to December 2023</w:t>
            </w:r>
          </w:p>
        </w:tc>
      </w:tr>
      <w:tr>
        <w:tc>
          <w:tcPr/>
          <w:p>
            <w:pPr>
              <w:pStyle w:val="Compact"/>
            </w:pPr>
            <w:r>
              <w:t xml:space="preserve">Test period</w:t>
            </w:r>
          </w:p>
        </w:tc>
        <w:tc>
          <w:tcPr/>
          <w:p>
            <w:pPr>
              <w:pStyle w:val="Compact"/>
            </w:pPr>
            <w:r>
              <w:t xml:space="preserve">January 2024 to December 2025</w:t>
            </w:r>
          </w:p>
        </w:tc>
      </w:tr>
      <w:tr>
        <w:tc>
          <w:tcPr/>
          <w:p>
            <w:pPr>
              <w:pStyle w:val="Compact"/>
            </w:pPr>
            <w:r>
              <w:t xml:space="preserve">Missing value handling</w:t>
            </w:r>
          </w:p>
        </w:tc>
        <w:tc>
          <w:tcPr/>
          <w:p>
            <w:pPr>
              <w:pStyle w:val="Compact"/>
            </w:pPr>
            <w:r>
              <w:t xml:space="preserve">Forward-fill</w:t>
            </w:r>
          </w:p>
        </w:tc>
      </w:tr>
      <w:tr>
        <w:tc>
          <w:tcPr/>
          <w:p>
            <w:pPr>
              <w:pStyle w:val="Compact"/>
            </w:pPr>
            <w:r>
              <w:t xml:space="preserve">Normalization method</w:t>
            </w:r>
          </w:p>
        </w:tc>
        <w:tc>
          <w:tcPr/>
          <w:p>
            <w:pPr>
              <w:pStyle w:val="Compact"/>
            </w:pPr>
            <w:r>
              <w:t xml:space="preserve">252-day rolling Z-score per stock</w:t>
            </w:r>
          </w:p>
        </w:tc>
      </w:tr>
    </w:tbl>
    <w:p>
      <w:r>
        <w:pict>
          <v:rect style="width:0;height:1.5pt" o:hralign="center" o:hrstd="t" o:hr="t"/>
        </w:pict>
      </w:r>
    </w:p>
    <w:bookmarkEnd w:id="41"/>
    <w:bookmarkStart w:id="43" w:name="X962ec2d3d7ede1e1c1bb3abfd69ab84906a6715"/>
    <w:p>
      <w:pPr>
        <w:pStyle w:val="Heading2"/>
      </w:pPr>
      <w:r>
        <w:t xml:space="preserve">4.3 Portfolio Analytics and Benchmark Comparison</w:t>
      </w:r>
    </w:p>
    <w:p>
      <w:pPr>
        <w:pStyle w:val="FirstParagraph"/>
      </w:pPr>
      <w:r>
        <w:t xml:space="preserve">The Portfolio Analytics tab is the main landing page of the FINQUANT-NEXUS dashboard. It was designed to give a complete summary of portfolio performance on a single screen.</w:t>
      </w:r>
    </w:p>
    <w:p>
      <w:pPr>
        <w:pStyle w:val="BodyText"/>
      </w:pPr>
      <w:r>
        <w:t xml:space="preserve">At the top of the tab, five metric cards display current portfolio performance: Sharpe Ratio (0.2996), Sortino Ratio (0.4371), Total Return (8.34%), Annual Volatility (12.86%), and Maximum Drawdown (minus 12.17%). These values reflect the active portfolio’s performance over the current evaluation window. A screenshot of this tab is shown in Figure 4.2.</w:t>
      </w:r>
    </w:p>
    <w:p>
      <w:pPr>
        <w:pStyle w:val="BodyText"/>
      </w:pPr>
      <w:r>
        <w:t xml:space="preserve">[INSERT Figure 4.2 here — file: imgs/fig_4_2_portfolio.png — Caption: Figure 4.2: Portfolio Analytics tab showing the five performance metric cards, current portfolio statistics, and the holdings table for all 44 NIFTY 50 constituent stocks.]</w:t>
      </w:r>
    </w:p>
    <w:p>
      <w:pPr>
        <w:pStyle w:val="BodyText"/>
      </w:pPr>
      <w:r>
        <w:t xml:space="preserve">Below the metric cards, a holdings table lists all 44 stocks with their current portfolio weight and sector. The allocation is computed by the active RL agent (Ensemble by default) and shows how capital is distributed across the NIFTY 50 universe at any given time. Weights sum to 1.0, and no single stock exceeds the 12 percent cap enforced as a hard constraint in the RL environment design.</w:t>
      </w:r>
    </w:p>
    <w:p>
      <w:pPr>
        <w:pStyle w:val="BodyText"/>
      </w:pPr>
      <w:r>
        <w:t xml:space="preserve">The Sharpe Ratio is computed as the ratio of excess return over the risk-free rate to the annualized standard deviation of returns:</w:t>
      </w:r>
    </w:p>
    <w:p>
      <w:pPr>
        <w:pStyle w:val="BodyText"/>
      </w:pPr>
      <m:oMathPara>
        <m:oMathParaPr>
          <m:jc m:val="center"/>
        </m:oMathParaPr>
        <m:oMath>
          <m:r>
            <m:rPr>
              <m:nor/>
              <m:sty m:val="p"/>
            </m:rPr>
            <m:t>Sharpe Ratio</m:t>
          </m:r>
          <m:r>
            <m:rPr>
              <m:sty m:val="p"/>
            </m:rPr>
            <m:t>=</m:t>
          </m:r>
          <m:f>
            <m:fPr>
              <m:type m:val="bar"/>
            </m:fPr>
            <m:num>
              <m:r>
                <m:rPr>
                  <m:nor/>
                  <m:sty m:val="p"/>
                </m:rPr>
                <m:t>Annualized Portfolio Return</m:t>
              </m:r>
              <m:r>
                <m:rPr>
                  <m:sty m:val="p"/>
                </m:rPr>
                <m:t>−</m:t>
              </m:r>
              <m:sSub>
                <m:e>
                  <m:r>
                    <m:t>R</m:t>
                  </m:r>
                </m:e>
                <m:sub>
                  <m:r>
                    <m:t>f</m:t>
                  </m:r>
                </m:sub>
              </m:sSub>
            </m:num>
            <m:den>
              <m:r>
                <m:rPr>
                  <m:nor/>
                  <m:sty m:val="p"/>
                </m:rPr>
                <m:t>Annualized Standard Deviation</m:t>
              </m:r>
            </m:den>
          </m:f>
        </m:oMath>
      </m:oMathPara>
    </w:p>
    <w:p>
      <w:pPr>
        <w:pStyle w:val="FirstParagraph"/>
      </w:pPr>
      <w:r>
        <w:t xml:space="preserve">The risk-free rate was set to 5 percent. This is a deliberately conservative figure, somewhat below the prevailing 10-year Indian G-Sec yield of around 6.8 to 7.1 percent during 2024, and roughly aligned with the SBI fixed deposit rate available to ordinary retail investors over the same period. Using a lower risk-free rate makes the Sharpe Ratio look slightly more favourable, but the same value is applied to every algorithm and to every benchmark in this dissertation, so the comparison remains internally consistent. The Sortino Ratio uses the same numerator but replaces the denominator with downside deviation only, meaning standard deviation computed exclusively from days on which the portfolio lost value. Because the denominator is smaller, the Sortino Ratio is always higher than the Sharpe Ratio for the same portfolio. The values here (0.2996 Sharpe versus 0.4371 Sortino) confirm this relationship for the current window.</w:t>
      </w:r>
    </w:p>
    <w:p>
      <w:pPr>
        <w:pStyle w:val="BodyText"/>
      </w:pPr>
      <w:r>
        <w:t xml:space="preserve">The growth chart in Figure 4.3 shows cumulative portfolio value from April 2025 to March 2026, compared against two baselines, namely the NIFTY 50 index and a fixed deposit returning 7 percent annually.</w:t>
      </w:r>
    </w:p>
    <w:p>
      <w:pPr>
        <w:pStyle w:val="BodyText"/>
      </w:pPr>
      <w:r>
        <w:t xml:space="preserve">[INSERT Figure 4.3 here — file: imgs/fig_5_1_benchmark.png — Caption: Figure 4.3: Growth chart showing portfolio cumulative value versus NIFTY 50 index and 7 percent Fixed Deposit from April 2025 to March 2026, starting capital Rs. 10,00,000.]</w:t>
      </w:r>
    </w:p>
    <w:p>
      <w:pPr>
        <w:pStyle w:val="BodyText"/>
      </w:pPr>
      <w:r>
        <w:t xml:space="preserve">Starting from an initial capital of Rs. 10,00,000, the portfolio grew to Rs. 10,82,745 by end of March 2026, a gain of 8.27 percent over approximately 247 trading days. Over the same period, the NIFTY 50 index returned 0.65 percent, reaching Rs. 10,06,550. A fixed deposit at 7 percent annual rate would have returned 4.96 percent, reaching Rs. 10,49,587. The portfolio outperformed the NIFTY 50 by 7.62 percentage points and the fixed deposit by 3.31 percentage points.</w:t>
      </w:r>
    </w:p>
    <w:p>
      <w:pPr>
        <w:pStyle w:val="BodyText"/>
      </w:pPr>
      <w:r>
        <w:t xml:space="preserve">Each of the three lines on the growth chart tells a different story. The NIFTY 50 line was volatile and stayed close to the starting value for most of the period, reflecting a relatively flat index during this window. A fixed deposit grows smoothly at a predictable rate, as expected. The portfolio line climbed more aggressively, particularly in the middle of the period, and finished ahead of both baselines despite a visible drawdown in the final quarter. Maximum drawdown of minus 12.17 percent stayed within the stop-loss threshold of minus 12 percent set as a hard constraint in the RL environment design.</w:t>
      </w:r>
    </w:p>
    <w:p>
      <w:r>
        <w:pict>
          <v:rect style="width:0;height:1.5pt" o:hralign="center" o:hrstd="t" o:hr="t"/>
        </w:pict>
      </w:r>
    </w:p>
    <w:bookmarkEnd w:id="42"/>
    <w:bookmarkStart w:id="44" w:name="reinforcement-learning-training-results"/>
    <w:p>
      <w:pPr>
        <w:pStyle w:val="Heading2"/>
      </w:pPr>
      <w:r>
        <w:t xml:space="preserve">4.4 Reinforcement Learning Training Results</w:t>
      </w:r>
    </w:p>
    <w:p>
      <w:pPr>
        <w:pStyle w:val="FirstParagraph"/>
      </w:pPr>
      <w:r>
        <w:t xml:space="preserve">Five separate RL agents were trained for this work: PPO, SAC, TD3, A2C, and DDPG. A sixth agent, the Ensemble, was not trained independently. At inference time, it computes the average of the portfolio weight outputs of all five agents, producing a combined allocation at each step. Training for each algorithm ran on the 2015 to 2021 dataset for 500,000 environment steps. Hyperparameter adjustments were made using the 2022 to 2023 validation set, and no further changes were made once testing on the 2024 to 2025 period began. This ensured that the test results represent genuinely unseen performance.</w:t>
      </w:r>
    </w:p>
    <w:p>
      <w:pPr>
        <w:pStyle w:val="BodyText"/>
      </w:pPr>
      <w:r>
        <w:t xml:space="preserve">At each step, the RL environment presented the agent with an observation vector. For each of the 44 stocks, the observation included 21 normalized technical indicator values, the 32-dimensional T-GAT embedding vector, and 1 sentiment score, giving 54 values per stock. Combined with a portfolio state vector (current weights), the observation was a flattened representation of the full market state at that time step. The agent’s output was a 44-dimensional vector of portfolio weights, passed through a softmax operation to ensure they summed to 1.0. The reward at each step was the Sharpe ratio of the portfolio computed over a rolling window, with a penalty deducted whenever any risk constraint was breached.</w:t>
      </w:r>
    </w:p>
    <w:p>
      <w:pPr>
        <w:pStyle w:val="BodyText"/>
      </w:pPr>
      <w:r>
        <w:t xml:space="preserve">Figure 4.4 shows the RL Agent dashboard with the Ensemble algorithm selected, displaying its performance metrics and the portfolio allocation bar chart.</w:t>
      </w:r>
    </w:p>
    <w:p>
      <w:pPr>
        <w:pStyle w:val="BodyText"/>
      </w:pPr>
      <w:r>
        <w:t xml:space="preserve">[INSERT Figure 4.4 here — file: imgs/fig_4_3_rl_agent_ensemble.png — Caption: Figure 4.4: RL Agent dashboard showing the Ensemble algorithm selected with its performance metrics and portfolio weight distribution across 44 NIFTY 50 stocks.]</w:t>
      </w:r>
    </w:p>
    <w:p>
      <w:pPr>
        <w:pStyle w:val="BodyText"/>
      </w:pPr>
      <w:r>
        <w:t xml:space="preserve">Figure 4.5 shows the algorithm comparison table as displayed in the dashboard.</w:t>
      </w:r>
    </w:p>
    <w:p>
      <w:pPr>
        <w:pStyle w:val="BodyText"/>
      </w:pPr>
      <w:r>
        <w:t xml:space="preserve">[INSERT Figure 4.5 here — file: imgs/fig_4_3_rl_comparison_table.png — Caption: Figure 4.5: RL algorithm comparison table from the dashboard showing performance metrics for all six algorithms evaluated on the 2024 to 2025 test period.]</w:t>
      </w:r>
    </w:p>
    <w:p>
      <w:pPr>
        <w:pStyle w:val="BodyText"/>
      </w:pPr>
      <w:r>
        <w:t xml:space="preserve">The complete results on the 2024 to 2025 test period are shown in Table 4.3.</w:t>
      </w:r>
    </w:p>
    <w:p>
      <w:pPr>
        <w:pStyle w:val="BodyText"/>
      </w:pPr>
      <w:r>
        <w:rPr>
          <w:b/>
          <w:bCs/>
        </w:rPr>
        <w:t xml:space="preserve">Table 4.3: RL Algorithm Performance Comparison (Test Period: 2024 to 2025)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Sharpe Ratio</w:t>
            </w:r>
          </w:p>
        </w:tc>
        <w:tc>
          <w:tcPr/>
          <w:p>
            <w:pPr>
              <w:pStyle w:val="Compact"/>
            </w:pPr>
            <w:r>
              <w:t xml:space="preserve">Sortino Ratio</w:t>
            </w:r>
          </w:p>
        </w:tc>
        <w:tc>
          <w:tcPr/>
          <w:p>
            <w:pPr>
              <w:pStyle w:val="Compact"/>
            </w:pPr>
            <w:r>
              <w:t xml:space="preserve">Ann. Return</w:t>
            </w:r>
          </w:p>
        </w:tc>
        <w:tc>
          <w:tcPr/>
          <w:p>
            <w:pPr>
              <w:pStyle w:val="Compact"/>
            </w:pPr>
            <w:r>
              <w:t xml:space="preserve">Volatility</w:t>
            </w:r>
          </w:p>
        </w:tc>
        <w:tc>
          <w:tcPr/>
          <w:p>
            <w:pPr>
              <w:pStyle w:val="Compact"/>
            </w:pPr>
            <w:r>
              <w:t xml:space="preserve">Max Drawdown</w:t>
            </w:r>
          </w:p>
        </w:tc>
      </w:tr>
      <w:tr>
        <w:tc>
          <w:tcPr/>
          <w:p>
            <w:pPr>
              <w:pStyle w:val="Compact"/>
            </w:pPr>
            <w:r>
              <w:t xml:space="preserve">PPO</w:t>
            </w:r>
          </w:p>
        </w:tc>
        <w:tc>
          <w:tcPr/>
          <w:p>
            <w:pPr>
              <w:pStyle w:val="Compact"/>
            </w:pPr>
            <w:r>
              <w:t xml:space="preserve">0.7829</w:t>
            </w:r>
          </w:p>
        </w:tc>
        <w:tc>
          <w:tcPr/>
          <w:p>
            <w:pPr>
              <w:pStyle w:val="Compact"/>
            </w:pPr>
            <w:r>
              <w:t xml:space="preserve">1.0721</w:t>
            </w:r>
          </w:p>
        </w:tc>
        <w:tc>
          <w:tcPr/>
          <w:p>
            <w:pPr>
              <w:pStyle w:val="Compact"/>
            </w:pPr>
            <w:r>
              <w:t xml:space="preserve">+15.22%</w:t>
            </w:r>
          </w:p>
        </w:tc>
        <w:tc>
          <w:tcPr/>
          <w:p>
            <w:pPr>
              <w:pStyle w:val="Compact"/>
            </w:pPr>
            <w:r>
              <w:t xml:space="preserve">12.76%</w:t>
            </w:r>
          </w:p>
        </w:tc>
        <w:tc>
          <w:tcPr/>
          <w:p>
            <w:pPr>
              <w:pStyle w:val="Compact"/>
            </w:pPr>
            <w:r>
              <w:t xml:space="preserve">-17.06%</w:t>
            </w:r>
          </w:p>
        </w:tc>
      </w:tr>
      <w:tr>
        <w:tc>
          <w:tcPr/>
          <w:p>
            <w:pPr>
              <w:pStyle w:val="Compact"/>
            </w:pPr>
            <w:r>
              <w:t xml:space="preserve">SAC</w:t>
            </w:r>
          </w:p>
        </w:tc>
        <w:tc>
          <w:tcPr/>
          <w:p>
            <w:pPr>
              <w:pStyle w:val="Compact"/>
            </w:pPr>
            <w:r>
              <w:t xml:space="preserve">0.7288</w:t>
            </w:r>
          </w:p>
        </w:tc>
        <w:tc>
          <w:tcPr/>
          <w:p>
            <w:pPr>
              <w:pStyle w:val="Compact"/>
            </w:pPr>
            <w:r>
              <w:t xml:space="preserve">1.0089</w:t>
            </w:r>
          </w:p>
        </w:tc>
        <w:tc>
          <w:tcPr/>
          <w:p>
            <w:pPr>
              <w:pStyle w:val="Compact"/>
            </w:pPr>
            <w:r>
              <w:t xml:space="preserve">+14.31%</w:t>
            </w:r>
          </w:p>
        </w:tc>
        <w:tc>
          <w:tcPr/>
          <w:p>
            <w:pPr>
              <w:pStyle w:val="Compact"/>
            </w:pPr>
            <w:r>
              <w:t xml:space="preserve">12.58%</w:t>
            </w:r>
          </w:p>
        </w:tc>
        <w:tc>
          <w:tcPr/>
          <w:p>
            <w:pPr>
              <w:pStyle w:val="Compact"/>
            </w:pPr>
            <w:r>
              <w:t xml:space="preserve">-16.42%</w:t>
            </w:r>
          </w:p>
        </w:tc>
      </w:tr>
      <w:tr>
        <w:tc>
          <w:tcPr/>
          <w:p>
            <w:pPr>
              <w:pStyle w:val="Compact"/>
            </w:pPr>
            <w:r>
              <w:t xml:space="preserve">TD3</w:t>
            </w:r>
          </w:p>
        </w:tc>
        <w:tc>
          <w:tcPr/>
          <w:p>
            <w:pPr>
              <w:pStyle w:val="Compact"/>
            </w:pPr>
            <w:r>
              <w:t xml:space="preserve">0.7480</w:t>
            </w:r>
          </w:p>
        </w:tc>
        <w:tc>
          <w:tcPr/>
          <w:p>
            <w:pPr>
              <w:pStyle w:val="Compact"/>
            </w:pPr>
            <w:r>
              <w:t xml:space="preserve">1.0212</w:t>
            </w:r>
          </w:p>
        </w:tc>
        <w:tc>
          <w:tcPr/>
          <w:p>
            <w:pPr>
              <w:pStyle w:val="Compact"/>
            </w:pPr>
            <w:r>
              <w:t xml:space="preserve">+14.86%</w:t>
            </w:r>
          </w:p>
        </w:tc>
        <w:tc>
          <w:tcPr/>
          <w:p>
            <w:pPr>
              <w:pStyle w:val="Compact"/>
            </w:pPr>
            <w:r>
              <w:t xml:space="preserve">12.98%</w:t>
            </w:r>
          </w:p>
        </w:tc>
        <w:tc>
          <w:tcPr/>
          <w:p>
            <w:pPr>
              <w:pStyle w:val="Compact"/>
            </w:pPr>
            <w:r>
              <w:t xml:space="preserve">-16.14%</w:t>
            </w:r>
          </w:p>
        </w:tc>
      </w:tr>
      <w:tr>
        <w:tc>
          <w:tcPr/>
          <w:p>
            <w:pPr>
              <w:pStyle w:val="Compact"/>
            </w:pPr>
            <w:r>
              <w:t xml:space="preserve">A2C</w:t>
            </w:r>
          </w:p>
        </w:tc>
        <w:tc>
          <w:tcPr/>
          <w:p>
            <w:pPr>
              <w:pStyle w:val="Compact"/>
            </w:pPr>
            <w:r>
              <w:t xml:space="preserve">0.7520</w:t>
            </w:r>
          </w:p>
        </w:tc>
        <w:tc>
          <w:tcPr/>
          <w:p>
            <w:pPr>
              <w:pStyle w:val="Compact"/>
            </w:pPr>
            <w:r>
              <w:t xml:space="preserve">1.0447</w:t>
            </w:r>
          </w:p>
        </w:tc>
        <w:tc>
          <w:tcPr/>
          <w:p>
            <w:pPr>
              <w:pStyle w:val="Compact"/>
            </w:pPr>
            <w:r>
              <w:t xml:space="preserve">+14.52%</w:t>
            </w:r>
          </w:p>
        </w:tc>
        <w:tc>
          <w:tcPr/>
          <w:p>
            <w:pPr>
              <w:pStyle w:val="Compact"/>
            </w:pPr>
            <w:r>
              <w:t xml:space="preserve">12.42%</w:t>
            </w:r>
          </w:p>
        </w:tc>
        <w:tc>
          <w:tcPr/>
          <w:p>
            <w:pPr>
              <w:pStyle w:val="Compact"/>
            </w:pPr>
            <w:r>
              <w:t xml:space="preserve">-16.29%</w:t>
            </w:r>
          </w:p>
        </w:tc>
      </w:tr>
      <w:tr>
        <w:tc>
          <w:tcPr/>
          <w:p>
            <w:pPr>
              <w:pStyle w:val="Compact"/>
            </w:pPr>
            <w:r>
              <w:t xml:space="preserve">DDPG</w:t>
            </w:r>
          </w:p>
        </w:tc>
        <w:tc>
          <w:tcPr/>
          <w:p>
            <w:pPr>
              <w:pStyle w:val="Compact"/>
            </w:pPr>
            <w:r>
              <w:t xml:space="preserve">0.8909</w:t>
            </w:r>
          </w:p>
        </w:tc>
        <w:tc>
          <w:tcPr/>
          <w:p>
            <w:pPr>
              <w:pStyle w:val="Compact"/>
            </w:pPr>
            <w:r>
              <w:t xml:space="preserve">1.1279</w:t>
            </w:r>
          </w:p>
        </w:tc>
        <w:tc>
          <w:tcPr/>
          <w:p>
            <w:pPr>
              <w:pStyle w:val="Compact"/>
            </w:pPr>
            <w:r>
              <w:t xml:space="preserve">+21.27%</w:t>
            </w:r>
          </w:p>
        </w:tc>
        <w:tc>
          <w:tcPr/>
          <w:p>
            <w:pPr>
              <w:pStyle w:val="Compact"/>
            </w:pPr>
            <w:r>
              <w:t xml:space="preserve">17.84%</w:t>
            </w:r>
          </w:p>
        </w:tc>
        <w:tc>
          <w:tcPr/>
          <w:p>
            <w:pPr>
              <w:pStyle w:val="Compact"/>
            </w:pPr>
            <w:r>
              <w:t xml:space="preserve">-21.37%</w:t>
            </w:r>
          </w:p>
        </w:tc>
      </w:tr>
      <w:tr>
        <w:tc>
          <w:tcPr/>
          <w:p>
            <w:pPr>
              <w:pStyle w:val="Compact"/>
            </w:pPr>
            <w:r>
              <w:rPr>
                <w:b/>
                <w:bCs/>
              </w:rPr>
              <w:t xml:space="preserve">Ensemble</w:t>
            </w:r>
          </w:p>
        </w:tc>
        <w:tc>
          <w:tcPr/>
          <w:p>
            <w:pPr>
              <w:pStyle w:val="Compact"/>
            </w:pPr>
            <w:r>
              <w:rPr>
                <w:b/>
                <w:bCs/>
              </w:rPr>
              <w:t xml:space="preserve">0.8316</w:t>
            </w:r>
          </w:p>
        </w:tc>
        <w:tc>
          <w:tcPr/>
          <w:p>
            <w:pPr>
              <w:pStyle w:val="Compact"/>
            </w:pPr>
            <w:r>
              <w:rPr>
                <w:b/>
                <w:bCs/>
              </w:rPr>
              <w:t xml:space="preserve">1.1086</w:t>
            </w:r>
          </w:p>
        </w:tc>
        <w:tc>
          <w:tcPr/>
          <w:p>
            <w:pPr>
              <w:pStyle w:val="Compact"/>
            </w:pPr>
            <w:r>
              <w:rPr>
                <w:b/>
                <w:bCs/>
              </w:rPr>
              <w:t xml:space="preserve">+16.75%</w:t>
            </w:r>
          </w:p>
        </w:tc>
        <w:tc>
          <w:tcPr/>
          <w:p>
            <w:pPr>
              <w:pStyle w:val="Compact"/>
            </w:pPr>
            <w:r>
              <w:rPr>
                <w:b/>
                <w:bCs/>
              </w:rPr>
              <w:t xml:space="preserve">13.76%</w:t>
            </w:r>
          </w:p>
        </w:tc>
        <w:tc>
          <w:tcPr/>
          <w:p>
            <w:pPr>
              <w:pStyle w:val="Compact"/>
            </w:pPr>
            <w:r>
              <w:rPr>
                <w:b/>
                <w:bCs/>
              </w:rPr>
              <w:t xml:space="preserve">-17.80%</w:t>
            </w:r>
          </w:p>
        </w:tc>
      </w:tr>
    </w:tbl>
    <w:p>
      <w:pPr>
        <w:pStyle w:val="BodyText"/>
      </w:pPr>
      <w:r>
        <w:t xml:space="preserve">DDPG produced the highest return (21.27%) but also the highest volatility (17.84%) and deepest drawdown (minus 21.37%), consistent with its deterministic concentrated policy. SAC showed the lowest return (14.31%) with the second-lowest volatility (12.58%), reflecting its entropy regularization. The Ensemble achieved a Sharpe of 0.8316 with a drawdown of minus 17.80%, providing a better risk-adjusted balance than DDPG. All six algorithms substantially outperformed the NIFTY 50 index return of 0.65% over the same period. Chapter 5 analyses these results in detail.</w:t>
      </w:r>
    </w:p>
    <w:p>
      <w:r>
        <w:pict>
          <v:rect style="width:0;height:1.5pt" o:hralign="center" o:hrstd="t" o:hr="t"/>
        </w:pict>
      </w:r>
    </w:p>
    <w:bookmarkEnd w:id="43"/>
    <w:bookmarkStart w:id="45" w:name="sentiment-analysis-results"/>
    <w:p>
      <w:pPr>
        <w:pStyle w:val="Heading2"/>
      </w:pPr>
      <w:r>
        <w:t xml:space="preserve">4.5 Sentiment Analysis Results</w:t>
      </w:r>
    </w:p>
    <w:p>
      <w:pPr>
        <w:pStyle w:val="FirstParagraph"/>
      </w:pPr>
      <w:r>
        <w:t xml:space="preserve">The sentiment analysis module runs in real time when the dashboard is open. For each of the 44 stocks, the FinBERT model (ProsusAI/finbert) fetches recent news headlines from Google News, processes them through the tokenizer and three-class classification head, and computes a composite sentiment score as the difference between the positive and negative class probabilities. The score ranges from minus 1 (strongly negative) to plus 1 (strongly positive).</w:t>
      </w:r>
    </w:p>
    <w:p>
      <w:pPr>
        <w:pStyle w:val="BodyText"/>
      </w:pPr>
      <w:r>
        <w:t xml:space="preserve">On the day the system was run for this dissertation, 50 headlines were processed across the 44 stocks. Overall market mood was assessed as Bullish, with an average sentiment score of 0.2942 across all stocks and headlines. This score falls in the</w:t>
      </w:r>
      <w:r>
        <w:t xml:space="preserve"> </w:t>
      </w:r>
      <w:r>
        <w:t xml:space="preserve">“Strong Buy”</w:t>
      </w:r>
      <w:r>
        <w:t xml:space="preserve"> </w:t>
      </w:r>
      <w:r>
        <w:t xml:space="preserve">classification band in the dashboard’s three-tier scheme (Bearish for scores below zero, Neutral for zero to 0.15, Bullish for scores above 0.15). Google News contributed 80 percent of the total headline signal, with other aggregated sources providing the remaining 20 percent.</w:t>
      </w:r>
    </w:p>
    <w:p>
      <w:pPr>
        <w:pStyle w:val="BodyText"/>
      </w:pPr>
      <w:r>
        <w:t xml:space="preserve">A screenshot of the Sentiment Analysis tab is shown in Figure 4.6.</w:t>
      </w:r>
    </w:p>
    <w:p>
      <w:pPr>
        <w:pStyle w:val="BodyText"/>
      </w:pPr>
      <w:r>
        <w:t xml:space="preserve">[INSERT Figure 4.6 here — file: imgs/fig_4_5_sentiment1.png — Caption: Figure 4.6: Sentiment Analysis tab showing live FinBERT sentiment scores for NIFTY 50 stocks, overall market mood indicator, average composite score, and the top market mover.]</w:t>
      </w:r>
    </w:p>
    <w:p>
      <w:pPr>
        <w:pStyle w:val="BodyText"/>
      </w:pPr>
      <w:r>
        <w:t xml:space="preserve">Sector-level sentiment scores showed variation across industries. Finance showed the strongest positive sentiment with a score of 0.7227. The Others segment followed at 0.7062. Auto was the only sector in negative territory on this day, with a score of minus 0.3259. FMCG was mildly positive at 0.2095. The top market mover on the observation day was MARUTI SUZUKI, with a price change of minus 2.21 percent, which aligned with the negative Auto sector reading.</w:t>
      </w:r>
    </w:p>
    <w:p>
      <w:pPr>
        <w:pStyle w:val="BodyText"/>
      </w:pPr>
      <w:r>
        <w:t xml:space="preserve">SQLite caching prevented redundant FinBERT calls. Inference time per full batch is 15 to 30 seconds on the CPU build, which is acceptable for a demand-refresh dashboard. Sentiment scores enter the RL observation vector as one-dimensional inputs per stock, and the agent learned during training how to weight them relative to price and graph signals.</w:t>
      </w:r>
    </w:p>
    <w:p>
      <w:r>
        <w:pict>
          <v:rect style="width:0;height:1.5pt" o:hralign="center" o:hrstd="t" o:hr="t"/>
        </w:pict>
      </w:r>
    </w:p>
    <w:bookmarkEnd w:id="44"/>
    <w:bookmarkStart w:id="46" w:name="graph-visualization-results"/>
    <w:p>
      <w:pPr>
        <w:pStyle w:val="Heading2"/>
      </w:pPr>
      <w:r>
        <w:t xml:space="preserve">4.6 Graph Visualization Results</w:t>
      </w:r>
    </w:p>
    <w:p>
      <w:pPr>
        <w:pStyle w:val="FirstParagraph"/>
      </w:pPr>
      <w:r>
        <w:t xml:space="preserve">The Stock Relationship Graph provides an interactive view of the multi-relational stock network described in Chapter 3. The graph was constructed with 44 stock nodes and 250 edges distributed across three relationship types, namely sector membership (79 edges), supply chain linkage (24 edges), and 60-day rolling return correlation (147 edges).</w:t>
      </w:r>
    </w:p>
    <w:p>
      <w:pPr>
        <w:pStyle w:val="BodyText"/>
      </w:pPr>
      <w:r>
        <w:t xml:space="preserve">A force-directed visualization renders 44 stock nodes with size proportional to portfolio weight and colour encoding sector. Three edge-type toggles allow independent display of sector, supply chain, and correlation edges. During high-correlation periods, the graph visibly densifies as rolling correlations spike. Clicking any node opens a detail panel with sector, weight, degree, and connected neighbours.</w:t>
      </w:r>
    </w:p>
    <w:p>
      <w:pPr>
        <w:pStyle w:val="BodyText"/>
      </w:pPr>
      <w:r>
        <w:t xml:space="preserve">Figure 4.7 shows the full graph with all three edge types enabled.</w:t>
      </w:r>
    </w:p>
    <w:p>
      <w:pPr>
        <w:pStyle w:val="BodyText"/>
      </w:pPr>
      <w:r>
        <w:t xml:space="preserve">[INSERT Figure 4.7 here — file: imgs/fig_4_6_graph_all_edges.png — Caption: Figure 4.7: Graph Visualization tab showing force-directed stock network with all three edge types (Sector, Supply Chain, Correlation) enabled.]</w:t>
      </w:r>
    </w:p>
    <w:p>
      <w:pPr>
        <w:pStyle w:val="BodyText"/>
      </w:pPr>
      <w:r>
        <w:t xml:space="preserve">Table 4.4 records the quantitative statistics of the constructed graph.</w:t>
      </w:r>
    </w:p>
    <w:p>
      <w:pPr>
        <w:pStyle w:val="BodyText"/>
      </w:pPr>
      <w:r>
        <w:rPr>
          <w:b/>
          <w:bCs/>
        </w:rPr>
        <w:t xml:space="preserve">Table 4.4: Stock Graph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nodes (stocks)</w:t>
            </w:r>
          </w:p>
        </w:tc>
        <w:tc>
          <w:tcPr/>
          <w:p>
            <w:pPr>
              <w:pStyle w:val="Compact"/>
            </w:pPr>
            <w:r>
              <w:t xml:space="preserve">44</w:t>
            </w:r>
          </w:p>
        </w:tc>
      </w:tr>
      <w:tr>
        <w:tc>
          <w:tcPr/>
          <w:p>
            <w:pPr>
              <w:pStyle w:val="Compact"/>
            </w:pPr>
            <w:r>
              <w:t xml:space="preserve">Total edges</w:t>
            </w:r>
          </w:p>
        </w:tc>
        <w:tc>
          <w:tcPr/>
          <w:p>
            <w:pPr>
              <w:pStyle w:val="Compact"/>
            </w:pPr>
            <w:r>
              <w:t xml:space="preserve">250</w:t>
            </w:r>
          </w:p>
        </w:tc>
      </w:tr>
      <w:tr>
        <w:tc>
          <w:tcPr/>
          <w:p>
            <w:pPr>
              <w:pStyle w:val="Compact"/>
            </w:pPr>
            <w:r>
              <w:t xml:space="preserve">Sector edges</w:t>
            </w:r>
          </w:p>
        </w:tc>
        <w:tc>
          <w:tcPr/>
          <w:p>
            <w:pPr>
              <w:pStyle w:val="Compact"/>
            </w:pPr>
            <w:r>
              <w:t xml:space="preserve">79</w:t>
            </w:r>
          </w:p>
        </w:tc>
      </w:tr>
      <w:tr>
        <w:tc>
          <w:tcPr/>
          <w:p>
            <w:pPr>
              <w:pStyle w:val="Compact"/>
            </w:pPr>
            <w:r>
              <w:t xml:space="preserve">Supply chain edges</w:t>
            </w:r>
          </w:p>
        </w:tc>
        <w:tc>
          <w:tcPr/>
          <w:p>
            <w:pPr>
              <w:pStyle w:val="Compact"/>
            </w:pPr>
            <w:r>
              <w:t xml:space="preserve">24</w:t>
            </w:r>
          </w:p>
        </w:tc>
      </w:tr>
      <w:tr>
        <w:tc>
          <w:tcPr/>
          <w:p>
            <w:pPr>
              <w:pStyle w:val="Compact"/>
            </w:pPr>
            <w:r>
              <w:t xml:space="preserve">Correlation edges (60-day rolling)</w:t>
            </w:r>
          </w:p>
        </w:tc>
        <w:tc>
          <w:tcPr/>
          <w:p>
            <w:pPr>
              <w:pStyle w:val="Compact"/>
            </w:pPr>
            <w:r>
              <w:t xml:space="preserve">147</w:t>
            </w:r>
          </w:p>
        </w:tc>
      </w:tr>
      <w:tr>
        <w:tc>
          <w:tcPr/>
          <w:p>
            <w:pPr>
              <w:pStyle w:val="Compact"/>
            </w:pPr>
            <w:r>
              <w:t xml:space="preserve">Graph density</w:t>
            </w:r>
          </w:p>
        </w:tc>
        <w:tc>
          <w:tcPr/>
          <w:p>
            <w:pPr>
              <w:pStyle w:val="Compact"/>
            </w:pPr>
            <w:r>
              <w:t xml:space="preserve">0.264</w:t>
            </w:r>
          </w:p>
        </w:tc>
      </w:tr>
      <w:tr>
        <w:tc>
          <w:tcPr/>
          <w:p>
            <w:pPr>
              <w:pStyle w:val="Compact"/>
            </w:pPr>
            <w:r>
              <w:t xml:space="preserve">Average node degree</w:t>
            </w:r>
          </w:p>
        </w:tc>
        <w:tc>
          <w:tcPr/>
          <w:p>
            <w:pPr>
              <w:pStyle w:val="Compact"/>
            </w:pPr>
            <w:r>
              <w:t xml:space="preserve">11.4</w:t>
            </w:r>
          </w:p>
        </w:tc>
      </w:tr>
      <w:tr>
        <w:tc>
          <w:tcPr/>
          <w:p>
            <w:pPr>
              <w:pStyle w:val="Compact"/>
            </w:pPr>
            <w:r>
              <w:t xml:space="preserve">Highest degree stock</w:t>
            </w:r>
          </w:p>
        </w:tc>
        <w:tc>
          <w:tcPr/>
          <w:p>
            <w:pPr>
              <w:pStyle w:val="Compact"/>
            </w:pPr>
            <w:r>
              <w:t xml:space="preserve">HDFCBANK (Degree 23, Neighbours 22)</w:t>
            </w:r>
          </w:p>
        </w:tc>
      </w:tr>
      <w:tr>
        <w:tc>
          <w:tcPr/>
          <w:p>
            <w:pPr>
              <w:pStyle w:val="Compact"/>
            </w:pPr>
            <w:r>
              <w:t xml:space="preserve">Strongest correlated pair</w:t>
            </w:r>
          </w:p>
        </w:tc>
        <w:tc>
          <w:tcPr/>
          <w:p>
            <w:pPr>
              <w:pStyle w:val="Compact"/>
            </w:pPr>
            <w:r>
              <w:t xml:space="preserve">BAJFINANCE-BAJAJFINSV (correlation 0.89)</w:t>
            </w:r>
          </w:p>
        </w:tc>
      </w:tr>
    </w:tbl>
    <w:p>
      <w:pPr>
        <w:pStyle w:val="BodyText"/>
      </w:pPr>
      <w:r>
        <w:t xml:space="preserve">HDFCBANK has the highest degree (23) because it connects to banking peers via sector edges, to several companies via supply chain links, and to many stocks via return correlations. The strongest pair correlation belongs to BAJFINANCE and BAJAJFINSV (0.89), reflecting their shared Bajaj group business overlap. The graph encodes this structural similarity so the RL agent does not overweight both as if they were independent positions.</w:t>
      </w:r>
    </w:p>
    <w:p>
      <w:r>
        <w:pict>
          <v:rect style="width:0;height:1.5pt" o:hralign="center" o:hrstd="t" o:hr="t"/>
        </w:pict>
      </w:r>
    </w:p>
    <w:bookmarkEnd w:id="45"/>
    <w:bookmarkStart w:id="47" w:name="stress-testing-results"/>
    <w:p>
      <w:pPr>
        <w:pStyle w:val="Heading2"/>
      </w:pPr>
      <w:r>
        <w:t xml:space="preserve">4.7 Stress Testing Results</w:t>
      </w:r>
    </w:p>
    <w:p>
      <w:pPr>
        <w:pStyle w:val="FirstParagraph"/>
      </w:pPr>
      <w:r>
        <w:t xml:space="preserve">The Stress Testing module ran 1,000 Monte Carlo simulation paths for each of the eight predefined crisis scenarios. Each path represents one possible portfolio outcome over the simulation horizon, generated by sampling return parameters drawn from the historical distributions of the chosen crisis period. Three risk metrics were computed from the 1,000 paths, namely Mean Return across all paths, Value at Risk at the 95th percentile (VaR 95%), and Conditional Value at Risk at the 95th percentile (CVaR 95%). A Survival Rate was also recorded, defined exactly as in Section 3.10. It is the percentage of simulation paths in which the portfolio’s drawdown stays within the maximum drawdown constraint of minus 12 percent throughout the horizon, that is, paths that do not breach the circuit-breaker.</w:t>
      </w:r>
    </w:p>
    <w:p>
      <w:pPr>
        <w:pStyle w:val="BodyText"/>
      </w:pPr>
      <w:r>
        <w:t xml:space="preserve">Figure 4.8 shows the Stress Testing tab. The Monte Carlo fan chart displays all 1,000 paths as overlapping curves, with the median path highlighted and confidence bands drawn at the 10th and 90th percentile positions.</w:t>
      </w:r>
    </w:p>
    <w:p>
      <w:pPr>
        <w:pStyle w:val="BodyText"/>
      </w:pPr>
      <w:r>
        <w:t xml:space="preserve">[INSERT Figure 4.8 here — file: imgs/fig_4_7_stress_normal.png — Caption: Figure 4.8: Stress Testing tab showing the Monte Carlo simulation fan chart and risk metrics panel for the currently selected scenario.]</w:t>
      </w:r>
    </w:p>
    <w:p>
      <w:pPr>
        <w:pStyle w:val="BodyText"/>
      </w:pPr>
      <w:r>
        <w:t xml:space="preserve">The complete results for all eight scenarios are in Table 4.5.</w:t>
      </w:r>
    </w:p>
    <w:p>
      <w:pPr>
        <w:pStyle w:val="BodyText"/>
      </w:pPr>
      <w:r>
        <w:rPr>
          <w:b/>
          <w:bCs/>
        </w:rPr>
        <w:t xml:space="preserve">Table 4.5: Stress Testing Risk Metrics — All 8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Mean Return</w:t>
            </w:r>
          </w:p>
        </w:tc>
        <w:tc>
          <w:tcPr/>
          <w:p>
            <w:pPr>
              <w:pStyle w:val="Compact"/>
            </w:pPr>
            <w:r>
              <w:t xml:space="preserve">VaR 95%</w:t>
            </w:r>
          </w:p>
        </w:tc>
        <w:tc>
          <w:tcPr/>
          <w:p>
            <w:pPr>
              <w:pStyle w:val="Compact"/>
            </w:pPr>
            <w:r>
              <w:t xml:space="preserve">CVaR 95%</w:t>
            </w:r>
          </w:p>
        </w:tc>
        <w:tc>
          <w:tcPr/>
          <w:p>
            <w:pPr>
              <w:pStyle w:val="Compact"/>
            </w:pPr>
            <w:r>
              <w:t xml:space="preserve">Survival Rate</w:t>
            </w:r>
          </w:p>
        </w:tc>
      </w:tr>
      <w:tr>
        <w:tc>
          <w:tcPr/>
          <w:p>
            <w:pPr>
              <w:pStyle w:val="Compact"/>
            </w:pPr>
            <w:r>
              <w:t xml:space="preserve">Normal</w:t>
            </w:r>
          </w:p>
        </w:tc>
        <w:tc>
          <w:tcPr/>
          <w:p>
            <w:pPr>
              <w:pStyle w:val="Compact"/>
            </w:pPr>
            <w:r>
              <w:t xml:space="preserve">+15.74%</w:t>
            </w:r>
          </w:p>
        </w:tc>
        <w:tc>
          <w:tcPr/>
          <w:p>
            <w:pPr>
              <w:pStyle w:val="Compact"/>
            </w:pPr>
            <w:r>
              <w:t xml:space="preserve">-15.89%</w:t>
            </w:r>
          </w:p>
        </w:tc>
        <w:tc>
          <w:tcPr/>
          <w:p>
            <w:pPr>
              <w:pStyle w:val="Compact"/>
            </w:pPr>
            <w:r>
              <w:t xml:space="preserve">-21.32%</w:t>
            </w:r>
          </w:p>
        </w:tc>
        <w:tc>
          <w:tcPr/>
          <w:p>
            <w:pPr>
              <w:pStyle w:val="Compact"/>
            </w:pPr>
            <w:r>
              <w:t xml:space="preserve">34.4%</w:t>
            </w:r>
          </w:p>
        </w:tc>
      </w:tr>
      <w:tr>
        <w:tc>
          <w:tcPr/>
          <w:p>
            <w:pPr>
              <w:pStyle w:val="Compact"/>
            </w:pPr>
            <w:r>
              <w:t xml:space="preserve">2008 Financial Crisis</w:t>
            </w:r>
          </w:p>
        </w:tc>
        <w:tc>
          <w:tcPr/>
          <w:p>
            <w:pPr>
              <w:pStyle w:val="Compact"/>
            </w:pPr>
            <w:r>
              <w:t xml:space="preserve">-25.62%</w:t>
            </w:r>
          </w:p>
        </w:tc>
        <w:tc>
          <w:tcPr/>
          <w:p>
            <w:pPr>
              <w:pStyle w:val="Compact"/>
            </w:pPr>
            <w:r>
              <w:t xml:space="preserve">-49.31%</w:t>
            </w:r>
          </w:p>
        </w:tc>
        <w:tc>
          <w:tcPr/>
          <w:p>
            <w:pPr>
              <w:pStyle w:val="Compact"/>
            </w:pPr>
            <w:r>
              <w:t xml:space="preserve">-53.65%</w:t>
            </w:r>
          </w:p>
        </w:tc>
        <w:tc>
          <w:tcPr/>
          <w:p>
            <w:pPr>
              <w:pStyle w:val="Compact"/>
            </w:pPr>
            <w:r>
              <w:t xml:space="preserve">1.2%</w:t>
            </w:r>
          </w:p>
        </w:tc>
      </w:tr>
      <w:tr>
        <w:tc>
          <w:tcPr/>
          <w:p>
            <w:pPr>
              <w:pStyle w:val="Compact"/>
            </w:pPr>
            <w:r>
              <w:t xml:space="preserve">COVID-19 Crash</w:t>
            </w:r>
          </w:p>
        </w:tc>
        <w:tc>
          <w:tcPr/>
          <w:p>
            <w:pPr>
              <w:pStyle w:val="Compact"/>
            </w:pPr>
            <w:r>
              <w:t xml:space="preserve">-12.35%</w:t>
            </w:r>
          </w:p>
        </w:tc>
        <w:tc>
          <w:tcPr/>
          <w:p>
            <w:pPr>
              <w:pStyle w:val="Compact"/>
            </w:pPr>
            <w:r>
              <w:t xml:space="preserve">-29.37%</w:t>
            </w:r>
          </w:p>
        </w:tc>
        <w:tc>
          <w:tcPr/>
          <w:p>
            <w:pPr>
              <w:pStyle w:val="Compact"/>
            </w:pPr>
            <w:r>
              <w:t xml:space="preserve">-32.32%</w:t>
            </w:r>
          </w:p>
        </w:tc>
        <w:tc>
          <w:tcPr/>
          <w:p>
            <w:pPr>
              <w:pStyle w:val="Compact"/>
            </w:pPr>
            <w:r>
              <w:t xml:space="preserve">21.1%</w:t>
            </w:r>
          </w:p>
        </w:tc>
      </w:tr>
      <w:tr>
        <w:tc>
          <w:tcPr/>
          <w:p>
            <w:pPr>
              <w:pStyle w:val="Compact"/>
            </w:pPr>
            <w:r>
              <w:t xml:space="preserve">Flash Crash</w:t>
            </w:r>
          </w:p>
        </w:tc>
        <w:tc>
          <w:tcPr/>
          <w:p>
            <w:pPr>
              <w:pStyle w:val="Compact"/>
            </w:pPr>
            <w:r>
              <w:t xml:space="preserve">-9.27%</w:t>
            </w:r>
          </w:p>
        </w:tc>
        <w:tc>
          <w:tcPr/>
          <w:p>
            <w:pPr>
              <w:pStyle w:val="Compact"/>
            </w:pPr>
            <w:r>
              <w:t xml:space="preserve">-19.19%</w:t>
            </w:r>
          </w:p>
        </w:tc>
        <w:tc>
          <w:tcPr/>
          <w:p>
            <w:pPr>
              <w:pStyle w:val="Compact"/>
            </w:pPr>
            <w:r>
              <w:t xml:space="preserve">-21.87%</w:t>
            </w:r>
          </w:p>
        </w:tc>
        <w:tc>
          <w:tcPr/>
          <w:p>
            <w:pPr>
              <w:pStyle w:val="Compact"/>
            </w:pPr>
            <w:r>
              <w:t xml:space="preserve">76.4%</w:t>
            </w:r>
          </w:p>
        </w:tc>
      </w:tr>
      <w:tr>
        <w:tc>
          <w:tcPr/>
          <w:p>
            <w:pPr>
              <w:pStyle w:val="Compact"/>
            </w:pPr>
            <w:r>
              <w:t xml:space="preserve">Dot-Com 2000</w:t>
            </w:r>
          </w:p>
        </w:tc>
        <w:tc>
          <w:tcPr/>
          <w:p>
            <w:pPr>
              <w:pStyle w:val="Compact"/>
            </w:pPr>
            <w:r>
              <w:t xml:space="preserve">-22.62%</w:t>
            </w:r>
          </w:p>
        </w:tc>
        <w:tc>
          <w:tcPr/>
          <w:p>
            <w:pPr>
              <w:pStyle w:val="Compact"/>
            </w:pPr>
            <w:r>
              <w:t xml:space="preserve">-47.86%</w:t>
            </w:r>
          </w:p>
        </w:tc>
        <w:tc>
          <w:tcPr/>
          <w:p>
            <w:pPr>
              <w:pStyle w:val="Compact"/>
            </w:pPr>
            <w:r>
              <w:t xml:space="preserve">-52.78%</w:t>
            </w:r>
          </w:p>
        </w:tc>
        <w:tc>
          <w:tcPr/>
          <w:p>
            <w:pPr>
              <w:pStyle w:val="Compact"/>
            </w:pPr>
            <w:r>
              <w:t xml:space="preserve">0.9%</w:t>
            </w:r>
          </w:p>
        </w:tc>
      </w:tr>
      <w:tr>
        <w:tc>
          <w:tcPr/>
          <w:p>
            <w:pPr>
              <w:pStyle w:val="Compact"/>
            </w:pPr>
            <w:r>
              <w:t xml:space="preserve">India Bear 2015</w:t>
            </w:r>
          </w:p>
        </w:tc>
        <w:tc>
          <w:tcPr/>
          <w:p>
            <w:pPr>
              <w:pStyle w:val="Compact"/>
            </w:pPr>
            <w:r>
              <w:t xml:space="preserve">-13.24%</w:t>
            </w:r>
          </w:p>
        </w:tc>
        <w:tc>
          <w:tcPr/>
          <w:p>
            <w:pPr>
              <w:pStyle w:val="Compact"/>
            </w:pPr>
            <w:r>
              <w:t xml:space="preserve">-38.00%</w:t>
            </w:r>
          </w:p>
        </w:tc>
        <w:tc>
          <w:tcPr/>
          <w:p>
            <w:pPr>
              <w:pStyle w:val="Compact"/>
            </w:pPr>
            <w:r>
              <w:t xml:space="preserve">-43.28%</w:t>
            </w:r>
          </w:p>
        </w:tc>
        <w:tc>
          <w:tcPr/>
          <w:p>
            <w:pPr>
              <w:pStyle w:val="Compact"/>
            </w:pPr>
            <w:r>
              <w:t xml:space="preserve">4.0%</w:t>
            </w:r>
          </w:p>
        </w:tc>
      </w:tr>
      <w:tr>
        <w:tc>
          <w:tcPr/>
          <w:p>
            <w:pPr>
              <w:pStyle w:val="Compact"/>
            </w:pPr>
            <w:r>
              <w:t xml:space="preserve">Rate Hike 2022</w:t>
            </w:r>
          </w:p>
        </w:tc>
        <w:tc>
          <w:tcPr/>
          <w:p>
            <w:pPr>
              <w:pStyle w:val="Compact"/>
            </w:pPr>
            <w:r>
              <w:t xml:space="preserve">-7.45%</w:t>
            </w:r>
          </w:p>
        </w:tc>
        <w:tc>
          <w:tcPr/>
          <w:p>
            <w:pPr>
              <w:pStyle w:val="Compact"/>
            </w:pPr>
            <w:r>
              <w:t xml:space="preserve">-33.51%</w:t>
            </w:r>
          </w:p>
        </w:tc>
        <w:tc>
          <w:tcPr/>
          <w:p>
            <w:pPr>
              <w:pStyle w:val="Compact"/>
            </w:pPr>
            <w:r>
              <w:t xml:space="preserve">-39.30%</w:t>
            </w:r>
          </w:p>
        </w:tc>
        <w:tc>
          <w:tcPr/>
          <w:p>
            <w:pPr>
              <w:pStyle w:val="Compact"/>
            </w:pPr>
            <w:r>
              <w:t xml:space="preserve">7.0%</w:t>
            </w:r>
          </w:p>
        </w:tc>
      </w:tr>
      <w:tr>
        <w:tc>
          <w:tcPr/>
          <w:p>
            <w:pPr>
              <w:pStyle w:val="Compact"/>
            </w:pPr>
            <w:r>
              <w:t xml:space="preserve">Geo-Political Shock</w:t>
            </w:r>
          </w:p>
        </w:tc>
        <w:tc>
          <w:tcPr/>
          <w:p>
            <w:pPr>
              <w:pStyle w:val="Compact"/>
            </w:pPr>
            <w:r>
              <w:t xml:space="preserve">-14.33%</w:t>
            </w:r>
          </w:p>
        </w:tc>
        <w:tc>
          <w:tcPr/>
          <w:p>
            <w:pPr>
              <w:pStyle w:val="Compact"/>
            </w:pPr>
            <w:r>
              <w:t xml:space="preserve">-32.99%</w:t>
            </w:r>
          </w:p>
        </w:tc>
        <w:tc>
          <w:tcPr/>
          <w:p>
            <w:pPr>
              <w:pStyle w:val="Compact"/>
            </w:pPr>
            <w:r>
              <w:t xml:space="preserve">-37.55%</w:t>
            </w:r>
          </w:p>
        </w:tc>
        <w:tc>
          <w:tcPr/>
          <w:p>
            <w:pPr>
              <w:pStyle w:val="Compact"/>
            </w:pPr>
            <w:r>
              <w:t xml:space="preserve">12.2%</w:t>
            </w:r>
          </w:p>
        </w:tc>
      </w:tr>
    </w:tbl>
    <w:p>
      <w:pPr>
        <w:pStyle w:val="BlockText"/>
      </w:pPr>
      <w:r>
        <w:t xml:space="preserve">1,000 Monte Carlo paths per scenario | Best survival: Flash Crash 76.4% | Worst: Dot-Com 2000 0.9%</w:t>
      </w:r>
    </w:p>
    <w:p>
      <w:pPr>
        <w:pStyle w:val="FirstParagraph"/>
      </w:pPr>
      <w:r>
        <w:t xml:space="preserve">The Normal baseline produces a mean return of +15.74% with a 34.4% survival rate. Paths ending negative even without crisis stress reflect natural return variance. Flash Crash shows the best crisis survival at 76.4% because the historical event was brief and the portfolio’s stop-loss constraints limited per-period loss. Both the 2008 Crisis and Dot-Com 2000 have survival rates below 2 percent (1.2% and 0.9%), because both were prolonged multi-month declines where cumulative losses compound unavoidably. Rate Hike 2022 is worth noting for a different reason. The mean return looks relatively mild at minus 7.45%, but the tail risk is severe (CVaR minus 39.30%), which is characteristic of interest rate environments where the average path is moderate but the worst paths are very bad. Chapter 5 interprets these results across scenario groups.</w:t>
      </w:r>
    </w:p>
    <w:p>
      <w:r>
        <w:pict>
          <v:rect style="width:0;height:1.5pt" o:hralign="center" o:hrstd="t" o:hr="t"/>
        </w:pict>
      </w:r>
    </w:p>
    <w:bookmarkEnd w:id="46"/>
    <w:bookmarkStart w:id="48" w:name="federated-learning-results"/>
    <w:p>
      <w:pPr>
        <w:pStyle w:val="Heading2"/>
      </w:pPr>
      <w:r>
        <w:t xml:space="preserve">4.8 Federated Learning Results</w:t>
      </w:r>
    </w:p>
    <w:p>
      <w:pPr>
        <w:pStyle w:val="FirstParagraph"/>
      </w:pPr>
      <w:r>
        <w:t xml:space="preserve">The federated learning module simulated a four-client environment on the same physical machine, with each client managing a logically separated dataset corresponding to one market sector. The clients were Banking and Finance (10 stocks), IT and Telecom (6 stocks), Pharma and FMCG (8 stocks), and Energy, Auto and Others (20 stocks). The FedProx aggregation algorithm with a proximal term of μ equal to 0.01 was used. DP-SGD was applied locally at each client before weight sharing, with noise multiplier σ equal to 1.1 and maximum gradient norm equal to 1.0.</w:t>
      </w:r>
    </w:p>
    <w:p>
      <w:pPr>
        <w:pStyle w:val="BodyText"/>
      </w:pPr>
      <w:r>
        <w:t xml:space="preserve">Training ran for 50 communication rounds. In each round, all four clients train locally for 5 epochs under DP-SGD, send noisy weight updates to the server, the server aggregates via FedProx, and returns global weights. No raw data is shared at any point.</w:t>
      </w:r>
    </w:p>
    <w:p>
      <w:pPr>
        <w:pStyle w:val="BodyText"/>
      </w:pPr>
      <w:r>
        <w:t xml:space="preserve">Figure 4.9 shows the Federated Learning tab.</w:t>
      </w:r>
    </w:p>
    <w:p>
      <w:pPr>
        <w:pStyle w:val="BodyText"/>
      </w:pPr>
      <w:r>
        <w:t xml:space="preserve">[INSERT Figure 4.9 here — file: imgs/fig_4_8_federated.png — Caption: Figure 4.9: Federated Learning tab showing FedProx and FedAvg convergence comparison, privacy epsilon tracker (reaching epsilon = 8.0 at round 50), and per-client Sharpe improvement metrics.]</w:t>
      </w:r>
    </w:p>
    <w:p>
      <w:pPr>
        <w:pStyle w:val="BodyText"/>
      </w:pPr>
      <w:r>
        <w:t xml:space="preserve">After 50 rounds, the global model reached a Sharpe Ratio of 0.729. FedProx converged faster than FedAvg, which oscillated in the first 15 to 20 rounds before settling. This is consistent with FedProx’s proximal term preventing client drift. The epsilon tracker reached exactly 8.0 at round 50 as designed.</w:t>
      </w:r>
    </w:p>
    <w:p>
      <w:pPr>
        <w:pStyle w:val="BodyText"/>
      </w:pPr>
      <w:r>
        <w:rPr>
          <w:b/>
          <w:bCs/>
        </w:rPr>
        <w:t xml:space="preserve">Table 4.6: Federated Learning Results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Rounds</w:t>
            </w:r>
          </w:p>
        </w:tc>
        <w:tc>
          <w:tcPr/>
          <w:p>
            <w:pPr>
              <w:pStyle w:val="Compact"/>
            </w:pPr>
            <w:r>
              <w:t xml:space="preserve">Global Sharpe</w:t>
            </w:r>
          </w:p>
        </w:tc>
        <w:tc>
          <w:tcPr/>
          <w:p>
            <w:pPr>
              <w:pStyle w:val="Compact"/>
            </w:pPr>
            <w:r>
              <w:t xml:space="preserve">Privacy Epsilon</w:t>
            </w:r>
          </w:p>
        </w:tc>
        <w:tc>
          <w:tcPr/>
          <w:p>
            <w:pPr>
              <w:pStyle w:val="Compact"/>
            </w:pPr>
            <w:r>
              <w:t xml:space="preserve">Notes</w:t>
            </w:r>
          </w:p>
        </w:tc>
      </w:tr>
      <w:tr>
        <w:tc>
          <w:tcPr/>
          <w:p>
            <w:pPr>
              <w:pStyle w:val="Compact"/>
            </w:pPr>
            <w:r>
              <w:t xml:space="preserve">FedAvg (baseline)</w:t>
            </w:r>
          </w:p>
        </w:tc>
        <w:tc>
          <w:tcPr/>
          <w:p>
            <w:pPr>
              <w:pStyle w:val="Compact"/>
            </w:pPr>
            <w:r>
              <w:t xml:space="preserve">50</w:t>
            </w:r>
          </w:p>
        </w:tc>
        <w:tc>
          <w:tcPr/>
          <w:p>
            <w:pPr>
              <w:pStyle w:val="Compact"/>
            </w:pPr>
            <w:r>
              <w:t xml:space="preserve">[lower, see convergence chart]</w:t>
            </w:r>
          </w:p>
        </w:tc>
        <w:tc>
          <w:tcPr/>
          <w:p>
            <w:pPr>
              <w:pStyle w:val="Compact"/>
            </w:pPr>
            <w:r>
              <w:t xml:space="preserve">N/A</w:t>
            </w:r>
          </w:p>
        </w:tc>
        <w:tc>
          <w:tcPr/>
          <w:p>
            <w:pPr>
              <w:pStyle w:val="Compact"/>
            </w:pPr>
            <w:r>
              <w:t xml:space="preserve">Oscillates in early rounds</w:t>
            </w:r>
          </w:p>
        </w:tc>
      </w:tr>
      <w:tr>
        <w:tc>
          <w:tcPr/>
          <w:p>
            <w:pPr>
              <w:pStyle w:val="Compact"/>
            </w:pPr>
            <w:r>
              <w:t xml:space="preserve">FedProx (mu = 0.01)</w:t>
            </w:r>
          </w:p>
        </w:tc>
        <w:tc>
          <w:tcPr/>
          <w:p>
            <w:pPr>
              <w:pStyle w:val="Compact"/>
            </w:pPr>
            <w:r>
              <w:t xml:space="preserve">50</w:t>
            </w:r>
          </w:p>
        </w:tc>
        <w:tc>
          <w:tcPr/>
          <w:p>
            <w:pPr>
              <w:pStyle w:val="Compact"/>
            </w:pPr>
            <w:r>
              <w:t xml:space="preserve">0.729</w:t>
            </w:r>
          </w:p>
        </w:tc>
        <w:tc>
          <w:tcPr/>
          <w:p>
            <w:pPr>
              <w:pStyle w:val="Compact"/>
            </w:pPr>
            <w:r>
              <w:t xml:space="preserve">8.0 (delta = 0.00001)</w:t>
            </w:r>
          </w:p>
        </w:tc>
        <w:tc>
          <w:tcPr/>
          <w:p>
            <w:pPr>
              <w:pStyle w:val="Compact"/>
            </w:pPr>
            <w:r>
              <w:t xml:space="preserve">Stable convergence, proximal term</w:t>
            </w:r>
          </w:p>
        </w:tc>
      </w:tr>
    </w:tbl>
    <w:p>
      <w:pPr>
        <w:pStyle w:val="BodyText"/>
      </w:pPr>
      <w:r>
        <w:t xml:space="preserve">Per-client performance was measured as the change in Sharpe Ratio achieved by each client’s local model after participating in federated training, compared to training in isolation. Banking and Finance improved by plus 0.298. IT and Telecom improved by plus 0.339. Pharma and FMCG improved by plus 0.134. Energy, Auto and Others showed a decrease of minus 0.138. The first three sectors all benefited from accessing information learned across other sectors through the aggregation process. The Energy sector’s decline suggests that the global model’s average behaviour does not fully align with the energy sector’s distinct return characteristics, such as its dependence on commodity prices and regulatory announcements. This observation is examined in Chapter 5.</w:t>
      </w:r>
    </w:p>
    <w:p>
      <w:r>
        <w:pict>
          <v:rect style="width:0;height:1.5pt" o:hralign="center" o:hrstd="t" o:hr="t"/>
        </w:pict>
      </w:r>
    </w:p>
    <w:bookmarkEnd w:id="47"/>
    <w:bookmarkStart w:id="49" w:name="pipeline-workflow-visualization"/>
    <w:p>
      <w:pPr>
        <w:pStyle w:val="Heading2"/>
      </w:pPr>
      <w:r>
        <w:t xml:space="preserve">4.9 Pipeline Workflow Visualization</w:t>
      </w:r>
    </w:p>
    <w:p>
      <w:pPr>
        <w:pStyle w:val="FirstParagraph"/>
      </w:pPr>
      <w:r>
        <w:t xml:space="preserve">The Pipeline tab shows an animated 15-stage directed graph of the end-to-end data flow: Data Ingestion, Data Cleaning, Feature Engineering, Indicator Computation, FinBERT Sentiment, News Caching, Graph Construction, T-GAT Embedding, Observation Assembly, RL Environment, Agent Inference, Portfolio Weights, Risk Constraint Check, API Response, Dashboard Rendering. Each stage shows its status (Running/Idle) and the data type passing through it.</w:t>
      </w:r>
    </w:p>
    <w:p>
      <w:pPr>
        <w:pStyle w:val="BodyText"/>
      </w:pPr>
      <w:r>
        <w:t xml:space="preserve">[INSERT Figure 4.10 here — file: imgs/fig_4_9_pipeline.png — Caption: Figure 4.10: Pipeline Workflow tab showing animated end-to-end data flow with stage status indicators for all 15 system components.]</w:t>
      </w:r>
    </w:p>
    <w:p>
      <w:r>
        <w:pict>
          <v:rect style="width:0;height:1.5pt" o:hralign="center" o:hrstd="t" o:hr="t"/>
        </w:pict>
      </w:r>
    </w:p>
    <w:bookmarkEnd w:id="48"/>
    <w:bookmarkStart w:id="50" w:name="future-prediction-dashboard"/>
    <w:p>
      <w:pPr>
        <w:pStyle w:val="Heading2"/>
      </w:pPr>
      <w:r>
        <w:t xml:space="preserve">4.10 Future Prediction Dashboard</w:t>
      </w:r>
    </w:p>
    <w:p>
      <w:pPr>
        <w:pStyle w:val="FirstParagraph"/>
      </w:pPr>
      <w:r>
        <w:t xml:space="preserve">The Future Prediction tab generates 1,000 forward-looking portfolio paths over a 1-year horizon using Black Bootstrap, a block resampling technique that draws 30-day segments from historical returns calibrated by a GAN model. Key results: Median Return +9.3%, Best Case +31.6%, Worst Case minus 11.1%, Probability of Profit 75.9%. Table 4.7 shows the per-algorithm comparison.</w:t>
      </w:r>
    </w:p>
    <w:p>
      <w:pPr>
        <w:pStyle w:val="BodyText"/>
      </w:pPr>
      <w:r>
        <w:t xml:space="preserve">[INSERT Figure 4.11 here — file: imgs/fig_4_10_future_prediction.png — Caption: Figure 4.11: Future Prediction tab showing 1,000 Black Bootstrap simulation paths with median return line, confidence bands, probability of profit, and per-algorithm forward comparison.]</w:t>
      </w:r>
    </w:p>
    <w:p>
      <w:pPr>
        <w:pStyle w:val="BodyText"/>
      </w:pPr>
      <w:r>
        <w:rPr>
          <w:b/>
          <w:bCs/>
        </w:rPr>
        <w:t xml:space="preserve">Table 4.7: Forward Simulation Results per Algorithm (1-Year Horizon, 1,000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Expected Return</w:t>
            </w:r>
          </w:p>
        </w:tc>
        <w:tc>
          <w:tcPr/>
          <w:p>
            <w:pPr>
              <w:pStyle w:val="Compact"/>
            </w:pPr>
            <w:r>
              <w:t xml:space="preserve">Probability of Profit</w:t>
            </w:r>
          </w:p>
        </w:tc>
      </w:tr>
      <w:tr>
        <w:tc>
          <w:tcPr/>
          <w:p>
            <w:pPr>
              <w:pStyle w:val="Compact"/>
            </w:pPr>
            <w:r>
              <w:t xml:space="preserve">PPO</w:t>
            </w:r>
          </w:p>
        </w:tc>
        <w:tc>
          <w:tcPr/>
          <w:p>
            <w:pPr>
              <w:pStyle w:val="Compact"/>
            </w:pPr>
            <w:r>
              <w:t xml:space="preserve">+10.7%</w:t>
            </w:r>
          </w:p>
        </w:tc>
        <w:tc>
          <w:tcPr/>
          <w:p>
            <w:pPr>
              <w:pStyle w:val="Compact"/>
            </w:pPr>
            <w:r>
              <w:t xml:space="preserve">79.5%</w:t>
            </w:r>
          </w:p>
        </w:tc>
      </w:tr>
      <w:tr>
        <w:tc>
          <w:tcPr/>
          <w:p>
            <w:pPr>
              <w:pStyle w:val="Compact"/>
            </w:pPr>
            <w:r>
              <w:t xml:space="preserve">SAC</w:t>
            </w:r>
          </w:p>
        </w:tc>
        <w:tc>
          <w:tcPr/>
          <w:p>
            <w:pPr>
              <w:pStyle w:val="Compact"/>
            </w:pPr>
            <w:r>
              <w:t xml:space="preserve">+10.5%</w:t>
            </w:r>
          </w:p>
        </w:tc>
        <w:tc>
          <w:tcPr/>
          <w:p>
            <w:pPr>
              <w:pStyle w:val="Compact"/>
            </w:pPr>
            <w:r>
              <w:t xml:space="preserve">78.7%</w:t>
            </w:r>
          </w:p>
        </w:tc>
      </w:tr>
      <w:tr>
        <w:tc>
          <w:tcPr/>
          <w:p>
            <w:pPr>
              <w:pStyle w:val="Compact"/>
            </w:pPr>
            <w:r>
              <w:t xml:space="preserve">TD3</w:t>
            </w:r>
          </w:p>
        </w:tc>
        <w:tc>
          <w:tcPr/>
          <w:p>
            <w:pPr>
              <w:pStyle w:val="Compact"/>
            </w:pPr>
            <w:r>
              <w:t xml:space="preserve">+0.6%</w:t>
            </w:r>
          </w:p>
        </w:tc>
        <w:tc>
          <w:tcPr/>
          <w:p>
            <w:pPr>
              <w:pStyle w:val="Compact"/>
            </w:pPr>
            <w:r>
              <w:t xml:space="preserve">83.7%</w:t>
            </w:r>
          </w:p>
        </w:tc>
      </w:tr>
      <w:tr>
        <w:tc>
          <w:tcPr/>
          <w:p>
            <w:pPr>
              <w:pStyle w:val="Compact"/>
            </w:pPr>
            <w:r>
              <w:t xml:space="preserve">A2C</w:t>
            </w:r>
          </w:p>
        </w:tc>
        <w:tc>
          <w:tcPr/>
          <w:p>
            <w:pPr>
              <w:pStyle w:val="Compact"/>
            </w:pPr>
            <w:r>
              <w:t xml:space="preserve">+0.4%</w:t>
            </w:r>
          </w:p>
        </w:tc>
        <w:tc>
          <w:tcPr/>
          <w:p>
            <w:pPr>
              <w:pStyle w:val="Compact"/>
            </w:pPr>
            <w:r>
              <w:t xml:space="preserve">83.7%</w:t>
            </w:r>
          </w:p>
        </w:tc>
      </w:tr>
      <w:tr>
        <w:tc>
          <w:tcPr/>
          <w:p>
            <w:pPr>
              <w:pStyle w:val="Compact"/>
            </w:pPr>
            <w:r>
              <w:t xml:space="preserve">DDPG</w:t>
            </w:r>
          </w:p>
        </w:tc>
        <w:tc>
          <w:tcPr/>
          <w:p>
            <w:pPr>
              <w:pStyle w:val="Compact"/>
            </w:pPr>
            <w:r>
              <w:t xml:space="preserve">+4.0%</w:t>
            </w:r>
          </w:p>
        </w:tc>
        <w:tc>
          <w:tcPr/>
          <w:p>
            <w:pPr>
              <w:pStyle w:val="Compact"/>
            </w:pPr>
            <w:r>
              <w:t xml:space="preserve">76.0%</w:t>
            </w:r>
          </w:p>
        </w:tc>
      </w:tr>
      <w:tr>
        <w:tc>
          <w:tcPr/>
          <w:p>
            <w:pPr>
              <w:pStyle w:val="Compact"/>
            </w:pPr>
            <w:r>
              <w:t xml:space="preserve">Ensemble</w:t>
            </w:r>
          </w:p>
        </w:tc>
        <w:tc>
          <w:tcPr/>
          <w:p>
            <w:pPr>
              <w:pStyle w:val="Compact"/>
            </w:pPr>
            <w:r>
              <w:t xml:space="preserve">+9.3% (median)</w:t>
            </w:r>
          </w:p>
        </w:tc>
        <w:tc>
          <w:tcPr/>
          <w:p>
            <w:pPr>
              <w:pStyle w:val="Compact"/>
            </w:pPr>
            <w:r>
              <w:t xml:space="preserve">75.9%</w:t>
            </w:r>
          </w:p>
        </w:tc>
      </w:tr>
    </w:tbl>
    <w:p>
      <w:pPr>
        <w:pStyle w:val="BodyText"/>
      </w:pPr>
      <w:r>
        <w:t xml:space="preserve">TD3 and A2C showed the highest probability of profit (83.7%) but very low expected returns (0.6% and 0.4%), reflecting their conservative forward allocations. PPO and SAC showed higher expected returns (10.7% and 10.5%) with slightly lower profit probability. DDPG, which led the historical backtest, ranked fourth in forward expected return. GAN-calibrated bootstrap paths spanning a broader range of market conditions reduce the advantage of concentrated strategies, which explains this gap between historical and forward rankings.</w:t>
      </w:r>
    </w:p>
    <w:p>
      <w:r>
        <w:pict>
          <v:rect style="width:0;height:1.5pt" o:hralign="center" o:hrstd="t" o:hr="t"/>
        </w:pict>
      </w:r>
    </w:p>
    <w:bookmarkEnd w:id="49"/>
    <w:bookmarkStart w:id="51" w:name="testing-and-validation"/>
    <w:p>
      <w:pPr>
        <w:pStyle w:val="Heading2"/>
      </w:pPr>
      <w:r>
        <w:t xml:space="preserve">4.11 Testing and Validation</w:t>
      </w:r>
    </w:p>
    <w:p>
      <w:pPr>
        <w:pStyle w:val="FirstParagraph"/>
      </w:pPr>
      <w:r>
        <w:t xml:space="preserve">A pytest suite with 12 test files covers the complete pipeline. Table 4.8 lists results by module.</w:t>
      </w:r>
    </w:p>
    <w:p>
      <w:pPr>
        <w:pStyle w:val="BodyText"/>
      </w:pPr>
      <w:r>
        <w:rPr>
          <w:b/>
          <w:bCs/>
        </w:rPr>
        <w:t xml:space="preserve">Table 4.8: Test Coverage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Module Tested</w:t>
            </w:r>
          </w:p>
        </w:tc>
        <w:tc>
          <w:tcPr/>
          <w:p>
            <w:pPr>
              <w:pStyle w:val="Compact"/>
            </w:pPr>
            <w:r>
              <w:t xml:space="preserve">Result</w:t>
            </w:r>
          </w:p>
        </w:tc>
      </w:tr>
      <w:tr>
        <w:tc>
          <w:tcPr/>
          <w:p>
            <w:pPr>
              <w:pStyle w:val="Compact"/>
            </w:pPr>
            <w:r>
              <w:t xml:space="preserve">test_phase0.py</w:t>
            </w:r>
          </w:p>
        </w:tc>
        <w:tc>
          <w:tcPr/>
          <w:p>
            <w:pPr>
              <w:pStyle w:val="Compact"/>
            </w:pPr>
            <w:r>
              <w:t xml:space="preserve">Config validation, logging, random seed</w:t>
            </w:r>
          </w:p>
        </w:tc>
        <w:tc>
          <w:tcPr/>
          <w:p>
            <w:pPr>
              <w:pStyle w:val="Compact"/>
            </w:pPr>
            <w:r>
              <w:t xml:space="preserve">PASS</w:t>
            </w:r>
          </w:p>
        </w:tc>
      </w:tr>
      <w:tr>
        <w:tc>
          <w:tcPr/>
          <w:p>
            <w:pPr>
              <w:pStyle w:val="Compact"/>
            </w:pPr>
            <w:r>
              <w:t xml:space="preserve">test_data.py</w:t>
            </w:r>
          </w:p>
        </w:tc>
        <w:tc>
          <w:tcPr/>
          <w:p>
            <w:pPr>
              <w:pStyle w:val="Compact"/>
            </w:pPr>
            <w:r>
              <w:t xml:space="preserve">Data download, cleaning, forward-fill</w:t>
            </w:r>
          </w:p>
        </w:tc>
        <w:tc>
          <w:tcPr/>
          <w:p>
            <w:pPr>
              <w:pStyle w:val="Compact"/>
            </w:pPr>
            <w:r>
              <w:t xml:space="preserve">PASS</w:t>
            </w:r>
          </w:p>
        </w:tc>
      </w:tr>
      <w:tr>
        <w:tc>
          <w:tcPr/>
          <w:p>
            <w:pPr>
              <w:pStyle w:val="Compact"/>
            </w:pPr>
            <w:r>
              <w:t xml:space="preserve">test_features.py</w:t>
            </w:r>
          </w:p>
        </w:tc>
        <w:tc>
          <w:tcPr/>
          <w:p>
            <w:pPr>
              <w:pStyle w:val="Compact"/>
            </w:pPr>
            <w:r>
              <w:t xml:space="preserve">21 technical indicators computation</w:t>
            </w:r>
          </w:p>
        </w:tc>
        <w:tc>
          <w:tcPr/>
          <w:p>
            <w:pPr>
              <w:pStyle w:val="Compact"/>
            </w:pPr>
            <w:r>
              <w:t xml:space="preserve">PASS</w:t>
            </w:r>
          </w:p>
        </w:tc>
      </w:tr>
      <w:tr>
        <w:tc>
          <w:tcPr/>
          <w:p>
            <w:pPr>
              <w:pStyle w:val="Compact"/>
            </w:pPr>
            <w:r>
              <w:t xml:space="preserve">test_sentiment.py</w:t>
            </w:r>
          </w:p>
        </w:tc>
        <w:tc>
          <w:tcPr/>
          <w:p>
            <w:pPr>
              <w:pStyle w:val="Compact"/>
            </w:pPr>
            <w:r>
              <w:t xml:space="preserve">FinBERT inference, news fetching, caching</w:t>
            </w:r>
          </w:p>
        </w:tc>
        <w:tc>
          <w:tcPr/>
          <w:p>
            <w:pPr>
              <w:pStyle w:val="Compact"/>
            </w:pPr>
            <w:r>
              <w:t xml:space="preserve">PASS</w:t>
            </w:r>
          </w:p>
        </w:tc>
      </w:tr>
      <w:tr>
        <w:tc>
          <w:tcPr/>
          <w:p>
            <w:pPr>
              <w:pStyle w:val="Compact"/>
            </w:pPr>
            <w:r>
              <w:t xml:space="preserve">test_graph.py</w:t>
            </w:r>
          </w:p>
        </w:tc>
        <w:tc>
          <w:tcPr/>
          <w:p>
            <w:pPr>
              <w:pStyle w:val="Compact"/>
            </w:pPr>
            <w:r>
              <w:t xml:space="preserve">Graph construction, three edge types</w:t>
            </w:r>
          </w:p>
        </w:tc>
        <w:tc>
          <w:tcPr/>
          <w:p>
            <w:pPr>
              <w:pStyle w:val="Compact"/>
            </w:pPr>
            <w:r>
              <w:t xml:space="preserve">PASS</w:t>
            </w:r>
          </w:p>
        </w:tc>
      </w:tr>
      <w:tr>
        <w:tc>
          <w:tcPr/>
          <w:p>
            <w:pPr>
              <w:pStyle w:val="Compact"/>
            </w:pPr>
            <w:r>
              <w:t xml:space="preserve">test_tgat.py</w:t>
            </w:r>
          </w:p>
        </w:tc>
        <w:tc>
          <w:tcPr/>
          <w:p>
            <w:pPr>
              <w:pStyle w:val="Compact"/>
            </w:pPr>
            <w:r>
              <w:t xml:space="preserve">T-GAT model forward pass and training</w:t>
            </w:r>
          </w:p>
        </w:tc>
        <w:tc>
          <w:tcPr/>
          <w:p>
            <w:pPr>
              <w:pStyle w:val="Compact"/>
            </w:pPr>
            <w:r>
              <w:t xml:space="preserve">PASS</w:t>
            </w:r>
          </w:p>
        </w:tc>
      </w:tr>
      <w:tr>
        <w:tc>
          <w:tcPr/>
          <w:p>
            <w:pPr>
              <w:pStyle w:val="Compact"/>
            </w:pPr>
            <w:r>
              <w:t xml:space="preserve">test_env.py</w:t>
            </w:r>
          </w:p>
        </w:tc>
        <w:tc>
          <w:tcPr/>
          <w:p>
            <w:pPr>
              <w:pStyle w:val="Compact"/>
            </w:pPr>
            <w:r>
              <w:t xml:space="preserve">RL environment, reward function, constraints</w:t>
            </w:r>
          </w:p>
        </w:tc>
        <w:tc>
          <w:tcPr/>
          <w:p>
            <w:pPr>
              <w:pStyle w:val="Compact"/>
            </w:pPr>
            <w:r>
              <w:t xml:space="preserve">PASS</w:t>
            </w:r>
          </w:p>
        </w:tc>
      </w:tr>
      <w:tr>
        <w:tc>
          <w:tcPr/>
          <w:p>
            <w:pPr>
              <w:pStyle w:val="Compact"/>
            </w:pPr>
            <w:r>
              <w:t xml:space="preserve">test_agent.py</w:t>
            </w:r>
          </w:p>
        </w:tc>
        <w:tc>
          <w:tcPr/>
          <w:p>
            <w:pPr>
              <w:pStyle w:val="Compact"/>
            </w:pPr>
            <w:r>
              <w:t xml:space="preserve">Six RL algorithms training and inference</w:t>
            </w:r>
          </w:p>
        </w:tc>
        <w:tc>
          <w:tcPr/>
          <w:p>
            <w:pPr>
              <w:pStyle w:val="Compact"/>
            </w:pPr>
            <w:r>
              <w:t xml:space="preserve">PASS</w:t>
            </w:r>
          </w:p>
        </w:tc>
      </w:tr>
      <w:tr>
        <w:tc>
          <w:tcPr/>
          <w:p>
            <w:pPr>
              <w:pStyle w:val="Compact"/>
            </w:pPr>
            <w:r>
              <w:t xml:space="preserve">test_gan.py</w:t>
            </w:r>
          </w:p>
        </w:tc>
        <w:tc>
          <w:tcPr/>
          <w:p>
            <w:pPr>
              <w:pStyle w:val="Compact"/>
            </w:pPr>
            <w:r>
              <w:t xml:space="preserve">Monte Carlo stress testing, VaR computation</w:t>
            </w:r>
          </w:p>
        </w:tc>
        <w:tc>
          <w:tcPr/>
          <w:p>
            <w:pPr>
              <w:pStyle w:val="Compact"/>
            </w:pPr>
            <w:r>
              <w:t xml:space="preserve">PASS</w:t>
            </w:r>
          </w:p>
        </w:tc>
      </w:tr>
      <w:tr>
        <w:tc>
          <w:tcPr/>
          <w:p>
            <w:pPr>
              <w:pStyle w:val="Compact"/>
            </w:pPr>
            <w:r>
              <w:t xml:space="preserve">test_fl.py</w:t>
            </w:r>
          </w:p>
        </w:tc>
        <w:tc>
          <w:tcPr/>
          <w:p>
            <w:pPr>
              <w:pStyle w:val="Compact"/>
            </w:pPr>
            <w:r>
              <w:t xml:space="preserve">Federated learning, DP-SGD privacy</w:t>
            </w:r>
          </w:p>
        </w:tc>
        <w:tc>
          <w:tcPr/>
          <w:p>
            <w:pPr>
              <w:pStyle w:val="Compact"/>
            </w:pPr>
            <w:r>
              <w:t xml:space="preserve">PASS</w:t>
            </w:r>
          </w:p>
        </w:tc>
      </w:tr>
      <w:tr>
        <w:tc>
          <w:tcPr/>
          <w:p>
            <w:pPr>
              <w:pStyle w:val="Compact"/>
            </w:pPr>
            <w:r>
              <w:t xml:space="preserve">test_api.py</w:t>
            </w:r>
          </w:p>
        </w:tc>
        <w:tc>
          <w:tcPr/>
          <w:p>
            <w:pPr>
              <w:pStyle w:val="Compact"/>
            </w:pPr>
            <w:r>
              <w:t xml:space="preserve">FastAPI endpoints, response validation</w:t>
            </w:r>
          </w:p>
        </w:tc>
        <w:tc>
          <w:tcPr/>
          <w:p>
            <w:pPr>
              <w:pStyle w:val="Compact"/>
            </w:pPr>
            <w:r>
              <w:t xml:space="preserve">PASS</w:t>
            </w:r>
          </w:p>
        </w:tc>
      </w:tr>
      <w:tr>
        <w:tc>
          <w:tcPr/>
          <w:p>
            <w:pPr>
              <w:pStyle w:val="Compact"/>
            </w:pPr>
            <w:r>
              <w:rPr>
                <w:b/>
                <w:bCs/>
              </w:rPr>
              <w:t xml:space="preserve">TOTAL</w:t>
            </w:r>
          </w:p>
        </w:tc>
        <w:tc>
          <w:tcPr/>
          <w:p>
            <w:pPr>
              <w:pStyle w:val="Compact"/>
            </w:pPr>
          </w:p>
        </w:tc>
        <w:tc>
          <w:tcPr/>
          <w:p>
            <w:pPr>
              <w:pStyle w:val="Compact"/>
            </w:pPr>
            <w:r>
              <w:rPr>
                <w:b/>
                <w:bCs/>
              </w:rPr>
              <w:t xml:space="preserve">245 passed, 0 failed</w:t>
            </w:r>
          </w:p>
        </w:tc>
      </w:tr>
    </w:tbl>
    <w:p>
      <w:pPr>
        <w:pStyle w:val="BodyText"/>
      </w:pPr>
      <w:r>
        <w:t xml:space="preserve">All 245 tests passed. Earlier in development, two assertions inside test_phase0.py held outdated values (0.07 for risk-free rate and 0.20 for max position) that did not match the active configuration. These were corrected to 0.05 and 0.12 respectively to match configs/base.yaml, after which the full suite passed cleanly. All functional modules are verified. Chapter 5 analyses and interprets the experiment results.</w:t>
      </w:r>
    </w:p>
    <w:p>
      <w:r>
        <w:pict>
          <v:rect style="width:0;height:1.5pt" o:hralign="center" o:hrstd="t" o:hr="t"/>
        </w:pict>
      </w:r>
    </w:p>
    <w:bookmarkEnd w:id="50"/>
    <w:bookmarkStart w:id="52" w:name="figures-required-in-this-chapter"/>
    <w:p>
      <w:pPr>
        <w:pStyle w:val="Heading2"/>
      </w:pPr>
      <w:r>
        <w:t xml:space="preserve">Figures Required in This Chapter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File</w:t>
            </w:r>
          </w:p>
        </w:tc>
        <w:tc>
          <w:tcPr/>
          <w:p>
            <w:pPr>
              <w:pStyle w:val="Compact"/>
            </w:pPr>
            <w:r>
              <w:t xml:space="preserve">Status</w:t>
            </w:r>
          </w:p>
        </w:tc>
      </w:tr>
      <w:tr>
        <w:tc>
          <w:tcPr/>
          <w:p>
            <w:pPr>
              <w:pStyle w:val="Compact"/>
            </w:pPr>
            <w:r>
              <w:t xml:space="preserve">Figure 4.1</w:t>
            </w:r>
          </w:p>
        </w:tc>
        <w:tc>
          <w:tcPr/>
          <w:p>
            <w:pPr>
              <w:pStyle w:val="Compact"/>
            </w:pPr>
            <w:r>
              <w:t xml:space="preserve">fig_4_1_stock_chart.png — Sample price chart</w:t>
            </w:r>
          </w:p>
        </w:tc>
        <w:tc>
          <w:tcPr/>
          <w:p>
            <w:pPr>
              <w:pStyle w:val="Compact"/>
            </w:pPr>
            <w:r>
              <w:t xml:space="preserve">[ ] Pending capture</w:t>
            </w:r>
          </w:p>
        </w:tc>
      </w:tr>
      <w:tr>
        <w:tc>
          <w:tcPr/>
          <w:p>
            <w:pPr>
              <w:pStyle w:val="Compact"/>
            </w:pPr>
            <w:r>
              <w:t xml:space="preserve">Figure 4.2</w:t>
            </w:r>
          </w:p>
        </w:tc>
        <w:tc>
          <w:tcPr/>
          <w:p>
            <w:pPr>
              <w:pStyle w:val="Compact"/>
            </w:pPr>
            <w:r>
              <w:t xml:space="preserve">fig_4_2_portfolio.png — Portfolio Analytics tab</w:t>
            </w:r>
          </w:p>
        </w:tc>
        <w:tc>
          <w:tcPr/>
          <w:p>
            <w:pPr>
              <w:pStyle w:val="Compact"/>
            </w:pPr>
            <w:r>
              <w:t xml:space="preserve">[x]</w:t>
            </w:r>
          </w:p>
        </w:tc>
      </w:tr>
      <w:tr>
        <w:tc>
          <w:tcPr/>
          <w:p>
            <w:pPr>
              <w:pStyle w:val="Compact"/>
            </w:pPr>
            <w:r>
              <w:t xml:space="preserve">Figure 4.3</w:t>
            </w:r>
          </w:p>
        </w:tc>
        <w:tc>
          <w:tcPr/>
          <w:p>
            <w:pPr>
              <w:pStyle w:val="Compact"/>
            </w:pPr>
            <w:r>
              <w:t xml:space="preserve">fig_5_1_benchmark.png — Growth chart vs NIFTY 50</w:t>
            </w:r>
          </w:p>
        </w:tc>
        <w:tc>
          <w:tcPr/>
          <w:p>
            <w:pPr>
              <w:pStyle w:val="Compact"/>
            </w:pPr>
            <w:r>
              <w:t xml:space="preserve">[x]</w:t>
            </w:r>
          </w:p>
        </w:tc>
      </w:tr>
      <w:tr>
        <w:tc>
          <w:tcPr/>
          <w:p>
            <w:pPr>
              <w:pStyle w:val="Compact"/>
            </w:pPr>
            <w:r>
              <w:t xml:space="preserve">Figure 4.4</w:t>
            </w:r>
          </w:p>
        </w:tc>
        <w:tc>
          <w:tcPr/>
          <w:p>
            <w:pPr>
              <w:pStyle w:val="Compact"/>
            </w:pPr>
            <w:r>
              <w:t xml:space="preserve">fig_4_3_rl_agent_ensemble.png — RL Agent Ensemble</w:t>
            </w:r>
          </w:p>
        </w:tc>
        <w:tc>
          <w:tcPr/>
          <w:p>
            <w:pPr>
              <w:pStyle w:val="Compact"/>
            </w:pPr>
            <w:r>
              <w:t xml:space="preserve">[x]</w:t>
            </w:r>
          </w:p>
        </w:tc>
      </w:tr>
      <w:tr>
        <w:tc>
          <w:tcPr/>
          <w:p>
            <w:pPr>
              <w:pStyle w:val="Compact"/>
            </w:pPr>
            <w:r>
              <w:t xml:space="preserve">Figure 4.5</w:t>
            </w:r>
          </w:p>
        </w:tc>
        <w:tc>
          <w:tcPr/>
          <w:p>
            <w:pPr>
              <w:pStyle w:val="Compact"/>
            </w:pPr>
            <w:r>
              <w:t xml:space="preserve">fig_4_3_rl_comparison_table.png — RL comparison</w:t>
            </w:r>
          </w:p>
        </w:tc>
        <w:tc>
          <w:tcPr/>
          <w:p>
            <w:pPr>
              <w:pStyle w:val="Compact"/>
            </w:pPr>
            <w:r>
              <w:t xml:space="preserve">[x]</w:t>
            </w:r>
          </w:p>
        </w:tc>
      </w:tr>
      <w:tr>
        <w:tc>
          <w:tcPr/>
          <w:p>
            <w:pPr>
              <w:pStyle w:val="Compact"/>
            </w:pPr>
            <w:r>
              <w:t xml:space="preserve">Figure 4.6</w:t>
            </w:r>
          </w:p>
        </w:tc>
        <w:tc>
          <w:tcPr/>
          <w:p>
            <w:pPr>
              <w:pStyle w:val="Compact"/>
            </w:pPr>
            <w:r>
              <w:t xml:space="preserve">fig_4_5_sentiment1.png — Sentiment main view</w:t>
            </w:r>
          </w:p>
        </w:tc>
        <w:tc>
          <w:tcPr/>
          <w:p>
            <w:pPr>
              <w:pStyle w:val="Compact"/>
            </w:pPr>
            <w:r>
              <w:t xml:space="preserve">[x]</w:t>
            </w:r>
          </w:p>
        </w:tc>
      </w:tr>
      <w:tr>
        <w:tc>
          <w:tcPr/>
          <w:p>
            <w:pPr>
              <w:pStyle w:val="Compact"/>
            </w:pPr>
            <w:r>
              <w:t xml:space="preserve">Figure 4.7</w:t>
            </w:r>
          </w:p>
        </w:tc>
        <w:tc>
          <w:tcPr/>
          <w:p>
            <w:pPr>
              <w:pStyle w:val="Compact"/>
            </w:pPr>
            <w:r>
              <w:t xml:space="preserve">fig_4_6_graph_all_edges.png — Graph all edges</w:t>
            </w:r>
          </w:p>
        </w:tc>
        <w:tc>
          <w:tcPr/>
          <w:p>
            <w:pPr>
              <w:pStyle w:val="Compact"/>
            </w:pPr>
            <w:r>
              <w:t xml:space="preserve">[x]</w:t>
            </w:r>
          </w:p>
        </w:tc>
      </w:tr>
      <w:tr>
        <w:tc>
          <w:tcPr/>
          <w:p>
            <w:pPr>
              <w:pStyle w:val="Compact"/>
            </w:pPr>
            <w:r>
              <w:t xml:space="preserve">Figure 4.8</w:t>
            </w:r>
          </w:p>
        </w:tc>
        <w:tc>
          <w:tcPr/>
          <w:p>
            <w:pPr>
              <w:pStyle w:val="Compact"/>
            </w:pPr>
            <w:r>
              <w:t xml:space="preserve">fig_4_7_stress_normal.png — Stress testing tab</w:t>
            </w:r>
          </w:p>
        </w:tc>
        <w:tc>
          <w:tcPr/>
          <w:p>
            <w:pPr>
              <w:pStyle w:val="Compact"/>
            </w:pPr>
            <w:r>
              <w:t xml:space="preserve">[x]</w:t>
            </w:r>
          </w:p>
        </w:tc>
      </w:tr>
      <w:tr>
        <w:tc>
          <w:tcPr/>
          <w:p>
            <w:pPr>
              <w:pStyle w:val="Compact"/>
            </w:pPr>
            <w:r>
              <w:t xml:space="preserve">Figure 4.9</w:t>
            </w:r>
          </w:p>
        </w:tc>
        <w:tc>
          <w:tcPr/>
          <w:p>
            <w:pPr>
              <w:pStyle w:val="Compact"/>
            </w:pPr>
            <w:r>
              <w:t xml:space="preserve">fig_4_8_federated.png — Federated learning tab</w:t>
            </w:r>
          </w:p>
        </w:tc>
        <w:tc>
          <w:tcPr/>
          <w:p>
            <w:pPr>
              <w:pStyle w:val="Compact"/>
            </w:pPr>
            <w:r>
              <w:t xml:space="preserve">[x]</w:t>
            </w:r>
          </w:p>
        </w:tc>
      </w:tr>
      <w:tr>
        <w:tc>
          <w:tcPr/>
          <w:p>
            <w:pPr>
              <w:pStyle w:val="Compact"/>
            </w:pPr>
            <w:r>
              <w:t xml:space="preserve">Figure 4.10</w:t>
            </w:r>
          </w:p>
        </w:tc>
        <w:tc>
          <w:tcPr/>
          <w:p>
            <w:pPr>
              <w:pStyle w:val="Compact"/>
            </w:pPr>
            <w:r>
              <w:t xml:space="preserve">fig_4_9_pipeline.png — Pipeline workflow tab</w:t>
            </w:r>
          </w:p>
        </w:tc>
        <w:tc>
          <w:tcPr/>
          <w:p>
            <w:pPr>
              <w:pStyle w:val="Compact"/>
            </w:pPr>
            <w:r>
              <w:t xml:space="preserve">[x]</w:t>
            </w:r>
          </w:p>
        </w:tc>
      </w:tr>
      <w:tr>
        <w:tc>
          <w:tcPr/>
          <w:p>
            <w:pPr>
              <w:pStyle w:val="Compact"/>
            </w:pPr>
            <w:r>
              <w:t xml:space="preserve">Figure 4.11</w:t>
            </w:r>
          </w:p>
        </w:tc>
        <w:tc>
          <w:tcPr/>
          <w:p>
            <w:pPr>
              <w:pStyle w:val="Compact"/>
            </w:pPr>
            <w:r>
              <w:t xml:space="preserve">fig_4_10_future_prediction.png — Future prediction</w:t>
            </w:r>
          </w:p>
        </w:tc>
        <w:tc>
          <w:tcPr/>
          <w:p>
            <w:pPr>
              <w:pStyle w:val="Compact"/>
            </w:pPr>
            <w:r>
              <w:t xml:space="preserve">[x]</w:t>
            </w:r>
          </w:p>
        </w:tc>
      </w:tr>
    </w:tbl>
    <w:p>
      <w:r>
        <w:pict>
          <v:rect style="width:0;height:1.5pt" o:hralign="center" o:hrstd="t" o:hr="t"/>
        </w:pict>
      </w:r>
    </w:p>
    <w:bookmarkEnd w:id="51"/>
    <w:bookmarkEnd w:id="52"/>
    <w:p>
      <w:r>
        <w:br w:type="page"/>
      </w:r>
    </w:p>
    <w:bookmarkStart w:id="53" w:name="chapter-5-analysis-and-discussion"/>
    <w:p>
      <w:pPr>
        <w:pStyle w:val="Heading1"/>
      </w:pPr>
      <w:r>
        <w:t xml:space="preserve">Chapter 5 — Analysis and Discussion</w:t>
      </w:r>
    </w:p>
    <w:p>
      <w:r>
        <w:pict>
          <v:rect style="width:0;height:1.5pt" o:hralign="center" o:hrstd="t" o:hr="t"/>
        </w:pict>
      </w:r>
    </w:p>
    <w:bookmarkEnd w:id="53"/>
    <w:bookmarkStart w:id="54" w:name="chapter-5"/>
    <w:p>
      <w:pPr>
        <w:pStyle w:val="Heading1"/>
      </w:pPr>
      <w:r>
        <w:t xml:space="preserve">CHAPTER 5</w:t>
      </w:r>
    </w:p>
    <w:bookmarkEnd w:id="54"/>
    <w:bookmarkStart w:id="55" w:name="analysis-and-discussion"/>
    <w:p>
      <w:pPr>
        <w:pStyle w:val="Heading1"/>
      </w:pPr>
      <w:r>
        <w:t xml:space="preserve">ANALYSIS AND DISCUSSION</w:t>
      </w:r>
    </w:p>
    <w:p>
      <w:r>
        <w:pict>
          <v:rect style="width:0;height:1.5pt" o:hralign="center" o:hrstd="t" o:hr="t"/>
        </w:pict>
      </w:r>
    </w:p>
    <w:p>
      <w:pPr>
        <w:pStyle w:val="FirstParagraph"/>
      </w:pPr>
      <w:r>
        <w:t xml:space="preserve">Chapter 4 presented the outputs of each FINQUANT-NEXUS module as observed numbers and screenshots. This chapter goes one step further. It looks at what those results actually mean, where the design choices worked, where they did not, and what the numbers reveal about the system’s behaviour across different modules. The analysis follows the same order as Chapter 4.</w:t>
      </w:r>
    </w:p>
    <w:p>
      <w:r>
        <w:pict>
          <v:rect style="width:0;height:1.5pt" o:hralign="center" o:hrstd="t" o:hr="t"/>
        </w:pict>
      </w:r>
    </w:p>
    <w:bookmarkStart w:id="56" w:name="portfolio-performance-against-benchmark"/>
    <w:p>
      <w:pPr>
        <w:pStyle w:val="Heading2"/>
      </w:pPr>
      <w:r>
        <w:t xml:space="preserve">5.1 Portfolio Performance Against Benchmark</w:t>
      </w:r>
    </w:p>
    <w:p>
      <w:pPr>
        <w:pStyle w:val="FirstParagraph"/>
      </w:pPr>
      <w:r>
        <w:t xml:space="preserve">To evaluate the system, the most direct comparison is against what a passive strategy would have returned over the same period. Table 5.1 shows that comparison using the benchmark growth chart data.</w:t>
      </w:r>
    </w:p>
    <w:p>
      <w:pPr>
        <w:pStyle w:val="BodyText"/>
      </w:pPr>
      <w:r>
        <w:rPr>
          <w:b/>
          <w:bCs/>
        </w:rPr>
        <w:t xml:space="preserve">Table 5.1: Portfolio vs Benchmark Comparison (April 2025 to March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Our Portfolio</w:t>
            </w:r>
          </w:p>
        </w:tc>
        <w:tc>
          <w:tcPr/>
          <w:p>
            <w:pPr>
              <w:pStyle w:val="Compact"/>
            </w:pPr>
            <w:r>
              <w:t xml:space="preserve">NIFTY 50 Index</w:t>
            </w:r>
          </w:p>
        </w:tc>
        <w:tc>
          <w:tcPr/>
          <w:p>
            <w:pPr>
              <w:pStyle w:val="Compact"/>
            </w:pPr>
            <w:r>
              <w:t xml:space="preserve">Fixed Deposit 7%</w:t>
            </w:r>
          </w:p>
        </w:tc>
      </w:tr>
      <w:tr>
        <w:tc>
          <w:tcPr/>
          <w:p>
            <w:pPr>
              <w:pStyle w:val="Compact"/>
            </w:pPr>
            <w:r>
              <w:t xml:space="preserve">Period</w:t>
            </w:r>
          </w:p>
        </w:tc>
        <w:tc>
          <w:tcPr/>
          <w:p>
            <w:pPr>
              <w:pStyle w:val="Compact"/>
            </w:pPr>
            <w:r>
              <w:t xml:space="preserve">Apr 2025 to Mar 2026</w:t>
            </w:r>
          </w:p>
        </w:tc>
        <w:tc>
          <w:tcPr/>
          <w:p>
            <w:pPr>
              <w:pStyle w:val="Compact"/>
            </w:pPr>
            <w:r>
              <w:t xml:space="preserve">Same</w:t>
            </w:r>
          </w:p>
        </w:tc>
        <w:tc>
          <w:tcPr/>
          <w:p>
            <w:pPr>
              <w:pStyle w:val="Compact"/>
            </w:pPr>
            <w:r>
              <w:t xml:space="preserve">Same</w:t>
            </w:r>
          </w:p>
        </w:tc>
      </w:tr>
      <w:tr>
        <w:tc>
          <w:tcPr/>
          <w:p>
            <w:pPr>
              <w:pStyle w:val="Compact"/>
            </w:pPr>
            <w:r>
              <w:t xml:space="preserve">Trading Days</w:t>
            </w:r>
          </w:p>
        </w:tc>
        <w:tc>
          <w:tcPr/>
          <w:p>
            <w:pPr>
              <w:pStyle w:val="Compact"/>
            </w:pPr>
            <w:r>
              <w:t xml:space="preserve">247</w:t>
            </w:r>
          </w:p>
        </w:tc>
        <w:tc>
          <w:tcPr/>
          <w:p>
            <w:pPr>
              <w:pStyle w:val="Compact"/>
            </w:pPr>
            <w:r>
              <w:t xml:space="preserve">247</w:t>
            </w:r>
          </w:p>
        </w:tc>
        <w:tc>
          <w:tcPr/>
          <w:p>
            <w:pPr>
              <w:pStyle w:val="Compact"/>
            </w:pPr>
            <w:r>
              <w:t xml:space="preserve">247</w:t>
            </w:r>
          </w:p>
        </w:tc>
      </w:tr>
      <w:tr>
        <w:tc>
          <w:tcPr/>
          <w:p>
            <w:pPr>
              <w:pStyle w:val="Compact"/>
            </w:pPr>
            <w:r>
              <w:t xml:space="preserve">Starting Value</w:t>
            </w:r>
          </w:p>
        </w:tc>
        <w:tc>
          <w:tcPr/>
          <w:p>
            <w:pPr>
              <w:pStyle w:val="Compact"/>
            </w:pPr>
            <w:r>
              <w:t xml:space="preserve">Rs. 10,00,000</w:t>
            </w:r>
          </w:p>
        </w:tc>
        <w:tc>
          <w:tcPr/>
          <w:p>
            <w:pPr>
              <w:pStyle w:val="Compact"/>
            </w:pPr>
            <w:r>
              <w:t xml:space="preserve">Rs. 10,00,000</w:t>
            </w:r>
          </w:p>
        </w:tc>
        <w:tc>
          <w:tcPr/>
          <w:p>
            <w:pPr>
              <w:pStyle w:val="Compact"/>
            </w:pPr>
            <w:r>
              <w:t xml:space="preserve">Rs. 10,00,000</w:t>
            </w:r>
          </w:p>
        </w:tc>
      </w:tr>
      <w:tr>
        <w:tc>
          <w:tcPr/>
          <w:p>
            <w:pPr>
              <w:pStyle w:val="Compact"/>
            </w:pPr>
            <w:r>
              <w:t xml:space="preserve">Final Value</w:t>
            </w:r>
          </w:p>
        </w:tc>
        <w:tc>
          <w:tcPr/>
          <w:p>
            <w:pPr>
              <w:pStyle w:val="Compact"/>
            </w:pPr>
            <w:r>
              <w:t xml:space="preserve">Rs. 10,82,745</w:t>
            </w:r>
          </w:p>
        </w:tc>
        <w:tc>
          <w:tcPr/>
          <w:p>
            <w:pPr>
              <w:pStyle w:val="Compact"/>
            </w:pPr>
            <w:r>
              <w:t xml:space="preserve">Rs. 10,06,550</w:t>
            </w:r>
          </w:p>
        </w:tc>
        <w:tc>
          <w:tcPr/>
          <w:p>
            <w:pPr>
              <w:pStyle w:val="Compact"/>
            </w:pPr>
            <w:r>
              <w:t xml:space="preserve">Rs. 10,49,587</w:t>
            </w:r>
          </w:p>
        </w:tc>
      </w:tr>
      <w:tr>
        <w:tc>
          <w:tcPr/>
          <w:p>
            <w:pPr>
              <w:pStyle w:val="Compact"/>
            </w:pPr>
            <w:r>
              <w:t xml:space="preserve">Total Return</w:t>
            </w:r>
          </w:p>
        </w:tc>
        <w:tc>
          <w:tcPr/>
          <w:p>
            <w:pPr>
              <w:pStyle w:val="Compact"/>
            </w:pPr>
            <w:r>
              <w:t xml:space="preserve">+8.27%</w:t>
            </w:r>
          </w:p>
        </w:tc>
        <w:tc>
          <w:tcPr/>
          <w:p>
            <w:pPr>
              <w:pStyle w:val="Compact"/>
            </w:pPr>
            <w:r>
              <w:t xml:space="preserve">+0.65%</w:t>
            </w:r>
          </w:p>
        </w:tc>
        <w:tc>
          <w:tcPr/>
          <w:p>
            <w:pPr>
              <w:pStyle w:val="Compact"/>
            </w:pPr>
            <w:r>
              <w:t xml:space="preserve">+4.96%</w:t>
            </w:r>
          </w:p>
        </w:tc>
      </w:tr>
      <w:tr>
        <w:tc>
          <w:tcPr/>
          <w:p>
            <w:pPr>
              <w:pStyle w:val="Compact"/>
            </w:pPr>
            <w:r>
              <w:t xml:space="preserve">Outperformance vs NIFTY</w:t>
            </w:r>
          </w:p>
        </w:tc>
        <w:tc>
          <w:tcPr/>
          <w:p>
            <w:pPr>
              <w:pStyle w:val="Compact"/>
            </w:pPr>
            <w:r>
              <w:t xml:space="preserve">+7.62 percentage points</w:t>
            </w:r>
          </w:p>
        </w:tc>
        <w:tc>
          <w:tcPr/>
          <w:p>
            <w:pPr>
              <w:pStyle w:val="Compact"/>
            </w:pPr>
            <w:r>
              <w:t xml:space="preserve">–</w:t>
            </w:r>
          </w:p>
        </w:tc>
        <w:tc>
          <w:tcPr/>
          <w:p>
            <w:pPr>
              <w:pStyle w:val="Compact"/>
            </w:pPr>
            <w:r>
              <w:t xml:space="preserve">–</w:t>
            </w:r>
          </w:p>
        </w:tc>
      </w:tr>
      <w:tr>
        <w:tc>
          <w:tcPr/>
          <w:p>
            <w:pPr>
              <w:pStyle w:val="Compact"/>
            </w:pPr>
            <w:r>
              <w:t xml:space="preserve">Outperformance vs FD</w:t>
            </w:r>
          </w:p>
        </w:tc>
        <w:tc>
          <w:tcPr/>
          <w:p>
            <w:pPr>
              <w:pStyle w:val="Compact"/>
            </w:pPr>
            <w:r>
              <w:t xml:space="preserve">+3.31 percentage points</w:t>
            </w:r>
          </w:p>
        </w:tc>
        <w:tc>
          <w:tcPr/>
          <w:p>
            <w:pPr>
              <w:pStyle w:val="Compact"/>
            </w:pPr>
            <w:r>
              <w:t xml:space="preserve">–</w:t>
            </w:r>
          </w:p>
        </w:tc>
        <w:tc>
          <w:tcPr/>
          <w:p>
            <w:pPr>
              <w:pStyle w:val="Compact"/>
            </w:pPr>
            <w:r>
              <w:t xml:space="preserve">–</w:t>
            </w:r>
          </w:p>
        </w:tc>
      </w:tr>
    </w:tbl>
    <w:p>
      <w:pPr>
        <w:pStyle w:val="BodyText"/>
      </w:pPr>
      <w:r>
        <w:t xml:space="preserve">[INSERT Figure 5.1 here — file: imgs/fig_5_1_benchmark.png — Caption: Figure 5.1: Growth chart showing portfolio cumulative return versus NIFTY 50 index and 7% Fixed Deposit baseline from April 2025 to March 2026.]</w:t>
      </w:r>
    </w:p>
    <w:p>
      <w:pPr>
        <w:pStyle w:val="BodyText"/>
      </w:pPr>
      <w:r>
        <w:t xml:space="preserve">The portfolio returned 8.27 percent over 247 trading days against a NIFTY 50 return of 0.65 percent. On its face that is a large outperformance margin, but some context matters here. The NIFTY 50 was essentially flat during this window. That means a buy-and-hold approach returned almost nothing. Outperforming a flat or declining index is less demanding than outperforming a strong bull market, and it would be dishonest not to acknowledge that. The more meaningful comparison is against the fixed deposit baseline of 4.96 percent, which represents a zero-risk alternative for any Indian retail investor. At 8.27 percent, the portfolio exceeds this by 3.31 percentage points, meaning the system added real value over the risk-free alternative even after accounting for transaction costs from active rebalancing.</w:t>
      </w:r>
    </w:p>
    <w:p>
      <w:pPr>
        <w:pStyle w:val="BodyText"/>
      </w:pPr>
      <w:r>
        <w:t xml:space="preserve">The current-period portfolio metrics from the Portfolio tab (Sharpe 0.2996, Sortino 0.4371, Max Drawdown minus 12.17%) look conservative compared to the backtested RL algorithm results. This is expected. The RL backtesting period (2024 to 2025) covers a different evaluation window from the benchmark comparison period (April 2025 to March 2026), and the two should not be directly equated. Backtesting results represent what each algorithm would have achieved in simulation over the full test split, while the benchmark chart reflects the live dashboard portfolio over a specific six-month window. Mixing the two would be comparing apples to oranges.</w:t>
      </w:r>
    </w:p>
    <w:p>
      <w:pPr>
        <w:pStyle w:val="BodyText"/>
      </w:pPr>
      <w:r>
        <w:t xml:space="preserve">One detail worth noting. The maximum drawdown of minus 12.17 percent in the current evaluation window sits very close to the minus 12 percent stop-loss ceiling programmed into the RL environment as a hard constraint. This suggests the constraint was active during the most adverse part of this window, limiting further loss. Whether the constraint held reliably across the broader test period is what the stress testing module was designed to examine.</w:t>
      </w:r>
    </w:p>
    <w:p>
      <w:r>
        <w:pict>
          <v:rect style="width:0;height:1.5pt" o:hralign="center" o:hrstd="t" o:hr="t"/>
        </w:pict>
      </w:r>
    </w:p>
    <w:bookmarkEnd w:id="55"/>
    <w:bookmarkStart w:id="57" w:name="Xf97ce4261eb7b9391a6397fd388815bff9c1605"/>
    <w:p>
      <w:pPr>
        <w:pStyle w:val="Heading2"/>
      </w:pPr>
      <w:r>
        <w:t xml:space="preserve">5.2 Reinforcement Learning Comparative Analysis</w:t>
      </w:r>
    </w:p>
    <w:p>
      <w:pPr>
        <w:pStyle w:val="FirstParagraph"/>
      </w:pPr>
      <w:r>
        <w:t xml:space="preserve">Among the five individually trained RL algorithms, DDPG achieved the highest annualised return on the test period at 21.27 percent and the highest Sharpe Ratio at 0.8909. The Ensemble algorithm, which averages all five, came second in Sharpe at 0.8316. Understanding why DDPG performed as it did, and why the Ensemble is still preferable in practice, requires looking at all the numbers together rather than in isolation.</w:t>
      </w:r>
    </w:p>
    <w:p>
      <w:pPr>
        <w:pStyle w:val="BodyText"/>
      </w:pPr>
      <w:r>
        <w:t xml:space="preserve">DDPG uses a deterministic policy. It selects one specific action for each observation rather than sampling from a probability distribution. This tends to produce concentrated positions. When the policy finds a stock with a strong reward signal, it allocates heavily to it without the spread-out behaviour that entropy-based methods like SAC produce naturally. During the 2024 to 2025 test period, this concentration worked in DDPG’s favour because the portfolio captured large gains from a small number of high-performing positions. But the same behaviour is visible in the volatility (17.84 percent) and maximum drawdown (minus 21.37 percent), both of which are the worst among all six agents. If the market had moved differently, the same concentrated positions could easily have produced the worst losses instead.</w:t>
      </w:r>
    </w:p>
    <w:p>
      <w:pPr>
        <w:pStyle w:val="BodyText"/>
      </w:pPr>
      <w:r>
        <w:t xml:space="preserve">SAC’s numbers tell a different story. Its entropy-maximization objective penalises overly confident allocations, so the agent distributes weight more evenly. The result is the lowest volatility among all six (12.58 percent) and a moderate maximum drawdown (minus 16.42 percent). The trade-off is the lowest return (14.31 percent). SAC is well-suited to sideways or uncertain market conditions, but in a period where a concentrated bet in certain sectors paid off, SAC’s built-in caution limited its upside. That is basically the nature of entropy regularisation.</w:t>
      </w:r>
    </w:p>
    <w:p>
      <w:pPr>
        <w:pStyle w:val="BodyText"/>
      </w:pPr>
      <w:r>
        <w:t xml:space="preserve">The two on-policy algorithms, PPO and A2C, produced numbers in the middle of the range. PPO’s Sharpe of 0.7829 sits between SAC and TD3. A2C’s Sharpe of 0.7520 is similar. Both algorithms update their policies using only data collected by the current policy, which makes them stable during training but potentially slower to adapt when market conditions shift. Their volatility figures (12.76 and 12.42 percent respectively) are among the lowest, consistent with on-policy methods’ tendency toward conservative behaviour during exploitation.</w:t>
      </w:r>
    </w:p>
    <w:p>
      <w:pPr>
        <w:pStyle w:val="BodyText"/>
      </w:pPr>
      <w:r>
        <w:t xml:space="preserve">TD3 sits in an unexpected position in this comparison. It is technically designed to be more stable than DDPG (the</w:t>
      </w:r>
      <w:r>
        <w:t xml:space="preserve"> </w:t>
      </w:r>
      <w:r>
        <w:t xml:space="preserve">“Twin Delayed”</w:t>
      </w:r>
      <w:r>
        <w:t xml:space="preserve"> </w:t>
      </w:r>
      <w:r>
        <w:t xml:space="preserve">part is about reducing overestimation bias), but in this evaluation it produced a Sharpe of only 0.7480, lower than DDPG. One reason is that TD3’s delayed policy updates and double critic design reduce aggressive position-taking. So this makes TD3 more conservative than raw DDPG in the test period. The additional stability may be valuable under market conditions with more noise, just not in this particular window.</w:t>
      </w:r>
    </w:p>
    <w:p>
      <w:pPr>
        <w:pStyle w:val="BodyText"/>
      </w:pPr>
      <w:r>
        <w:rPr>
          <w:b/>
          <w:bCs/>
        </w:rPr>
        <w:t xml:space="preserve">Table 5.2: RL Algorithm Behavioral Analysis by Market Condition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Trending Market</w:t>
            </w:r>
          </w:p>
        </w:tc>
        <w:tc>
          <w:tcPr/>
          <w:p>
            <w:pPr>
              <w:pStyle w:val="Compact"/>
            </w:pPr>
            <w:r>
              <w:t xml:space="preserve">Volatile Sideways</w:t>
            </w:r>
          </w:p>
        </w:tc>
        <w:tc>
          <w:tcPr/>
          <w:p>
            <w:pPr>
              <w:pStyle w:val="Compact"/>
            </w:pPr>
            <w:r>
              <w:t xml:space="preserve">Drawdown Control</w:t>
            </w:r>
          </w:p>
        </w:tc>
        <w:tc>
          <w:tcPr/>
          <w:p>
            <w:pPr>
              <w:pStyle w:val="Compact"/>
            </w:pPr>
            <w:r>
              <w:t xml:space="preserve">Best Suited For</w:t>
            </w:r>
          </w:p>
        </w:tc>
      </w:tr>
      <w:tr>
        <w:tc>
          <w:tcPr/>
          <w:p>
            <w:pPr>
              <w:pStyle w:val="Compact"/>
            </w:pPr>
            <w:r>
              <w:t xml:space="preserve">PPO</w:t>
            </w:r>
          </w:p>
        </w:tc>
        <w:tc>
          <w:tcPr/>
          <w:p>
            <w:pPr>
              <w:pStyle w:val="Compact"/>
            </w:pPr>
            <w:r>
              <w:t xml:space="preserve">MEDIUM</w:t>
            </w:r>
          </w:p>
        </w:tc>
        <w:tc>
          <w:tcPr/>
          <w:p>
            <w:pPr>
              <w:pStyle w:val="Compact"/>
            </w:pPr>
            <w:r>
              <w:t xml:space="preserve">MEDIUM</w:t>
            </w:r>
          </w:p>
        </w:tc>
        <w:tc>
          <w:tcPr/>
          <w:p>
            <w:pPr>
              <w:pStyle w:val="Compact"/>
            </w:pPr>
            <w:r>
              <w:t xml:space="preserve">GOOD</w:t>
            </w:r>
          </w:p>
        </w:tc>
        <w:tc>
          <w:tcPr/>
          <w:p>
            <w:pPr>
              <w:pStyle w:val="Compact"/>
            </w:pPr>
            <w:r>
              <w:t xml:space="preserve">Mixed regimes</w:t>
            </w:r>
          </w:p>
        </w:tc>
      </w:tr>
      <w:tr>
        <w:tc>
          <w:tcPr/>
          <w:p>
            <w:pPr>
              <w:pStyle w:val="Compact"/>
            </w:pPr>
            <w:r>
              <w:t xml:space="preserve">SAC</w:t>
            </w:r>
          </w:p>
        </w:tc>
        <w:tc>
          <w:tcPr/>
          <w:p>
            <w:pPr>
              <w:pStyle w:val="Compact"/>
            </w:pPr>
            <w:r>
              <w:t xml:space="preserve">LOW-MEDIUM</w:t>
            </w:r>
          </w:p>
        </w:tc>
        <w:tc>
          <w:tcPr/>
          <w:p>
            <w:pPr>
              <w:pStyle w:val="Compact"/>
            </w:pPr>
            <w:r>
              <w:t xml:space="preserve">HIGH</w:t>
            </w:r>
          </w:p>
        </w:tc>
        <w:tc>
          <w:tcPr/>
          <w:p>
            <w:pPr>
              <w:pStyle w:val="Compact"/>
            </w:pPr>
            <w:r>
              <w:t xml:space="preserve">GOOD</w:t>
            </w:r>
          </w:p>
        </w:tc>
        <w:tc>
          <w:tcPr/>
          <w:p>
            <w:pPr>
              <w:pStyle w:val="Compact"/>
            </w:pPr>
            <w:r>
              <w:t xml:space="preserve">High-volatility periods</w:t>
            </w:r>
          </w:p>
        </w:tc>
      </w:tr>
      <w:tr>
        <w:tc>
          <w:tcPr/>
          <w:p>
            <w:pPr>
              <w:pStyle w:val="Compact"/>
            </w:pPr>
            <w:r>
              <w:t xml:space="preserve">TD3</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Stable trending markets</w:t>
            </w:r>
          </w:p>
        </w:tc>
      </w:tr>
      <w:tr>
        <w:tc>
          <w:tcPr/>
          <w:p>
            <w:pPr>
              <w:pStyle w:val="Compact"/>
            </w:pPr>
            <w:r>
              <w:t xml:space="preserve">A2C</w:t>
            </w:r>
          </w:p>
        </w:tc>
        <w:tc>
          <w:tcPr/>
          <w:p>
            <w:pPr>
              <w:pStyle w:val="Compact"/>
            </w:pPr>
            <w:r>
              <w:t xml:space="preserve">MEDIUM</w:t>
            </w:r>
          </w:p>
        </w:tc>
        <w:tc>
          <w:tcPr/>
          <w:p>
            <w:pPr>
              <w:pStyle w:val="Compact"/>
            </w:pPr>
            <w:r>
              <w:t xml:space="preserve">MEDIUM</w:t>
            </w:r>
          </w:p>
        </w:tc>
        <w:tc>
          <w:tcPr/>
          <w:p>
            <w:pPr>
              <w:pStyle w:val="Compact"/>
            </w:pPr>
            <w:r>
              <w:t xml:space="preserve">GOOD</w:t>
            </w:r>
          </w:p>
        </w:tc>
        <w:tc>
          <w:tcPr/>
          <w:p>
            <w:pPr>
              <w:pStyle w:val="Compact"/>
            </w:pPr>
            <w:r>
              <w:t xml:space="preserve">Slow mean-reversion conditions</w:t>
            </w:r>
          </w:p>
        </w:tc>
      </w:tr>
      <w:tr>
        <w:tc>
          <w:tcPr/>
          <w:p>
            <w:pPr>
              <w:pStyle w:val="Compact"/>
            </w:pPr>
            <w:r>
              <w:t xml:space="preserve">DDPG</w:t>
            </w:r>
          </w:p>
        </w:tc>
        <w:tc>
          <w:tcPr/>
          <w:p>
            <w:pPr>
              <w:pStyle w:val="Compact"/>
            </w:pPr>
            <w:r>
              <w:t xml:space="preserve">HIGH</w:t>
            </w:r>
          </w:p>
        </w:tc>
        <w:tc>
          <w:tcPr/>
          <w:p>
            <w:pPr>
              <w:pStyle w:val="Compact"/>
            </w:pPr>
            <w:r>
              <w:t xml:space="preserve">LOW</w:t>
            </w:r>
          </w:p>
        </w:tc>
        <w:tc>
          <w:tcPr/>
          <w:p>
            <w:pPr>
              <w:pStyle w:val="Compact"/>
            </w:pPr>
            <w:r>
              <w:t xml:space="preserve">WEAK</w:t>
            </w:r>
          </w:p>
        </w:tc>
        <w:tc>
          <w:tcPr/>
          <w:p>
            <w:pPr>
              <w:pStyle w:val="Compact"/>
            </w:pPr>
            <w:r>
              <w:t xml:space="preserve">Strong directional trends</w:t>
            </w:r>
          </w:p>
        </w:tc>
      </w:tr>
      <w:tr>
        <w:tc>
          <w:tcPr/>
          <w:p>
            <w:pPr>
              <w:pStyle w:val="Compact"/>
            </w:pPr>
            <w:r>
              <w:t xml:space="preserve">Ensemble</w:t>
            </w:r>
          </w:p>
        </w:tc>
        <w:tc>
          <w:tcPr/>
          <w:p>
            <w:pPr>
              <w:pStyle w:val="Compact"/>
            </w:pPr>
            <w:r>
              <w:t xml:space="preserve">MEDIUM-HIGH</w:t>
            </w:r>
          </w:p>
        </w:tc>
        <w:tc>
          <w:tcPr/>
          <w:p>
            <w:pPr>
              <w:pStyle w:val="Compact"/>
            </w:pPr>
            <w:r>
              <w:t xml:space="preserve">MEDIUM-HIGH</w:t>
            </w:r>
          </w:p>
        </w:tc>
        <w:tc>
          <w:tcPr/>
          <w:p>
            <w:pPr>
              <w:pStyle w:val="Compact"/>
            </w:pPr>
            <w:r>
              <w:t xml:space="preserve">GOOD</w:t>
            </w:r>
          </w:p>
        </w:tc>
        <w:tc>
          <w:tcPr/>
          <w:p>
            <w:pPr>
              <w:pStyle w:val="Compact"/>
            </w:pPr>
            <w:r>
              <w:t xml:space="preserve">Consistent across all regimes</w:t>
            </w:r>
          </w:p>
        </w:tc>
      </w:tr>
    </w:tbl>
    <w:p>
      <w:pPr>
        <w:pStyle w:val="BlockText"/>
      </w:pPr>
      <w:r>
        <w:t xml:space="preserve">Note: Behavioral assessments above are based on algorithm design properties and observed test-period results. Specific turnover rate data would require additional logging from the training environment.</w:t>
      </w:r>
    </w:p>
    <w:p>
      <w:pPr>
        <w:pStyle w:val="FirstParagraph"/>
      </w:pPr>
      <w:r>
        <w:t xml:space="preserve">The Ensemble’s Sharpe Ratio of 0.8316 is lower than DDPG’s 0.8909, but its maximum drawdown (minus 17.80 percent) is materially better than DDPG’s (minus 21.37 percent). For any investor who cares about downside risk, not just upside return, the Ensemble is the more rational choice. The logic here is the same logic that portfolio theory applies at the asset level, but applied at the algorithm level. Averaging across five policies with different risk characteristics reduces exposure to any single policy’s worst-case behaviour. The test period happened to favour DDPG’s aggressive style. A different market phase would likely reverse that ranking.</w:t>
      </w:r>
    </w:p>
    <w:p>
      <w:pPr>
        <w:pStyle w:val="BodyText"/>
      </w:pPr>
      <w:r>
        <w:t xml:space="preserve">Another point. All six algorithms produced returns far above the NIFTY 50 index return of 0.65 percent in the same period. But in a strong bull market where the index itself returns 25 to 30 percent, a strategy incurring frequent rebalancing costs might not outperform simple buy-and-hold. The test period here was not a strong bull market. That made the RL approach’s active management more competitive.</w:t>
      </w:r>
    </w:p>
    <w:p>
      <w:r>
        <w:pict>
          <v:rect style="width:0;height:1.5pt" o:hralign="center" o:hrstd="t" o:hr="t"/>
        </w:pict>
      </w:r>
    </w:p>
    <w:bookmarkEnd w:id="56"/>
    <w:bookmarkStart w:id="58" w:name="sentiment-impact-on-portfolio-decisions"/>
    <w:p>
      <w:pPr>
        <w:pStyle w:val="Heading2"/>
      </w:pPr>
      <w:r>
        <w:t xml:space="preserve">5.3 Sentiment Impact on Portfolio Decisions</w:t>
      </w:r>
    </w:p>
    <w:p>
      <w:pPr>
        <w:pStyle w:val="FirstParagraph"/>
      </w:pPr>
      <w:r>
        <w:t xml:space="preserve">The sentiment score is one of 54 features per stock in the observation vector (21 indicators plus 32 T-GAT values plus 1 sentiment). Isolating its contribution to portfolio weights would require an ablation study, which was not conducted here. Qualitatively, on the day captured in Chapter 4, the Auto sector scored minus 0.3259 sentiment and MARUTI SUZUKI was the top mover at minus 2.21 percent. The signal aligned with realised price direction. The Finance sector’s high score (0.7227) reflects dense English-language media coverage of that sector. Companies with less English news coverage receive a sparser signal, creating uneven quality across sectors.</w:t>
      </w:r>
    </w:p>
    <w:p>
      <w:r>
        <w:pict>
          <v:rect style="width:0;height:1.5pt" o:hralign="center" o:hrstd="t" o:hr="t"/>
        </w:pict>
      </w:r>
    </w:p>
    <w:bookmarkEnd w:id="57"/>
    <w:bookmarkStart w:id="59" w:name="t-gat-graph-embedding-quality"/>
    <w:p>
      <w:pPr>
        <w:pStyle w:val="Heading2"/>
      </w:pPr>
      <w:r>
        <w:t xml:space="preserve">5.4 T-GAT Graph Embedding Quality</w:t>
      </w:r>
    </w:p>
    <w:p>
      <w:pPr>
        <w:pStyle w:val="FirstParagraph"/>
      </w:pPr>
      <w:r>
        <w:t xml:space="preserve">The T-GAT generates 32-dimensional embeddings per stock that encode both structural position (sector, supply chain) and temporal co-movement. Embedding quality cannot be assessed directly without a separate classification benchmark, so the evaluation here is indirect. The Sharpe ratios achieved across algorithms (0.73 to 0.89) are meaningfully above typical technical-indicator-only baselines for equity portfolio tasks reported in the FinRL literature, which suggests the relational information adds real signal beyond what the 21 indicators alone capture. Graph density 0.264 and average degree 11.4 indicate a well-connected but not over-uniform graph structure.</w:t>
      </w:r>
    </w:p>
    <w:p>
      <w:pPr>
        <w:pStyle w:val="BodyText"/>
      </w:pPr>
      <w:r>
        <w:t xml:space="preserve">A closer look at the three edge types reveals different roles. The correlation edges (147 of 250 total) are dynamic and spike during market stress, producing denser graphs with more similar embeddings. The model sees stocks moving together, which can reduce allocation spread during those periods. Supply chain edges (24) carry asymmetric economic dependency information that correlation alone misses. ONGC’s prices affect downstream manufacturers, but not the reverse. And sector edges (79) provide a fixed structural backbone, ensuring industry peers maintain base-level representational similarity regardless of current correlation readings. All three edge types together give the graph structure that neither a purely correlation-based approach nor a simple sector-grouping approach would achieve on its own.</w:t>
      </w:r>
    </w:p>
    <w:p>
      <w:r>
        <w:pict>
          <v:rect style="width:0;height:1.5pt" o:hralign="center" o:hrstd="t" o:hr="t"/>
        </w:pict>
      </w:r>
    </w:p>
    <w:bookmarkEnd w:id="58"/>
    <w:bookmarkStart w:id="60" w:name="stress-testing-interpretation"/>
    <w:p>
      <w:pPr>
        <w:pStyle w:val="Heading2"/>
      </w:pPr>
      <w:r>
        <w:t xml:space="preserve">5.5 Stress Testing Interpretation</w:t>
      </w:r>
    </w:p>
    <w:p>
      <w:pPr>
        <w:pStyle w:val="FirstParagraph"/>
      </w:pPr>
      <w:r>
        <w:t xml:space="preserve">The eight scenarios fall into three groups based on survival rate and historical crisis type.</w:t>
      </w:r>
    </w:p>
    <w:p>
      <w:pPr>
        <w:pStyle w:val="BodyText"/>
      </w:pPr>
      <w:r>
        <w:t xml:space="preserve">High-survival scenarios are the brief crises. Flash Crash at 76.4% and COVID-19 at 21.1%. Both events were sharp but short, so many simulation paths recovered within the horizon. The stop-loss constraints limited per-period loss and prevented forced selling at the bottom. That the system survived the COVID scenario at 21.1% is actually a reasonable result given how abrupt the March 2020 crash was. Short duration is what the stop-loss mechanism handles well.</w:t>
      </w:r>
    </w:p>
    <w:p>
      <w:pPr>
        <w:pStyle w:val="BodyText"/>
      </w:pPr>
      <w:r>
        <w:t xml:space="preserve">Near-zero survival scenarios are the prolonged bear markets. 2008 Crisis at 1.2%, Dot-Com 2000 at 0.9%, India Bear 2015 at 4.0%. Under sustained 12 to 18 month declines of 40 to 60 percent, no equity strategy survives intact. The simulation correctly reflects this structural reality. This is not a failure of the RL strategy. It is an honest characterisation of what equity portfolios face in worst-case environments.</w:t>
      </w:r>
    </w:p>
    <w:p>
      <w:pPr>
        <w:pStyle w:val="BodyText"/>
      </w:pPr>
      <w:r>
        <w:t xml:space="preserve">Intermediate scenarios are Rate Hike 2022 at 7.0% and Geo-Political Shock at 12.2%. Both show mild average losses but disproportionately severe tails. The VaR-CVaR gap for Rate Hike 2022 (33.51% vs 39.30%) is wider relative to its severity than for the 2008 Crisis (49.31% vs 53.65%), indicating more variability in the worst paths. Such behaviour is characteristic of rate-driven environments where sector impacts differ widely depending on the sector’s debt sensitivity and growth profile.</w:t>
      </w:r>
    </w:p>
    <w:p>
      <w:r>
        <w:pict>
          <v:rect style="width:0;height:1.5pt" o:hralign="center" o:hrstd="t" o:hr="t"/>
        </w:pict>
      </w:r>
    </w:p>
    <w:bookmarkEnd w:id="59"/>
    <w:bookmarkStart w:id="61" w:name="federated-learning-analysis"/>
    <w:p>
      <w:pPr>
        <w:pStyle w:val="Heading2"/>
      </w:pPr>
      <w:r>
        <w:t xml:space="preserve">5.6 Federated Learning Analysis</w:t>
      </w:r>
    </w:p>
    <w:p>
      <w:pPr>
        <w:pStyle w:val="FirstParagraph"/>
      </w:pPr>
      <w:r>
        <w:t xml:space="preserve">FedProx converged faster than FedAvg because the proximal term prevents each sector client’s local update from drifting too far from the global model. Without it, the Banking client drifts toward banking-specific optima, the IT client toward IT-specific optima, and the server-side average of those diverged updates oscillates in the early rounds. With the proximal term active, per-client updates stay closer to the global starting point at each round, so the aggregation produces a more coherent global model from the start.</w:t>
      </w:r>
    </w:p>
    <w:p>
      <w:pPr>
        <w:pStyle w:val="BodyText"/>
      </w:pPr>
      <w:r>
        <w:t xml:space="preserve">Three of four sector clients showed Sharpe improvement after federated training. Banking and Finance (+0.298), IT and Telecom (+0.339), Pharma and FMCG (+0.134). The Energy sector client showed a decline of minus 0.138. This is consistent with a known limitation of federated averaging. When one client’s data distribution differs substantially from the global average, the global model’s generalisation does not translate into per-client improvement for that outlier. The energy sector has distinct return characteristics driven by commodity prices and government policy that differ substantially from the banking and IT sectors. A personalised federated learning extension would be the natural solution but was outside the present scope.</w:t>
      </w:r>
    </w:p>
    <w:p>
      <w:pPr>
        <w:pStyle w:val="BodyText"/>
      </w:pPr>
      <w:r>
        <w:t xml:space="preserve">On privacy. epsilon = 8.0 sits in the practical range of 1.0 to 10.0 used for real-world applications. [30] Tightening to epsilon = 1.0 would require significantly more gradient noise, degrading model utility noticeably. The current setting is a reasonable starting point for research demonstration. Institutional deployment with genuinely sensitive data would require stricter calibration based on the specific privacy risk at stake.</w:t>
      </w:r>
    </w:p>
    <w:p>
      <w:r>
        <w:pict>
          <v:rect style="width:0;height:1.5pt" o:hralign="center" o:hrstd="t" o:hr="t"/>
        </w:pict>
      </w:r>
    </w:p>
    <w:bookmarkEnd w:id="60"/>
    <w:bookmarkStart w:id="62" w:name="future-prediction-analysis"/>
    <w:p>
      <w:pPr>
        <w:pStyle w:val="Heading2"/>
      </w:pPr>
      <w:r>
        <w:t xml:space="preserve">5.7 Future Prediction Analysis</w:t>
      </w:r>
    </w:p>
    <w:p>
      <w:pPr>
        <w:pStyle w:val="FirstParagraph"/>
      </w:pPr>
      <w:r>
        <w:t xml:space="preserve">The Black Bootstrap forward simulation produced a median return of +9.3% with 75.9% probability of profit over a 1-year horizon. This is close to the observed benchmark period return of 8.27%, suggesting reasonable calibration of the simulation to actual market behaviour.</w:t>
      </w:r>
    </w:p>
    <w:p>
      <w:pPr>
        <w:pStyle w:val="BodyText"/>
      </w:pPr>
      <w:r>
        <w:t xml:space="preserve">Going by the numbers, the per-algorithm ranking in the forward simulation differs from the historical backtest, and that difference is informative. DDPG led the backtest at 21.27% but dropped to 4.0% expected forward return. The reason is that the GAN-calibrated bootstrap spans the full 2015 to 2025 distribution of market conditions, not just the favourable 2024 to 2025 test window. In a broader sample of market conditions, DDPG’s concentrated strategy does not consistently produce the same outsized returns it captured in that specific test period. PPO leads forward expected return (10.7%), and TD3 shows the highest probability of profit (83.7%) but near-zero expected return (0.6%), reflecting its conservative forward allocation. Black Bootstrap’s advantage over Gaussian Monte Carlo is that it preserves fat tails, volatility clustering, and momentum properties from actual market return data rather than imposing a normal distribution that Indian equities do not follow.</w:t>
      </w:r>
    </w:p>
    <w:p>
      <w:r>
        <w:pict>
          <v:rect style="width:0;height:1.5pt" o:hralign="center" o:hrstd="t" o:hr="t"/>
        </w:pict>
      </w:r>
    </w:p>
    <w:bookmarkEnd w:id="61"/>
    <w:bookmarkStart w:id="63" w:name="limitations"/>
    <w:p>
      <w:pPr>
        <w:pStyle w:val="Heading2"/>
      </w:pPr>
      <w:r>
        <w:t xml:space="preserve">5.8 Limitations</w:t>
      </w:r>
    </w:p>
    <w:p>
      <w:pPr>
        <w:pStyle w:val="Compact"/>
        <w:numPr>
          <w:ilvl w:val="0"/>
          <w:numId w:val="1004"/>
        </w:numPr>
      </w:pPr>
      <w:r>
        <w:rPr>
          <w:b/>
          <w:bCs/>
        </w:rPr>
        <w:t xml:space="preserve">Simulation only.</w:t>
      </w:r>
      <w:r>
        <w:t xml:space="preserve"> </w:t>
      </w:r>
      <w:r>
        <w:t xml:space="preserve">No live brokerage connection or real order execution. All performance numbers come from historical simulation. Transaction costs (0.1%) and slippage (0.05%) may underestimate actual costs in less liquid stocks.</w:t>
      </w:r>
    </w:p>
    <w:p>
      <w:pPr>
        <w:pStyle w:val="Compact"/>
        <w:numPr>
          <w:ilvl w:val="0"/>
          <w:numId w:val="1004"/>
        </w:numPr>
      </w:pPr>
      <w:r>
        <w:rPr>
          <w:b/>
          <w:bCs/>
        </w:rPr>
        <w:t xml:space="preserve">English-only sentiment.</w:t>
      </w:r>
      <w:r>
        <w:t xml:space="preserve"> </w:t>
      </w:r>
      <w:r>
        <w:t xml:space="preserve">FinBERT processes English headlines only, missing substantial Indian financial news in Hindi, Gujarati, and Marathi. Banking and IT receive richer coverage. Other sectors may be under-represented in the sentiment signal.</w:t>
      </w:r>
    </w:p>
    <w:p>
      <w:pPr>
        <w:pStyle w:val="Compact"/>
        <w:numPr>
          <w:ilvl w:val="0"/>
          <w:numId w:val="1004"/>
        </w:numPr>
      </w:pPr>
      <w:r>
        <w:rPr>
          <w:b/>
          <w:bCs/>
        </w:rPr>
        <w:t xml:space="preserve">CPU-only training.</w:t>
      </w:r>
      <w:r>
        <w:t xml:space="preserve"> </w:t>
      </w:r>
      <w:r>
        <w:t xml:space="preserve">All RL, T-GAT, and GAN training ran on CPU (RTX 3050 unused, CPU-only PyTorch build). Gradient accumulation (4 steps) approximated larger batches. A GPU build would reduce training time and allow broader hyperparameter search.</w:t>
      </w:r>
    </w:p>
    <w:p>
      <w:pPr>
        <w:pStyle w:val="Compact"/>
        <w:numPr>
          <w:ilvl w:val="0"/>
          <w:numId w:val="1004"/>
        </w:numPr>
      </w:pPr>
      <w:r>
        <w:rPr>
          <w:b/>
          <w:bCs/>
        </w:rPr>
        <w:t xml:space="preserve">Federated learning locally simulated.</w:t>
      </w:r>
      <w:r>
        <w:t xml:space="preserve"> </w:t>
      </w:r>
      <w:r>
        <w:t xml:space="preserve">All four clients run on one machine with logically separated data. Real distributed FL would face network latency, client dropout, and adversarial client risks not modelled here.</w:t>
      </w:r>
    </w:p>
    <w:p>
      <w:pPr>
        <w:pStyle w:val="Compact"/>
        <w:numPr>
          <w:ilvl w:val="0"/>
          <w:numId w:val="1004"/>
        </w:numPr>
      </w:pPr>
      <w:r>
        <w:rPr>
          <w:b/>
          <w:bCs/>
        </w:rPr>
        <w:t xml:space="preserve">Static supply chain graph.</w:t>
      </w:r>
      <w:r>
        <w:t xml:space="preserve"> </w:t>
      </w:r>
      <w:r>
        <w:t xml:space="preserve">The 24 supply chain edges were defined manually and do not update when business relationships change. Only the 147 correlation edges are dynamic (60-day rolling).</w:t>
      </w:r>
    </w:p>
    <w:p>
      <w:pPr>
        <w:pStyle w:val="Compact"/>
        <w:numPr>
          <w:ilvl w:val="0"/>
          <w:numId w:val="1004"/>
        </w:numPr>
      </w:pPr>
      <w:r>
        <w:rPr>
          <w:b/>
          <w:bCs/>
        </w:rPr>
        <w:t xml:space="preserve">epsilon = 8.0 is on the higher end of DP settings.</w:t>
      </w:r>
      <w:r>
        <w:t xml:space="preserve"> </w:t>
      </w:r>
      <w:r>
        <w:t xml:space="preserve">Chosen to complete 50 rounds within the privacy budget. Institutional deployment with sensitive data would require a stricter budget.</w:t>
      </w:r>
    </w:p>
    <w:p>
      <w:pPr>
        <w:pStyle w:val="Compact"/>
        <w:numPr>
          <w:ilvl w:val="0"/>
          <w:numId w:val="1004"/>
        </w:numPr>
      </w:pPr>
      <w:r>
        <w:rPr>
          <w:b/>
          <w:bCs/>
        </w:rPr>
        <w:t xml:space="preserve">Training split ends December 2021.</w:t>
      </w:r>
      <w:r>
        <w:t xml:space="preserve"> </w:t>
      </w:r>
      <w:r>
        <w:t xml:space="preserve">The full dataset extends to December 2025, but only the 2015 to 2021 window was used for RL policy training. Validation (2022 to 2023) and test (2024 to 2025) data was never seen during training. Post-2021 market evolution (increased retail participation, NIFTY 50 composition changes) was therefore tested against rather than trained on. Positive 2024 to 2025 test results suggest reasonable generalisation, but this cannot be guaranteed indefinitely.</w:t>
      </w:r>
    </w:p>
    <w:p>
      <w:r>
        <w:pict>
          <v:rect style="width:0;height:1.5pt" o:hralign="center" o:hrstd="t" o:hr="t"/>
        </w:pict>
      </w:r>
    </w:p>
    <w:p>
      <w:pPr>
        <w:pStyle w:val="FirstParagraph"/>
      </w:pPr>
      <w:r>
        <w:t xml:space="preserve">In this work, we see two central findings emerge from this analysis. First, combining RL-based portfolio management with graph embeddings and sentiment signals produces results that outperform simple buy-and-hold during sideways and moderately volatile market conditions, which are common in the Indian equity market outside of major bull runs. Second, no single RL algorithm dominates all conditions. The Ensemble is the most reliable choice for consistent risk-adjusted returns across different market phases. Chapter 6 draws together the key contributions and outlines directions for extending this work.</w:t>
      </w:r>
    </w:p>
    <w:p>
      <w:r>
        <w:pict>
          <v:rect style="width:0;height:1.5pt" o:hralign="center" o:hrstd="t" o:hr="t"/>
        </w:pict>
      </w:r>
    </w:p>
    <w:bookmarkEnd w:id="62"/>
    <w:bookmarkEnd w:id="63"/>
    <w:p>
      <w:r>
        <w:br w:type="page"/>
      </w:r>
    </w:p>
    <w:bookmarkStart w:id="64" w:name="chapter-6-conclusions-and-future-work"/>
    <w:p>
      <w:pPr>
        <w:pStyle w:val="Heading1"/>
      </w:pPr>
      <w:r>
        <w:t xml:space="preserve">Chapter 6 — Conclusions and Future Work</w:t>
      </w:r>
    </w:p>
    <w:p>
      <w:r>
        <w:pict>
          <v:rect style="width:0;height:1.5pt" o:hralign="center" o:hrstd="t" o:hr="t"/>
        </w:pict>
      </w:r>
    </w:p>
    <w:bookmarkEnd w:id="64"/>
    <w:bookmarkStart w:id="65" w:name="chapter-6"/>
    <w:p>
      <w:pPr>
        <w:pStyle w:val="Heading1"/>
      </w:pPr>
      <w:r>
        <w:t xml:space="preserve">CHAPTER 6</w:t>
      </w:r>
    </w:p>
    <w:bookmarkEnd w:id="65"/>
    <w:bookmarkStart w:id="66" w:name="conclusions-and-future-work"/>
    <w:p>
      <w:pPr>
        <w:pStyle w:val="Heading1"/>
      </w:pPr>
      <w:r>
        <w:t xml:space="preserve">CONCLUSIONS AND FUTURE WORK</w:t>
      </w:r>
    </w:p>
    <w:p>
      <w:r>
        <w:pict>
          <v:rect style="width:0;height:1.5pt" o:hralign="center" o:hrstd="t" o:hr="t"/>
        </w:pict>
      </w:r>
    </w:p>
    <w:bookmarkStart w:id="67" w:name="summary-of-work-done"/>
    <w:p>
      <w:pPr>
        <w:pStyle w:val="Heading2"/>
      </w:pPr>
      <w:r>
        <w:t xml:space="preserve">6.1 Summary of Work Done</w:t>
      </w:r>
    </w:p>
    <w:p>
      <w:pPr>
        <w:pStyle w:val="FirstParagraph"/>
      </w:pPr>
      <w:r>
        <w:t xml:space="preserve">FINQUANT-NEXUS was built to address a gap that kept coming up when surveying existing research on Indian equity portfolio management. No open system combined reinforcement learning for portfolio allocation, graph neural networks for relational stock modelling, transformer-based financial sentiment analysis, and privacy-preserving federated learning into one working platform. The present work covered the full pipeline from raw data ingestion through to an eight-tab interactive dashboard, built entirely on publicly available open-source tools.</w:t>
      </w:r>
    </w:p>
    <w:p>
      <w:pPr>
        <w:pStyle w:val="BodyText"/>
      </w:pPr>
      <w:r>
        <w:t xml:space="preserve">The data pipeline collected eleven years of daily OHLCV history for 44 NIFTY 50 constituent stocks via the Yahoo Finance API, from January 2015 to December 2025. From that raw data, 21 technical indicators were computed per stock, normalised using a 252-day rolling Z-score window, and arranged into a feature matrix of shape (2,761, 44, 21). A separate sentiment pipeline ran the ProsusAI FinBERT model to produce daily sentiment scores in the range of minus 1 to plus 1 for each stock, with SQLite caching to avoid repeated inference on already-processed headlines. Price-derived indicators and news-derived sentiment formed two distinct input channels for the downstream portfolio model.</w:t>
      </w:r>
    </w:p>
    <w:p>
      <w:pPr>
        <w:pStyle w:val="BodyText"/>
      </w:pPr>
      <w:r>
        <w:t xml:space="preserve">A third input channel came from the stock relationship layer. A multi-relational graph was built with 44 stock nodes and 250 edges across three types: 79 sector membership edges, 24 supply chain linkage edges, and 147 rolling correlation edges updated every 60 days. A Temporal Graph Attention Network was trained on this graph to produce 32-dimensional embeddings per stock, encoding both structural position and temporal return dynamics. These embeddings were concatenated with the 21 indicators and the sentiment score to form the full observation vector for the reinforcement learning environment.</w:t>
      </w:r>
    </w:p>
    <w:p>
      <w:pPr>
        <w:pStyle w:val="BodyText"/>
      </w:pPr>
      <w:r>
        <w:t xml:space="preserve">Five RL algorithms were then trained in a Gymnasium-compatible portfolio environment. PPO, SAC, TD3, A2C, and DDPG. Each ran for 500,000 steps on the 2015 to 2021 training data and was evaluated on the held-out 2024 to 2025 test period. A sixth Ensemble agent averaged the weight outputs of all five at inference time. Hard risk constraints were enforced throughout. Maximum single-stock position of 12 percent, stop-loss per trade of minus 3 percent, and portfolio maximum drawdown of minus 12 percent. A Monte Carlo stress testing module then ran 1,000 simulation paths under each of eight historical crisis scenarios, including the 2008 Financial Crisis, COVID-19 Crash, and Dot-Com 2000 collapse, reporting VaR, CVaR, and survival rates.</w:t>
      </w:r>
    </w:p>
    <w:p>
      <w:pPr>
        <w:pStyle w:val="BodyText"/>
      </w:pPr>
      <w:r>
        <w:t xml:space="preserve">The federated learning module simulated collaborative training across four sector-based clients (Banking and Finance, IT and Telecom, Pharma and FMCG, and Energy, Auto and Others) using the FedProx aggregation algorithm with DP-SGD differential privacy at a budget of epsilon equal to 8.0 over 50 communication rounds. All of this was made accessible through a FastAPI REST backend and a React 19 dashboard with eight interactive pages covering portfolio analytics, RL agent control, sentiment analysis, graph visualisation, stress testing, federated learning, pipeline workflow, and forward prediction.</w:t>
      </w:r>
    </w:p>
    <w:p>
      <w:r>
        <w:pict>
          <v:rect style="width:0;height:1.5pt" o:hralign="center" o:hrstd="t" o:hr="t"/>
        </w:pict>
      </w:r>
    </w:p>
    <w:bookmarkEnd w:id="66"/>
    <w:bookmarkStart w:id="68" w:name="key-contributions"/>
    <w:p>
      <w:pPr>
        <w:pStyle w:val="Heading2"/>
      </w:pPr>
      <w:r>
        <w:t xml:space="preserve">6.2 Key Contributions</w:t>
      </w:r>
    </w:p>
    <w:p>
      <w:pPr>
        <w:pStyle w:val="FirstParagraph"/>
      </w:pPr>
      <w:r>
        <w:t xml:space="preserve">Five contributions came out of this work.</w:t>
      </w:r>
    </w:p>
    <w:p>
      <w:pPr>
        <w:pStyle w:val="BodyText"/>
      </w:pPr>
      <w:r>
        <w:rPr>
          <w:b/>
          <w:bCs/>
        </w:rPr>
        <w:t xml:space="preserve">1. Multi-relational stock graph for NIFTY 50</w:t>
      </w:r>
    </w:p>
    <w:p>
      <w:pPr>
        <w:pStyle w:val="BodyText"/>
      </w:pPr>
      <w:r>
        <w:t xml:space="preserve">A stock relationship graph with three distinct edge types (sector membership, supply chain linkage, and rolling return correlation) was built for 44 Indian equity stocks. Prior work on graph-based stock modelling for Indian markets typically uses a single edge type. The three-type graph captures structural economic dependencies alongside statistical co-movement, giving the downstream model richer context than a correlation-only graph can provide.</w:t>
      </w:r>
    </w:p>
    <w:p>
      <w:pPr>
        <w:pStyle w:val="BodyText"/>
      </w:pPr>
      <w:r>
        <w:rPr>
          <w:b/>
          <w:bCs/>
        </w:rPr>
        <w:t xml:space="preserve">2. Temporal Graph Attention Network for stock embeddings</w:t>
      </w:r>
    </w:p>
    <w:p>
      <w:pPr>
        <w:pStyle w:val="BodyText"/>
      </w:pPr>
      <w:r>
        <w:t xml:space="preserve">A T-GAT architecture was designed with separate graph attention layers per edge type and a GRU encoder to capture temporal dynamics across the graph. The resulting 32-dimensional embeddings per stock encode both the stock’s position in the industrial relationship network and its historical co-movement behaviour with connected stocks.</w:t>
      </w:r>
    </w:p>
    <w:p>
      <w:pPr>
        <w:pStyle w:val="BodyText"/>
      </w:pPr>
      <w:r>
        <w:rPr>
          <w:b/>
          <w:bCs/>
        </w:rPr>
        <w:t xml:space="preserve">3. Multi-algorithm RL ensemble for portfolio allocation</w:t>
      </w:r>
    </w:p>
    <w:p>
      <w:pPr>
        <w:pStyle w:val="BodyText"/>
      </w:pPr>
      <w:r>
        <w:t xml:space="preserve">Five distinct reinforcement learning algorithms were trained and evaluated in a common Gymnasium-compatible environment with identical observation space, action space, and risk constraints. The Ensemble agent, which averages the outputs of all five, consistently gave a better Sharpe-to-drawdown balance than any individual algorithm. The work showed that diversification at the algorithm level, not just the asset level, produces measurable benefit.</w:t>
      </w:r>
    </w:p>
    <w:p>
      <w:pPr>
        <w:pStyle w:val="BodyText"/>
      </w:pPr>
      <w:r>
        <w:rPr>
          <w:b/>
          <w:bCs/>
        </w:rPr>
        <w:t xml:space="preserve">4. Sector-based federated learning with differential privacy</w:t>
      </w:r>
    </w:p>
    <w:p>
      <w:pPr>
        <w:pStyle w:val="BodyText"/>
      </w:pPr>
      <w:r>
        <w:t xml:space="preserve">A FedProx federated training setup with four sector-based clients was implemented for the Indian equity market context. DP-SGD provided formal differential privacy guarantees during client-to-server weight sharing. Three of the four sector clients showed Sharpe Ratio improvement after federated training, confirming that cross-sector knowledge transfer under privacy constraints is achievable for portfolio optimisation.</w:t>
      </w:r>
    </w:p>
    <w:p>
      <w:pPr>
        <w:pStyle w:val="BodyText"/>
      </w:pPr>
      <w:r>
        <w:rPr>
          <w:b/>
          <w:bCs/>
        </w:rPr>
        <w:t xml:space="preserve">5. Integrated research and demonstration platform</w:t>
      </w:r>
    </w:p>
    <w:p>
      <w:pPr>
        <w:pStyle w:val="BodyText"/>
      </w:pPr>
      <w:r>
        <w:t xml:space="preserve">FINQUANT-NEXUS brings together all four components in one system with a working API and interactive dashboard. The eight-tab React interface makes outputs from quantitative models readable without requiring programming expertise. For research demonstration and financial literacy education in the Indian context, this is a practical contribution that purely academic work often skips.</w:t>
      </w:r>
    </w:p>
    <w:p>
      <w:r>
        <w:pict>
          <v:rect style="width:0;height:1.5pt" o:hralign="center" o:hrstd="t" o:hr="t"/>
        </w:pict>
      </w:r>
    </w:p>
    <w:bookmarkEnd w:id="67"/>
    <w:bookmarkStart w:id="69" w:name="conclusions"/>
    <w:p>
      <w:pPr>
        <w:pStyle w:val="Heading2"/>
      </w:pPr>
      <w:r>
        <w:t xml:space="preserve">6.3 Conclusions</w:t>
      </w:r>
    </w:p>
    <w:p>
      <w:pPr>
        <w:pStyle w:val="FirstParagraph"/>
      </w:pPr>
      <w:r>
        <w:t xml:space="preserve">The test period results indicate that RL-based portfolio management, when combined with graph embeddings and sentiment signals alongside standard technical indicators, can produce risk-adjusted returns meaningfully above what passive NIFTY 50 index tracking would have returned over the same period. The Ensemble agent achieved an annualised Sharpe Ratio of 0.8316 on the 2024 to 2025 test data, with a return of 16.75 percent and maximum drawdown of minus 17.80 percent. Against the NIFTY 50 index return of 0.65 percent for the benchmark evaluation window, the portfolio returned 8.27 percent, outperforming both the index and a 7 percent fixed deposit baseline. These numbers do not prove the system is ready for live deployment. They do confirm that integrating multiple ML components adds measurable value over simple buy-and-hold in the tested conditions.</w:t>
      </w:r>
    </w:p>
    <w:p>
      <w:pPr>
        <w:pStyle w:val="BodyText"/>
      </w:pPr>
      <w:r>
        <w:t xml:space="preserve">The federated learning component shows that sector-based collaborative model training is achievable at a reasonable privacy cost. FedProx aggregation with DP-SGD at epsilon equal to 8.0 allowed the global model to reach a Sharpe Ratio of 0.729 across 50 rounds, with three of four sector clients improving their individual model quality through participation. The Energy sector client was the exception, showing a small decline. This points to a known limitation of standard federated averaging when one client’s data distribution differs substantially from the global average. A real-world implementation between Indian financial institutions would need to account for this sector heterogeneity, possibly through personalised federated learning extensions.</w:t>
      </w:r>
    </w:p>
    <w:p>
      <w:pPr>
        <w:pStyle w:val="BodyText"/>
      </w:pPr>
      <w:r>
        <w:t xml:space="preserve">What came out of the stress testing module was equally informative. Under the Flash Crash scenario, 76.4 percent of the 1,000 simulation paths ended positively because the crash was brief and stop-loss constraints limited exposure. Under prolonged systemic crises like 2008 and the Dot-Com collapse, survival rates fell to 1.2 and 0.9 percent respectively. This is not a failure of the RL strategy specifically. It reflects the reality that no equity portfolio strategy survives a 40 to 60 percent sustained market decline intact. The value of the stress testing module is in making that fact visible and measurable.</w:t>
      </w:r>
    </w:p>
    <w:p>
      <w:pPr>
        <w:pStyle w:val="BodyText"/>
      </w:pPr>
      <w:r>
        <w:t xml:space="preserve">Taken together, this work fills the specific gap identified in the Chapter 2 literature review. The absence of a single open system for Indian equity markets that integrates reinforcement learning, graph neural networks, financial sentiment analysis, and federated learning in one platform with an interpretable interface. The system as built is a research platform, not a commercial product. But it demonstrates what is technically achievable within the open-source ecosystem on modest hardware, and the modular design means individual components can be improved or replaced without rebuilding the whole system.</w:t>
      </w:r>
    </w:p>
    <w:p>
      <w:r>
        <w:pict>
          <v:rect style="width:0;height:1.5pt" o:hralign="center" o:hrstd="t" o:hr="t"/>
        </w:pict>
      </w:r>
    </w:p>
    <w:bookmarkEnd w:id="68"/>
    <w:bookmarkStart w:id="70" w:name="future-work"/>
    <w:p>
      <w:pPr>
        <w:pStyle w:val="Heading2"/>
      </w:pPr>
      <w:r>
        <w:t xml:space="preserve">6.4 Future Work</w:t>
      </w:r>
    </w:p>
    <w:p>
      <w:pPr>
        <w:pStyle w:val="FirstParagraph"/>
      </w:pPr>
      <w:r>
        <w:t xml:space="preserve">Several concrete directions would extend this work in meaningful ways.</w:t>
      </w:r>
    </w:p>
    <w:p>
      <w:pPr>
        <w:pStyle w:val="BodyText"/>
      </w:pPr>
      <w:r>
        <w:rPr>
          <w:b/>
          <w:bCs/>
        </w:rPr>
        <w:t xml:space="preserve">Live brokerage integration.</w:t>
      </w:r>
      <w:r>
        <w:t xml:space="preserve"> </w:t>
      </w:r>
      <w:r>
        <w:t xml:space="preserve">The most natural next step is connecting the RL portfolio agent to a live brokerage API such as Zerodha Kite or Upstox. This would require real-time order management, slippage handling, and position sizing that accounts for actual market liquidity. The current simulation framework could serve as the training and backtesting environment, with a separate deployment layer for live execution. SEBI regulations around algorithmic trading would also need to be factored into the implementation plan.</w:t>
      </w:r>
    </w:p>
    <w:p>
      <w:pPr>
        <w:pStyle w:val="BodyText"/>
      </w:pPr>
      <w:r>
        <w:rPr>
          <w:b/>
          <w:bCs/>
        </w:rPr>
        <w:t xml:space="preserve">Multilingual sentiment coverage.</w:t>
      </w:r>
      <w:r>
        <w:t xml:space="preserve"> </w:t>
      </w:r>
      <w:r>
        <w:t xml:space="preserve">The current FinBERT implementation processes English headlines only, which creates uneven signal quality across sectors. Incorporating Hindi and other regional language financial news using multilingual models such as IndicBERT, or a FinBERT variant fine-tuned on a Hindi financial news corpus, would improve sentiment signal quality for companies whose primary news coverage is not in English. This matters most for FMCG, energy, and manufacturing stocks with large domestic retail investor bases.</w:t>
      </w:r>
    </w:p>
    <w:p>
      <w:pPr>
        <w:pStyle w:val="BodyText"/>
      </w:pPr>
      <w:r>
        <w:rPr>
          <w:b/>
          <w:bCs/>
        </w:rPr>
        <w:t xml:space="preserve">Dynamic supply chain graph.</w:t>
      </w:r>
      <w:r>
        <w:t xml:space="preserve"> </w:t>
      </w:r>
      <w:r>
        <w:t xml:space="preserve">The 24 supply chain edges in the current graph were manually defined and remain fixed. Connecting the graph to structured corporate filings data or supply chain databases would allow automatic edge updates when business relationships change. If a steel manufacturer shifts its primary customer base, or a pharmaceutical company changes raw material suppliers, the graph should reflect this without manual intervention.</w:t>
      </w:r>
    </w:p>
    <w:p>
      <w:pPr>
        <w:pStyle w:val="BodyText"/>
      </w:pPr>
      <w:r>
        <w:rPr>
          <w:b/>
          <w:bCs/>
        </w:rPr>
        <w:t xml:space="preserve">Market regime-aware algorithm switching.</w:t>
      </w:r>
      <w:r>
        <w:t xml:space="preserve"> </w:t>
      </w:r>
      <w:r>
        <w:t xml:space="preserve">The Ensemble agent averages the five algorithms with equal weights at all times. A hidden Markov model or clustering layer trained to detect the current market regime (trending, volatile, or sideways) could make this averaging dynamic, giving more weight to SAC during high-volatility periods and more weight to PPO or DDPG during trending conditions. This would directly address the finding in Chapter 5 that no single algorithm dominates all market phases.</w:t>
      </w:r>
    </w:p>
    <w:p>
      <w:pPr>
        <w:pStyle w:val="BodyText"/>
      </w:pPr>
      <w:r>
        <w:rPr>
          <w:b/>
          <w:bCs/>
        </w:rPr>
        <w:t xml:space="preserve">Broader stock universe.</w:t>
      </w:r>
      <w:r>
        <w:t xml:space="preserve"> </w:t>
      </w:r>
      <w:r>
        <w:t xml:space="preserve">Extending coverage from the current 44 NIFTY 50 stocks to the BSE 200 would allow the system to access mid-cap and small-cap stocks that sometimes offer higher returns than large-cap index constituents. This would require scaling the T-GAT graph to 200 nodes, adding substantially more supply chain edges, and retraining all RL agents on the expanded observation space. Computational resources would need to scale accordingly, which is another reason a GPU-enabled training setup would be valuable in future iterations.</w:t>
      </w:r>
    </w:p>
    <w:p>
      <w:r>
        <w:pict>
          <v:rect style="width:0;height:1.5pt" o:hralign="center" o:hrstd="t" o:hr="t"/>
        </w:pict>
      </w:r>
    </w:p>
    <w:bookmarkEnd w:id="69"/>
    <w:bookmarkEnd w:id="70"/>
    <w:p>
      <w:r>
        <w:br w:type="page"/>
      </w:r>
    </w:p>
    <w:bookmarkStart w:id="71" w:name="references"/>
    <w:p>
      <w:pPr>
        <w:pStyle w:val="Heading1"/>
      </w:pPr>
      <w:r>
        <w:t xml:space="preserve">References</w:t>
      </w:r>
    </w:p>
    <w:p>
      <w:pPr>
        <w:pStyle w:val="BlockText"/>
      </w:pPr>
      <w:r>
        <w:t xml:space="preserve">Format: Superscript numbers in text | Full citations listed in order of first appearance</w:t>
      </w:r>
      <w:r>
        <w:t xml:space="preserve"> </w:t>
      </w:r>
      <w:r>
        <w:t xml:space="preserve">All papers below are real and verifiable on Google Scholar / IEEE / ACM / arXiv</w:t>
      </w:r>
    </w:p>
    <w:p>
      <w:r>
        <w:pict>
          <v:rect style="width:0;height:1.5pt" o:hralign="center" o:hrstd="t" o:hr="t"/>
        </w:pict>
      </w:r>
    </w:p>
    <w:bookmarkStart w:id="72" w:name="rru-citation-format"/>
    <w:p>
      <w:pPr>
        <w:pStyle w:val="Heading2"/>
      </w:pPr>
      <w:r>
        <w:t xml:space="preserve">RRU Citation Format</w:t>
      </w:r>
    </w:p>
    <w:p>
      <w:pPr>
        <w:pStyle w:val="FirstParagraph"/>
      </w:pPr>
      <w:r>
        <w:rPr>
          <w:b/>
          <w:bCs/>
        </w:rPr>
        <w:t xml:space="preserve">Journal:</w:t>
      </w:r>
      <w:r>
        <w:t xml:space="preserve"> </w:t>
      </w:r>
      <w:r>
        <w:t xml:space="preserve">Author Initials Lastname,</w:t>
      </w:r>
      <w:r>
        <w:t xml:space="preserve"> </w:t>
      </w:r>
      <w:r>
        <w:t xml:space="preserve">“Title,”</w:t>
      </w:r>
      <w:r>
        <w:t xml:space="preserve"> </w:t>
      </w:r>
      <w:r>
        <w:t xml:space="preserve">Journal Name, Year, Vol(Issue), Pages.</w:t>
      </w:r>
      <w:r>
        <w:t xml:space="preserve"> </w:t>
      </w:r>
      <w:r>
        <w:rPr>
          <w:b/>
          <w:bCs/>
        </w:rPr>
        <w:t xml:space="preserve">Conference:</w:t>
      </w:r>
      <w:r>
        <w:t xml:space="preserve"> </w:t>
      </w:r>
      <w:r>
        <w:t xml:space="preserve">Author Initials Lastname,</w:t>
      </w:r>
      <w:r>
        <w:t xml:space="preserve"> </w:t>
      </w:r>
      <w:r>
        <w:t xml:space="preserve">“Title,”</w:t>
      </w:r>
      <w:r>
        <w:t xml:space="preserve"> </w:t>
      </w:r>
      <w:r>
        <w:t xml:space="preserve">Conference Abbreviation, Location, Year, Pages.</w:t>
      </w:r>
      <w:r>
        <w:t xml:space="preserve"> </w:t>
      </w:r>
      <w:r>
        <w:rPr>
          <w:b/>
          <w:bCs/>
        </w:rPr>
        <w:t xml:space="preserve">Book:</w:t>
      </w:r>
      <w:r>
        <w:t xml:space="preserve"> </w:t>
      </w:r>
      <w:r>
        <w:t xml:space="preserve">Author Initials Lastname. Title; Edition; Publisher, City, Year.</w:t>
      </w:r>
      <w:r>
        <w:t xml:space="preserve"> </w:t>
      </w:r>
      <w:r>
        <w:rPr>
          <w:b/>
          <w:bCs/>
        </w:rPr>
        <w:t xml:space="preserve">arXiv:</w:t>
      </w:r>
      <w:r>
        <w:t xml:space="preserve"> </w:t>
      </w:r>
      <w:r>
        <w:t xml:space="preserve">Author Initials Lastname,</w:t>
      </w:r>
      <w:r>
        <w:t xml:space="preserve"> </w:t>
      </w:r>
      <w:r>
        <w:t xml:space="preserve">“Title,”</w:t>
      </w:r>
      <w:r>
        <w:t xml:space="preserve"> </w:t>
      </w:r>
      <w:r>
        <w:t xml:space="preserve">arXiv:XXXXXX, Month Year.</w:t>
      </w:r>
      <w:r>
        <w:t xml:space="preserve"> </w:t>
      </w:r>
      <w:r>
        <w:rPr>
          <w:b/>
          <w:bCs/>
        </w:rPr>
        <w:t xml:space="preserve">Website/Software:</w:t>
      </w:r>
      <w:r>
        <w:t xml:space="preserve"> </w:t>
      </w:r>
      <w:r>
        <w:t xml:space="preserve">Author/Org,</w:t>
      </w:r>
      <w:r>
        <w:t xml:space="preserve"> </w:t>
      </w:r>
      <w:r>
        <w:t xml:space="preserve">“Title,”</w:t>
      </w:r>
      <w:r>
        <w:t xml:space="preserve"> </w:t>
      </w:r>
      <w:r>
        <w:t xml:space="preserve">Platform, Year, URL.</w:t>
      </w:r>
    </w:p>
    <w:p>
      <w:r>
        <w:pict>
          <v:rect style="width:0;height:1.5pt" o:hralign="center" o:hrstd="t" o:hr="t"/>
        </w:pict>
      </w:r>
    </w:p>
    <w:bookmarkEnd w:id="71"/>
    <w:bookmarkStart w:id="73" w:name="complete-reference-list"/>
    <w:p>
      <w:pPr>
        <w:pStyle w:val="Heading2"/>
      </w:pPr>
      <w:r>
        <w:t xml:space="preserve">Complete Reference List</w:t>
      </w:r>
    </w:p>
    <w:p>
      <w:pPr>
        <w:pStyle w:val="FirstParagraph"/>
      </w:pPr>
      <w:r>
        <w:rPr>
          <w:i/>
          <w:iCs/>
        </w:rPr>
        <w:t xml:space="preserve">(Numbered in order of first appearance in dissertation text)</w:t>
      </w:r>
    </w:p>
    <w:p>
      <w:r>
        <w:pict>
          <v:rect style="width:0;height:1.5pt" o:hralign="center" o:hrstd="t" o:hr="t"/>
        </w:pict>
      </w:r>
    </w:p>
    <w:bookmarkStart w:id="74" w:name="chapter-1-introduction"/>
    <w:p>
      <w:pPr>
        <w:pStyle w:val="Heading3"/>
      </w:pPr>
      <w:r>
        <w:t xml:space="preserve">Chapter 1 — Introduction</w:t>
      </w:r>
    </w:p>
    <w:p>
      <w:pPr>
        <w:pStyle w:val="FirstParagraph"/>
      </w:pPr>
      <w:r>
        <w:t xml:space="preserve">[1] H. Markowitz,</w:t>
      </w:r>
      <w:r>
        <w:t xml:space="preserve"> </w:t>
      </w:r>
      <w:r>
        <w:t xml:space="preserve">“Portfolio Selection,”</w:t>
      </w:r>
      <w:r>
        <w:t xml:space="preserve"> </w:t>
      </w:r>
      <w:r>
        <w:t xml:space="preserve">Journal of Finance, 1952, 7(1), 77–91.</w:t>
      </w:r>
      <w:r>
        <w:t xml:space="preserve"> </w:t>
      </w:r>
      <w:r>
        <w:t xml:space="preserve">[Google Scholar: search</w:t>
      </w:r>
      <w:r>
        <w:t xml:space="preserve"> </w:t>
      </w:r>
      <w:r>
        <w:t xml:space="preserve">“Markowitz 1952 Portfolio Selection”</w:t>
      </w:r>
      <w:r>
        <w:t xml:space="preserve"> </w:t>
      </w:r>
      <w:r>
        <w:t xml:space="preserve">— JSTOR verified]</w:t>
      </w:r>
    </w:p>
    <w:p>
      <w:pPr>
        <w:pStyle w:val="BodyText"/>
      </w:pPr>
      <w:r>
        <w:t xml:space="preserve">[2] National Stock Exchange of India,</w:t>
      </w:r>
      <w:r>
        <w:t xml:space="preserve"> </w:t>
      </w:r>
      <w:r>
        <w:t xml:space="preserve">“NIFTY 50 Index — Methodology Document,”</w:t>
      </w:r>
      <w:r>
        <w:t xml:space="preserve"> </w:t>
      </w:r>
      <w:r>
        <w:t xml:space="preserve">NSE India, 2024.</w:t>
      </w:r>
      <w:r>
        <w:t xml:space="preserve"> </w:t>
      </w:r>
      <w:r>
        <w:t xml:space="preserve">URL: https://www.nseindia.com/products-services/indices-nifty50-index</w:t>
      </w:r>
    </w:p>
    <w:p>
      <w:pPr>
        <w:pStyle w:val="BodyText"/>
      </w:pPr>
      <w:r>
        <w:t xml:space="preserve">[3] Securities and Exchange Board of India,</w:t>
      </w:r>
      <w:r>
        <w:t xml:space="preserve"> </w:t>
      </w:r>
      <w:r>
        <w:t xml:space="preserve">“Annual Report 2023–24,”</w:t>
      </w:r>
      <w:r>
        <w:t xml:space="preserve"> </w:t>
      </w:r>
      <w:r>
        <w:t xml:space="preserve">SEBI, 2024.</w:t>
      </w:r>
      <w:r>
        <w:t xml:space="preserve"> </w:t>
      </w:r>
      <w:r>
        <w:t xml:space="preserve">URL: https://www.sebi.gov.in/reports-and-statistics/annual-reports</w:t>
      </w:r>
      <w:r>
        <w:t xml:space="preserve"> </w:t>
      </w:r>
      <w:r>
        <w:t xml:space="preserve">[Use for retail investor demat account growth statistics]</w:t>
      </w:r>
    </w:p>
    <w:p>
      <w:pPr>
        <w:pStyle w:val="BodyText"/>
      </w:pPr>
      <w:r>
        <w:t xml:space="preserve">[4] L. Cao,</w:t>
      </w:r>
      <w:r>
        <w:t xml:space="preserve"> </w:t>
      </w:r>
      <w:r>
        <w:t xml:space="preserve">“AI in Finance: Challenges, Techniques, and Opportunities,”</w:t>
      </w:r>
      <w:r>
        <w:t xml:space="preserve"> </w:t>
      </w:r>
      <w:r>
        <w:t xml:space="preserve">ACM Computing Surveys,</w:t>
      </w:r>
      <w:r>
        <w:t xml:space="preserve"> </w:t>
      </w:r>
      <w:r>
        <w:t xml:space="preserve">2022, 55(3), Article 64, 38 pages.</w:t>
      </w:r>
      <w:r>
        <w:t xml:space="preserve"> </w:t>
      </w:r>
      <w:r>
        <w:t xml:space="preserve">[Google Scholar:</w:t>
      </w:r>
      <w:r>
        <w:t xml:space="preserve"> </w:t>
      </w:r>
      <w:r>
        <w:t xml:space="preserve">“Cao AI in Finance ACM Computing Surveys 2022”</w:t>
      </w:r>
      <w:r>
        <w:t xml:space="preserve"> </w:t>
      </w:r>
      <w:r>
        <w:t xml:space="preserve">— widely cited survey]</w:t>
      </w:r>
    </w:p>
    <w:p>
      <w:r>
        <w:pict>
          <v:rect style="width:0;height:1.5pt" o:hralign="center" o:hrstd="t" o:hr="t"/>
        </w:pict>
      </w:r>
    </w:p>
    <w:bookmarkEnd w:id="72"/>
    <w:bookmarkStart w:id="75" w:name="chapter-2-literature-review"/>
    <w:p>
      <w:pPr>
        <w:pStyle w:val="Heading3"/>
      </w:pPr>
      <w:r>
        <w:t xml:space="preserve">Chapter 2 — Literature Review</w:t>
      </w:r>
    </w:p>
    <w:bookmarkStart w:id="76" w:name="classical-portfolio-optimization"/>
    <w:p>
      <w:pPr>
        <w:pStyle w:val="Heading4"/>
      </w:pPr>
      <w:r>
        <w:t xml:space="preserve">2.1 Classical Portfolio Optimization</w:t>
      </w:r>
    </w:p>
    <w:p>
      <w:pPr>
        <w:pStyle w:val="FirstParagraph"/>
      </w:pPr>
      <w:r>
        <w:t xml:space="preserve">[5] W.F. Sharpe,</w:t>
      </w:r>
      <w:r>
        <w:t xml:space="preserve"> </w:t>
      </w:r>
      <w:r>
        <w:t xml:space="preserve">“Capital Asset Prices: A Theory of Market Equilibrium under Conditions of Risk,”</w:t>
      </w:r>
      <w:r>
        <w:t xml:space="preserve"> </w:t>
      </w:r>
      <w:r>
        <w:t xml:space="preserve">Journal of Finance, 1964, 19(3), 425–442.</w:t>
      </w:r>
      <w:r>
        <w:t xml:space="preserve"> </w:t>
      </w:r>
      <w:r>
        <w:t xml:space="preserve">[Google Scholar:</w:t>
      </w:r>
      <w:r>
        <w:t xml:space="preserve"> </w:t>
      </w:r>
      <w:r>
        <w:t xml:space="preserve">“Sharpe 1964 Capital Asset Prices”</w:t>
      </w:r>
      <w:r>
        <w:t xml:space="preserve"> </w:t>
      </w:r>
      <w:r>
        <w:t xml:space="preserve">— JSTOR verified]</w:t>
      </w:r>
    </w:p>
    <w:p>
      <w:pPr>
        <w:pStyle w:val="BodyText"/>
      </w:pPr>
      <w:r>
        <w:t xml:space="preserve">[6] F. Black and R. Litterman,</w:t>
      </w:r>
      <w:r>
        <w:t xml:space="preserve"> </w:t>
      </w:r>
      <w:r>
        <w:t xml:space="preserve">“Global Portfolio Optimization,”</w:t>
      </w:r>
      <w:r>
        <w:t xml:space="preserve"> </w:t>
      </w:r>
      <w:r>
        <w:t xml:space="preserve">Financial Analysts Journal,</w:t>
      </w:r>
      <w:r>
        <w:t xml:space="preserve"> </w:t>
      </w:r>
      <w:r>
        <w:t xml:space="preserve">1992, 48(5), 28–43.</w:t>
      </w:r>
      <w:r>
        <w:t xml:space="preserve"> </w:t>
      </w:r>
      <w:r>
        <w:t xml:space="preserve">[Google Scholar:</w:t>
      </w:r>
      <w:r>
        <w:t xml:space="preserve"> </w:t>
      </w:r>
      <w:r>
        <w:t xml:space="preserve">“Black Litterman 1992 Global Portfolio Optimization”</w:t>
      </w:r>
      <w:r>
        <w:t xml:space="preserve"> </w:t>
      </w:r>
      <w:r>
        <w:t xml:space="preserve">— CFA Institute]</w:t>
      </w:r>
    </w:p>
    <w:p>
      <w:pPr>
        <w:pStyle w:val="BodyText"/>
      </w:pPr>
      <w:r>
        <w:t xml:space="preserve">[7] R.T. Rockafellar and S. Uryasev,</w:t>
      </w:r>
      <w:r>
        <w:t xml:space="preserve"> </w:t>
      </w:r>
      <w:r>
        <w:t xml:space="preserve">“Conditional Value-at-Risk for General Loss Distributions,”</w:t>
      </w:r>
      <w:r>
        <w:t xml:space="preserve"> </w:t>
      </w:r>
      <w:r>
        <w:t xml:space="preserve">Journal of Banking and Finance, 2002, 26(7), 1443–1471.</w:t>
      </w:r>
      <w:r>
        <w:t xml:space="preserve"> </w:t>
      </w:r>
      <w:r>
        <w:t xml:space="preserve">[Google Scholar:</w:t>
      </w:r>
      <w:r>
        <w:t xml:space="preserve"> </w:t>
      </w:r>
      <w:r>
        <w:t xml:space="preserve">“Rockafellar Uryasev CVaR 2002”</w:t>
      </w:r>
      <w:r>
        <w:t xml:space="preserve"> </w:t>
      </w:r>
      <w:r>
        <w:t xml:space="preserve">— widely cited risk paper]</w:t>
      </w:r>
    </w:p>
    <w:p>
      <w:pPr>
        <w:pStyle w:val="BodyText"/>
      </w:pPr>
      <w:r>
        <w:t xml:space="preserve">[8] P. Glasserman. Monte Carlo Methods in Financial Engineering; Springer-Verlag, New York, 2004.</w:t>
      </w:r>
      <w:r>
        <w:t xml:space="preserve"> </w:t>
      </w:r>
      <w:r>
        <w:t xml:space="preserve">[ISBN: 978-0-387-00451-8 — available in most university libraries]</w:t>
      </w:r>
    </w:p>
    <w:bookmarkEnd w:id="73"/>
    <w:bookmarkStart w:id="77" w:name="deep-reinforcement-learning-in-finance"/>
    <w:p>
      <w:pPr>
        <w:pStyle w:val="Heading4"/>
      </w:pPr>
      <w:r>
        <w:t xml:space="preserve">2.2 Deep Reinforcement Learning in Finance</w:t>
      </w:r>
    </w:p>
    <w:p>
      <w:pPr>
        <w:pStyle w:val="FirstParagraph"/>
      </w:pPr>
      <w:r>
        <w:t xml:space="preserve">[9] R.S. Sutton and A.G. Barto. Reinforcement Learning: An Introduction; 2nd Edn;</w:t>
      </w:r>
      <w:r>
        <w:t xml:space="preserve"> </w:t>
      </w:r>
      <w:r>
        <w:t xml:space="preserve">MIT Press, Cambridge MA, 2018.</w:t>
      </w:r>
      <w:r>
        <w:t xml:space="preserve"> </w:t>
      </w:r>
      <w:r>
        <w:t xml:space="preserve">[Standard textbook — free PDF at http://incompleteideas.net/book/the-book.html]</w:t>
      </w:r>
    </w:p>
    <w:p>
      <w:pPr>
        <w:pStyle w:val="BodyText"/>
      </w:pPr>
      <w:r>
        <w:t xml:space="preserve">[10] V. Mnih, K. Kavukcuoglu, D. Silver et al.,</w:t>
      </w:r>
      <w:r>
        <w:t xml:space="preserve"> </w:t>
      </w:r>
      <w:r>
        <w:t xml:space="preserve">“Human-level control through deep reinforcement</w:t>
      </w:r>
      <w:r>
        <w:t xml:space="preserve"> </w:t>
      </w:r>
      <w:r>
        <w:t xml:space="preserve">learning,”</w:t>
      </w:r>
      <w:r>
        <w:t xml:space="preserve"> </w:t>
      </w:r>
      <w:r>
        <w:t xml:space="preserve">Nature, 2015, 518, 529–533.</w:t>
      </w:r>
      <w:r>
        <w:t xml:space="preserve"> </w:t>
      </w:r>
      <w:r>
        <w:t xml:space="preserve">[Google Scholar:</w:t>
      </w:r>
      <w:r>
        <w:t xml:space="preserve"> </w:t>
      </w:r>
      <w:r>
        <w:t xml:space="preserve">“Mnih 2015 Human-level control deep reinforcement learning Nature”</w:t>
      </w:r>
      <w:r>
        <w:t xml:space="preserve">]</w:t>
      </w:r>
    </w:p>
    <w:p>
      <w:pPr>
        <w:pStyle w:val="BodyText"/>
      </w:pPr>
      <w:r>
        <w:t xml:space="preserve">[11] D. Silver, G. Lever, N. Heess, T. Degris, D. Wierstra and M. Riedmiller,</w:t>
      </w:r>
      <w:r>
        <w:t xml:space="preserve"> </w:t>
      </w:r>
      <w:r>
        <w:t xml:space="preserve">“Deterministic</w:t>
      </w:r>
      <w:r>
        <w:t xml:space="preserve"> </w:t>
      </w:r>
      <w:r>
        <w:t xml:space="preserve">Policy Gradient Algorithms,”</w:t>
      </w:r>
      <w:r>
        <w:t xml:space="preserve"> </w:t>
      </w:r>
      <w:r>
        <w:t xml:space="preserve">Proceedings of ICML, Beijing, PMLR, 2014, pp. 387–395.</w:t>
      </w:r>
      <w:r>
        <w:t xml:space="preserve"> </w:t>
      </w:r>
      <w:r>
        <w:t xml:space="preserve">[Google Scholar:</w:t>
      </w:r>
      <w:r>
        <w:t xml:space="preserve"> </w:t>
      </w:r>
      <w:r>
        <w:t xml:space="preserve">“Silver 2014 Deterministic Policy Gradient”</w:t>
      </w:r>
      <w:r>
        <w:t xml:space="preserve"> </w:t>
      </w:r>
      <w:r>
        <w:t xml:space="preserve">— ICML proceedings]</w:t>
      </w:r>
    </w:p>
    <w:p>
      <w:pPr>
        <w:pStyle w:val="BodyText"/>
      </w:pPr>
      <w:r>
        <w:t xml:space="preserve">[12] T.P. Lillicrap, J.J. Hunt, A. Pritzel et al.,</w:t>
      </w:r>
      <w:r>
        <w:t xml:space="preserve"> </w:t>
      </w:r>
      <w:r>
        <w:t xml:space="preserve">“Continuous control with deep reinforcement</w:t>
      </w:r>
      <w:r>
        <w:t xml:space="preserve"> </w:t>
      </w:r>
      <w:r>
        <w:t xml:space="preserve">learning,”</w:t>
      </w:r>
      <w:r>
        <w:t xml:space="preserve"> </w:t>
      </w:r>
      <w:r>
        <w:t xml:space="preserve">Proceedings of ICLR, San Juan, 2016.</w:t>
      </w:r>
      <w:r>
        <w:t xml:space="preserve"> </w:t>
      </w:r>
      <w:r>
        <w:t xml:space="preserve">[arXiv:1509.02971 — this is the actual DDPG paper]</w:t>
      </w:r>
    </w:p>
    <w:p>
      <w:pPr>
        <w:pStyle w:val="BodyText"/>
      </w:pPr>
      <w:r>
        <w:t xml:space="preserve">[13] J. Schulman, F. Wolski, P. Dhariwal, A. Radford and O. Klimov,</w:t>
      </w:r>
      <w:r>
        <w:t xml:space="preserve"> </w:t>
      </w:r>
      <w:r>
        <w:t xml:space="preserve">“Proximal Policy</w:t>
      </w:r>
      <w:r>
        <w:t xml:space="preserve"> </w:t>
      </w:r>
      <w:r>
        <w:t xml:space="preserve">Optimization Algorithms,”</w:t>
      </w:r>
      <w:r>
        <w:t xml:space="preserve"> </w:t>
      </w:r>
      <w:r>
        <w:t xml:space="preserve">arXiv:1707.06347, July 2017.</w:t>
      </w:r>
      <w:r>
        <w:t xml:space="preserve"> </w:t>
      </w:r>
      <w:r>
        <w:t xml:space="preserve">URL: https://arxiv.org/abs/1707.06347</w:t>
      </w:r>
    </w:p>
    <w:p>
      <w:pPr>
        <w:pStyle w:val="BodyText"/>
      </w:pPr>
      <w:r>
        <w:t xml:space="preserve">[14] T. Haarnoja, A. Zhou, P. Abbeel and S. Levine,</w:t>
      </w:r>
      <w:r>
        <w:t xml:space="preserve"> </w:t>
      </w:r>
      <w:r>
        <w:t xml:space="preserve">“Soft Actor-Critic: Off-Policy Maximum</w:t>
      </w:r>
      <w:r>
        <w:t xml:space="preserve"> </w:t>
      </w:r>
      <w:r>
        <w:t xml:space="preserve">Entropy Deep Reinforcement Learning with a Stochastic Actor,”</w:t>
      </w:r>
      <w:r>
        <w:t xml:space="preserve"> </w:t>
      </w:r>
      <w:r>
        <w:t xml:space="preserve">Proceedings of ICML,</w:t>
      </w:r>
      <w:r>
        <w:t xml:space="preserve"> </w:t>
      </w:r>
      <w:r>
        <w:t xml:space="preserve">Stockholm, PMLR, 2018, pp. 1861–1870.</w:t>
      </w:r>
      <w:r>
        <w:t xml:space="preserve"> </w:t>
      </w:r>
      <w:r>
        <w:t xml:space="preserve">[Google Scholar:</w:t>
      </w:r>
      <w:r>
        <w:t xml:space="preserve"> </w:t>
      </w:r>
      <w:r>
        <w:t xml:space="preserve">“Haarnoja 2018 Soft Actor-Critic ICML”</w:t>
      </w:r>
      <w:r>
        <w:t xml:space="preserve">]</w:t>
      </w:r>
    </w:p>
    <w:p>
      <w:pPr>
        <w:pStyle w:val="BodyText"/>
      </w:pPr>
      <w:r>
        <w:t xml:space="preserve">[15] S. Fujimoto, H. van Hoof and D. Meger,</w:t>
      </w:r>
      <w:r>
        <w:t xml:space="preserve"> </w:t>
      </w:r>
      <w:r>
        <w:t xml:space="preserve">“Addressing Function Approximation Error in</w:t>
      </w:r>
      <w:r>
        <w:t xml:space="preserve"> </w:t>
      </w:r>
      <w:r>
        <w:t xml:space="preserve">Actor-Critic Methods,”</w:t>
      </w:r>
      <w:r>
        <w:t xml:space="preserve"> </w:t>
      </w:r>
      <w:r>
        <w:t xml:space="preserve">Proceedings of ICML, Stockholm, PMLR, 2018, pp. 1587–1596.</w:t>
      </w:r>
      <w:r>
        <w:t xml:space="preserve"> </w:t>
      </w:r>
      <w:r>
        <w:t xml:space="preserve">[Google Scholar:</w:t>
      </w:r>
      <w:r>
        <w:t xml:space="preserve"> </w:t>
      </w:r>
      <w:r>
        <w:t xml:space="preserve">“Fujimoto 2018 TD3 Addressing Function Approximation ICML”</w:t>
      </w:r>
      <w:r>
        <w:t xml:space="preserve">]</w:t>
      </w:r>
    </w:p>
    <w:p>
      <w:pPr>
        <w:pStyle w:val="BodyText"/>
      </w:pPr>
      <w:r>
        <w:t xml:space="preserve">[16] V. Mnih, A.P. Badia, M. Mirza et al.,</w:t>
      </w:r>
      <w:r>
        <w:t xml:space="preserve"> </w:t>
      </w:r>
      <w:r>
        <w:t xml:space="preserve">“Asynchronous Methods for Deep Reinforcement</w:t>
      </w:r>
      <w:r>
        <w:t xml:space="preserve"> </w:t>
      </w:r>
      <w:r>
        <w:t xml:space="preserve">Learning,”</w:t>
      </w:r>
      <w:r>
        <w:t xml:space="preserve"> </w:t>
      </w:r>
      <w:r>
        <w:t xml:space="preserve">Proceedings of ICML, New York, PMLR, 2016, pp. 1928–1937.</w:t>
      </w:r>
      <w:r>
        <w:t xml:space="preserve"> </w:t>
      </w:r>
      <w:r>
        <w:t xml:space="preserve">[Google Scholar:</w:t>
      </w:r>
      <w:r>
        <w:t xml:space="preserve"> </w:t>
      </w:r>
      <w:r>
        <w:t xml:space="preserve">“Mnih 2016 Asynchronous Methods A3C ICML”</w:t>
      </w:r>
      <w:r>
        <w:t xml:space="preserve"> </w:t>
      </w:r>
      <w:r>
        <w:t xml:space="preserve">— A2C derives from this]</w:t>
      </w:r>
    </w:p>
    <w:p>
      <w:pPr>
        <w:pStyle w:val="BodyText"/>
      </w:pPr>
      <w:r>
        <w:t xml:space="preserve">[17] X.-Y. Liu, H. Yang, J. Gao and C.D. Wang,</w:t>
      </w:r>
      <w:r>
        <w:t xml:space="preserve"> </w:t>
      </w:r>
      <w:r>
        <w:t xml:space="preserve">“FinRL: A Deep Reinforcement Learning Library</w:t>
      </w:r>
      <w:r>
        <w:t xml:space="preserve"> </w:t>
      </w:r>
      <w:r>
        <w:t xml:space="preserve">for Automated Stock Trading in Quantitative Finance,”</w:t>
      </w:r>
      <w:r>
        <w:t xml:space="preserve"> </w:t>
      </w:r>
      <w:r>
        <w:t xml:space="preserve">Proceedings of ACM ICAIF, 2021.</w:t>
      </w:r>
      <w:r>
        <w:t xml:space="preserve"> </w:t>
      </w:r>
      <w:r>
        <w:t xml:space="preserve">[arXiv:2011.09607 — Google Scholar:</w:t>
      </w:r>
      <w:r>
        <w:t xml:space="preserve"> </w:t>
      </w:r>
      <w:r>
        <w:t xml:space="preserve">“Liu FinRL 2021”</w:t>
      </w:r>
      <w:r>
        <w:t xml:space="preserve">]</w:t>
      </w:r>
    </w:p>
    <w:p>
      <w:pPr>
        <w:pStyle w:val="BodyText"/>
      </w:pPr>
      <w:r>
        <w:t xml:space="preserve">[18] A. Raffin, A. Hill, A. Gleave, A. Kanervisto, M. Ernestus and N. Dormann,</w:t>
      </w:r>
      <w:r>
        <w:t xml:space="preserve"> </w:t>
      </w:r>
      <w:r>
        <w:t xml:space="preserve">“Stable-Baselines3:</w:t>
      </w:r>
      <w:r>
        <w:t xml:space="preserve"> </w:t>
      </w:r>
      <w:r>
        <w:t xml:space="preserve">Reliable Reinforcement Learning Implementations,”</w:t>
      </w:r>
      <w:r>
        <w:t xml:space="preserve"> </w:t>
      </w:r>
      <w:r>
        <w:t xml:space="preserve">Journal of Machine Learning Research,</w:t>
      </w:r>
      <w:r>
        <w:t xml:space="preserve"> </w:t>
      </w:r>
      <w:r>
        <w:t xml:space="preserve">2021, 22(268), 1–8.</w:t>
      </w:r>
      <w:r>
        <w:t xml:space="preserve"> </w:t>
      </w:r>
      <w:r>
        <w:t xml:space="preserve">URL: https://jmlr.org/papers/v22/20-1364.html</w:t>
      </w:r>
    </w:p>
    <w:bookmarkEnd w:id="74"/>
    <w:bookmarkStart w:id="78" w:name="graph-neural-networks-for-stock-markets"/>
    <w:p>
      <w:pPr>
        <w:pStyle w:val="Heading4"/>
      </w:pPr>
      <w:r>
        <w:t xml:space="preserve">2.3 Graph Neural Networks for Stock Markets</w:t>
      </w:r>
    </w:p>
    <w:p>
      <w:pPr>
        <w:pStyle w:val="FirstParagraph"/>
      </w:pPr>
      <w:r>
        <w:t xml:space="preserve">[19] T.N. Kipf and M. Welling,</w:t>
      </w:r>
      <w:r>
        <w:t xml:space="preserve"> </w:t>
      </w:r>
      <w:r>
        <w:t xml:space="preserve">“Semi-Supervised Classification with Graph Convolutional Networks,”</w:t>
      </w:r>
      <w:r>
        <w:t xml:space="preserve"> </w:t>
      </w:r>
      <w:r>
        <w:t xml:space="preserve">Proceedings of ICLR, Toulon, 2017.</w:t>
      </w:r>
      <w:r>
        <w:t xml:space="preserve"> </w:t>
      </w:r>
      <w:r>
        <w:t xml:space="preserve">[arXiv:1609.02907 — Google Scholar:</w:t>
      </w:r>
      <w:r>
        <w:t xml:space="preserve"> </w:t>
      </w:r>
      <w:r>
        <w:t xml:space="preserve">“Kipf Welling GCN ICLR 2017”</w:t>
      </w:r>
      <w:r>
        <w:t xml:space="preserve">]</w:t>
      </w:r>
    </w:p>
    <w:p>
      <w:pPr>
        <w:pStyle w:val="BodyText"/>
      </w:pPr>
      <w:r>
        <w:t xml:space="preserve">[20] P. Velickovic, G. Cucurull, A. Casanova, A. Romero, P. Lio and Y. Bengio,</w:t>
      </w:r>
      <w:r>
        <w:t xml:space="preserve"> </w:t>
      </w:r>
      <w:r>
        <w:t xml:space="preserve">“Graph Attention</w:t>
      </w:r>
      <w:r>
        <w:t xml:space="preserve"> </w:t>
      </w:r>
      <w:r>
        <w:t xml:space="preserve">Networks,”</w:t>
      </w:r>
      <w:r>
        <w:t xml:space="preserve"> </w:t>
      </w:r>
      <w:r>
        <w:t xml:space="preserve">Proceedings of ICLR, Vancouver, 2018.</w:t>
      </w:r>
      <w:r>
        <w:t xml:space="preserve"> </w:t>
      </w:r>
      <w:r>
        <w:t xml:space="preserve">[arXiv:1710.10903 — Google Scholar:</w:t>
      </w:r>
      <w:r>
        <w:t xml:space="preserve"> </w:t>
      </w:r>
      <w:r>
        <w:t xml:space="preserve">“Velickovic GAT 2018 ICLR”</w:t>
      </w:r>
      <w:r>
        <w:t xml:space="preserve">]</w:t>
      </w:r>
    </w:p>
    <w:p>
      <w:pPr>
        <w:pStyle w:val="BodyText"/>
      </w:pPr>
      <w:r>
        <w:t xml:space="preserve">[21] A. Vaswani, N. Shazeer, N. Parmar et al.,</w:t>
      </w:r>
      <w:r>
        <w:t xml:space="preserve"> </w:t>
      </w:r>
      <w:r>
        <w:t xml:space="preserve">“Attention Is All You Need,”</w:t>
      </w:r>
      <w:r>
        <w:t xml:space="preserve"> </w:t>
      </w:r>
      <w:r>
        <w:t xml:space="preserve">Advances in Neural</w:t>
      </w:r>
      <w:r>
        <w:t xml:space="preserve"> </w:t>
      </w:r>
      <w:r>
        <w:t xml:space="preserve">Information Processing Systems (NeurIPS), 2017, 30, 5998–6008.</w:t>
      </w:r>
      <w:r>
        <w:t xml:space="preserve"> </w:t>
      </w:r>
      <w:r>
        <w:t xml:space="preserve">[Google Scholar:</w:t>
      </w:r>
      <w:r>
        <w:t xml:space="preserve"> </w:t>
      </w:r>
      <w:r>
        <w:t xml:space="preserve">“Vaswani 2017 Attention is all you need NeurIPS”</w:t>
      </w:r>
      <w:r>
        <w:t xml:space="preserve">]</w:t>
      </w:r>
    </w:p>
    <w:p>
      <w:pPr>
        <w:pStyle w:val="BodyText"/>
      </w:pPr>
      <w:r>
        <w:t xml:space="preserve">[22] F. Feng, X. He, J. Tang and T.-S. Chua,</w:t>
      </w:r>
      <w:r>
        <w:t xml:space="preserve"> </w:t>
      </w:r>
      <w:r>
        <w:t xml:space="preserve">“Temporal Relational Ranking for Stock Prediction,”</w:t>
      </w:r>
      <w:r>
        <w:t xml:space="preserve"> </w:t>
      </w:r>
      <w:r>
        <w:t xml:space="preserve">ACM Transactions on Information Systems, 2019, 37(2), Article 27, 30 pages.</w:t>
      </w:r>
      <w:r>
        <w:t xml:space="preserve"> </w:t>
      </w:r>
      <w:r>
        <w:t xml:space="preserve">[Google Scholar:</w:t>
      </w:r>
      <w:r>
        <w:t xml:space="preserve"> </w:t>
      </w:r>
      <w:r>
        <w:t xml:space="preserve">“Feng 2019 Temporal Relational Ranking Stock ACM TOIS”</w:t>
      </w:r>
      <w:r>
        <w:t xml:space="preserve">]</w:t>
      </w:r>
    </w:p>
    <w:p>
      <w:pPr>
        <w:pStyle w:val="BodyText"/>
      </w:pPr>
      <w:r>
        <w:t xml:space="preserve">[23] L. Zhao, Y. Song, C. Zhang et al.,</w:t>
      </w:r>
      <w:r>
        <w:t xml:space="preserve"> </w:t>
      </w:r>
      <w:r>
        <w:t xml:space="preserve">“T-GCN: A Temporal Graph Convolutional Network for</w:t>
      </w:r>
      <w:r>
        <w:t xml:space="preserve"> </w:t>
      </w:r>
      <w:r>
        <w:t xml:space="preserve">Traffic Prediction,”</w:t>
      </w:r>
      <w:r>
        <w:t xml:space="preserve"> </w:t>
      </w:r>
      <w:r>
        <w:t xml:space="preserve">IEEE Transactions on Intelligent Transportation Systems, 2020,</w:t>
      </w:r>
      <w:r>
        <w:t xml:space="preserve"> </w:t>
      </w:r>
      <w:r>
        <w:t xml:space="preserve">21(9), 3848–3858.</w:t>
      </w:r>
      <w:r>
        <w:t xml:space="preserve"> </w:t>
      </w:r>
      <w:r>
        <w:t xml:space="preserve">[Google Scholar:</w:t>
      </w:r>
      <w:r>
        <w:t xml:space="preserve"> </w:t>
      </w:r>
      <w:r>
        <w:t xml:space="preserve">“Zhao T-GCN Temporal Graph Convolutional 2020 IEEE”</w:t>
      </w:r>
      <w:r>
        <w:t xml:space="preserve"> </w:t>
      </w:r>
      <w:r>
        <w:t xml:space="preserve">— key temporal GNN paper]</w:t>
      </w:r>
    </w:p>
    <w:bookmarkEnd w:id="75"/>
    <w:bookmarkStart w:id="79" w:name="financial-sentiment-analysis"/>
    <w:p>
      <w:pPr>
        <w:pStyle w:val="Heading4"/>
      </w:pPr>
      <w:r>
        <w:t xml:space="preserve">2.4 Financial Sentiment Analysis</w:t>
      </w:r>
    </w:p>
    <w:p>
      <w:pPr>
        <w:pStyle w:val="FirstParagraph"/>
      </w:pPr>
      <w:r>
        <w:t xml:space="preserve">[24] T. Loughran and B. McDonald,</w:t>
      </w:r>
      <w:r>
        <w:t xml:space="preserve"> </w:t>
      </w:r>
      <w:r>
        <w:t xml:space="preserve">“When Is a Liability Not a Liability? Textual Analysis,</w:t>
      </w:r>
      <w:r>
        <w:t xml:space="preserve"> </w:t>
      </w:r>
      <w:r>
        <w:t xml:space="preserve">Dictionaries, and 10-Ks,”</w:t>
      </w:r>
      <w:r>
        <w:t xml:space="preserve"> </w:t>
      </w:r>
      <w:r>
        <w:t xml:space="preserve">Journal of Finance, 2011, 66(1), 35–65.</w:t>
      </w:r>
      <w:r>
        <w:t xml:space="preserve"> </w:t>
      </w:r>
      <w:r>
        <w:t xml:space="preserve">[Google Scholar:</w:t>
      </w:r>
      <w:r>
        <w:t xml:space="preserve"> </w:t>
      </w:r>
      <w:r>
        <w:t xml:space="preserve">“Loughran McDonald 2011 Textual Analysis Finance”</w:t>
      </w:r>
      <w:r>
        <w:t xml:space="preserve">]</w:t>
      </w:r>
    </w:p>
    <w:p>
      <w:pPr>
        <w:pStyle w:val="BodyText"/>
      </w:pPr>
      <w:r>
        <w:t xml:space="preserve">[25] J. Devlin, M.-W. Chang, K. Lee and K. Toutanova,</w:t>
      </w:r>
      <w:r>
        <w:t xml:space="preserve"> </w:t>
      </w:r>
      <w:r>
        <w:t xml:space="preserve">“BERT: Pre-training of Deep Bidirectional</w:t>
      </w:r>
      <w:r>
        <w:t xml:space="preserve"> </w:t>
      </w:r>
      <w:r>
        <w:t xml:space="preserve">Transformers for Language Understanding,”</w:t>
      </w:r>
      <w:r>
        <w:t xml:space="preserve"> </w:t>
      </w:r>
      <w:r>
        <w:t xml:space="preserve">Proceedings of NAACL-HLT, Minneapolis, 2019,</w:t>
      </w:r>
      <w:r>
        <w:t xml:space="preserve"> </w:t>
      </w:r>
      <w:r>
        <w:t xml:space="preserve">pp. 4171–4186.</w:t>
      </w:r>
      <w:r>
        <w:t xml:space="preserve"> </w:t>
      </w:r>
      <w:r>
        <w:t xml:space="preserve">[arXiv:1810.04805 — Google Scholar:</w:t>
      </w:r>
      <w:r>
        <w:t xml:space="preserve"> </w:t>
      </w:r>
      <w:r>
        <w:t xml:space="preserve">“Devlin 2019 BERT NAACL”</w:t>
      </w:r>
      <w:r>
        <w:t xml:space="preserve">]</w:t>
      </w:r>
    </w:p>
    <w:p>
      <w:pPr>
        <w:pStyle w:val="BodyText"/>
      </w:pPr>
      <w:r>
        <w:t xml:space="preserve">[26] D. Araci,</w:t>
      </w:r>
      <w:r>
        <w:t xml:space="preserve"> </w:t>
      </w:r>
      <w:r>
        <w:t xml:space="preserve">“FinBERT: Financial Sentiment Analysis with Pre-trained Language Models,”</w:t>
      </w:r>
      <w:r>
        <w:t xml:space="preserve"> </w:t>
      </w:r>
      <w:r>
        <w:t xml:space="preserve">arXiv:1908.10063, August 2019.</w:t>
      </w:r>
      <w:r>
        <w:t xml:space="preserve"> </w:t>
      </w:r>
      <w:r>
        <w:t xml:space="preserve">URL: https://arxiv.org/abs/1908.10063</w:t>
      </w:r>
    </w:p>
    <w:p>
      <w:pPr>
        <w:pStyle w:val="BodyText"/>
      </w:pPr>
      <w:r>
        <w:t xml:space="preserve">[27] J. Bollen, H. Mao and X. Zeng,</w:t>
      </w:r>
      <w:r>
        <w:t xml:space="preserve"> </w:t>
      </w:r>
      <w:r>
        <w:t xml:space="preserve">“Twitter mood predicts the stock market,”</w:t>
      </w:r>
      <w:r>
        <w:t xml:space="preserve"> </w:t>
      </w:r>
      <w:r>
        <w:t xml:space="preserve">Journal of</w:t>
      </w:r>
      <w:r>
        <w:t xml:space="preserve"> </w:t>
      </w:r>
      <w:r>
        <w:t xml:space="preserve">Computational Science, 2011, 2(1), 1–8.</w:t>
      </w:r>
      <w:r>
        <w:t xml:space="preserve"> </w:t>
      </w:r>
      <w:r>
        <w:t xml:space="preserve">[Google Scholar:</w:t>
      </w:r>
      <w:r>
        <w:t xml:space="preserve"> </w:t>
      </w:r>
      <w:r>
        <w:t xml:space="preserve">“Bollen 2011 Twitter mood predicts stock market”</w:t>
      </w:r>
      <w:r>
        <w:t xml:space="preserve"> </w:t>
      </w:r>
      <w:r>
        <w:t xml:space="preserve">— classic sentiment paper]</w:t>
      </w:r>
    </w:p>
    <w:bookmarkEnd w:id="76"/>
    <w:bookmarkStart w:id="80" w:name="federated-learning-in-finance"/>
    <w:p>
      <w:pPr>
        <w:pStyle w:val="Heading4"/>
      </w:pPr>
      <w:r>
        <w:t xml:space="preserve">2.5 Federated Learning in Finance</w:t>
      </w:r>
    </w:p>
    <w:p>
      <w:pPr>
        <w:pStyle w:val="FirstParagraph"/>
      </w:pPr>
      <w:r>
        <w:t xml:space="preserve">[28] H.B. McMahan, E. Moore, D. Ramage, S. Hampson and B. Agüera y Arcas,</w:t>
      </w:r>
      <w:r>
        <w:t xml:space="preserve"> </w:t>
      </w:r>
      <w:r>
        <w:t xml:space="preserve">“Communication-</w:t>
      </w:r>
      <w:r>
        <w:t xml:space="preserve"> </w:t>
      </w:r>
      <w:r>
        <w:t xml:space="preserve">Efficient Learning of Deep Networks from Decentralized Data,”</w:t>
      </w:r>
      <w:r>
        <w:t xml:space="preserve"> </w:t>
      </w:r>
      <w:r>
        <w:t xml:space="preserve">Proceedings of AISTATS,</w:t>
      </w:r>
      <w:r>
        <w:t xml:space="preserve"> </w:t>
      </w:r>
      <w:r>
        <w:t xml:space="preserve">Fort Lauderdale, 2017, pp. 1273–1282.</w:t>
      </w:r>
      <w:r>
        <w:t xml:space="preserve"> </w:t>
      </w:r>
      <w:r>
        <w:t xml:space="preserve">[arXiv:1602.05629 — Google Scholar:</w:t>
      </w:r>
      <w:r>
        <w:t xml:space="preserve"> </w:t>
      </w:r>
      <w:r>
        <w:t xml:space="preserve">“McMahan 2017 FedAvg Communication Efficient AISTATS”</w:t>
      </w:r>
      <w:r>
        <w:t xml:space="preserve">]</w:t>
      </w:r>
    </w:p>
    <w:p>
      <w:pPr>
        <w:pStyle w:val="BodyText"/>
      </w:pPr>
      <w:r>
        <w:t xml:space="preserve">[29] T. Li, A.K. Sahu, M. Zaheer, M. Sanjabi, A. Smola and V. Smith,</w:t>
      </w:r>
      <w:r>
        <w:t xml:space="preserve"> </w:t>
      </w:r>
      <w:r>
        <w:t xml:space="preserve">“Federated Optimization</w:t>
      </w:r>
      <w:r>
        <w:t xml:space="preserve"> </w:t>
      </w:r>
      <w:r>
        <w:t xml:space="preserve">in Heterogeneous Networks,”</w:t>
      </w:r>
      <w:r>
        <w:t xml:space="preserve"> </w:t>
      </w:r>
      <w:r>
        <w:t xml:space="preserve">Proceedings of MLSys, 2020.</w:t>
      </w:r>
      <w:r>
        <w:t xml:space="preserve"> </w:t>
      </w:r>
      <w:r>
        <w:t xml:space="preserve">[arXiv:1812.06127 — Google Scholar:</w:t>
      </w:r>
      <w:r>
        <w:t xml:space="preserve"> </w:t>
      </w:r>
      <w:r>
        <w:t xml:space="preserve">“Li 2020 FedProx Federated Optimization MLSys”</w:t>
      </w:r>
      <w:r>
        <w:t xml:space="preserve">]</w:t>
      </w:r>
    </w:p>
    <w:p>
      <w:pPr>
        <w:pStyle w:val="BodyText"/>
      </w:pPr>
      <w:r>
        <w:t xml:space="preserve">[30] M. Abadi, A. Chu, I. Goodfellow et al.,</w:t>
      </w:r>
      <w:r>
        <w:t xml:space="preserve"> </w:t>
      </w:r>
      <w:r>
        <w:t xml:space="preserve">“Deep Learning with Differential Privacy,”</w:t>
      </w:r>
      <w:r>
        <w:t xml:space="preserve"> </w:t>
      </w:r>
      <w:r>
        <w:t xml:space="preserve">Proceedings of ACM CCS, Vienna, 2016, pp. 308–318.</w:t>
      </w:r>
      <w:r>
        <w:t xml:space="preserve"> </w:t>
      </w:r>
      <w:r>
        <w:t xml:space="preserve">[Google Scholar:</w:t>
      </w:r>
      <w:r>
        <w:t xml:space="preserve"> </w:t>
      </w:r>
      <w:r>
        <w:t xml:space="preserve">“Abadi 2016 Deep Learning Differential Privacy CCS”</w:t>
      </w:r>
      <w:r>
        <w:t xml:space="preserve">]</w:t>
      </w:r>
    </w:p>
    <w:p>
      <w:pPr>
        <w:pStyle w:val="BodyText"/>
      </w:pPr>
      <w:r>
        <w:t xml:space="preserve">[31] Q. Yang, Y. Liu, T. Chen and Y. Tong,</w:t>
      </w:r>
      <w:r>
        <w:t xml:space="preserve"> </w:t>
      </w:r>
      <w:r>
        <w:t xml:space="preserve">“Federated Machine Learning: Concept and Applications,”</w:t>
      </w:r>
      <w:r>
        <w:t xml:space="preserve"> </w:t>
      </w:r>
      <w:r>
        <w:t xml:space="preserve">ACM Transactions on Intelligent Systems and Technology, 2019, 10(2), Article 12, 19 pages.</w:t>
      </w:r>
      <w:r>
        <w:t xml:space="preserve"> </w:t>
      </w:r>
      <w:r>
        <w:t xml:space="preserve">[Google Scholar:</w:t>
      </w:r>
      <w:r>
        <w:t xml:space="preserve"> </w:t>
      </w:r>
      <w:r>
        <w:t xml:space="preserve">“Yang 2019 Federated Machine Learning Concept ACM TIST”</w:t>
      </w:r>
      <w:r>
        <w:t xml:space="preserve">]</w:t>
      </w:r>
    </w:p>
    <w:bookmarkEnd w:id="77"/>
    <w:bookmarkStart w:id="81" w:name="monte-carlo-and-risk-management"/>
    <w:p>
      <w:pPr>
        <w:pStyle w:val="Heading4"/>
      </w:pPr>
      <w:r>
        <w:t xml:space="preserve">2.6 Monte Carlo and Risk Management</w:t>
      </w:r>
    </w:p>
    <w:p>
      <w:pPr>
        <w:pStyle w:val="FirstParagraph"/>
      </w:pPr>
      <w:r>
        <w:t xml:space="preserve">[32] P. Jorion. Value at Risk: The New Benchmark for Managing Financial Risk; 3rd Edn;</w:t>
      </w:r>
      <w:r>
        <w:t xml:space="preserve"> </w:t>
      </w:r>
      <w:r>
        <w:t xml:space="preserve">McGraw-Hill, New York, 2007.</w:t>
      </w:r>
      <w:r>
        <w:t xml:space="preserve"> </w:t>
      </w:r>
      <w:r>
        <w:t xml:space="preserve">[Standard VaR textbook — widely cited in finance dissertations]</w:t>
      </w:r>
    </w:p>
    <w:p>
      <w:r>
        <w:pict>
          <v:rect style="width:0;height:1.5pt" o:hralign="center" o:hrstd="t" o:hr="t"/>
        </w:pict>
      </w:r>
    </w:p>
    <w:bookmarkEnd w:id="78"/>
    <w:bookmarkEnd w:id="79"/>
    <w:bookmarkStart w:id="82" w:name="Xb63e26daa312140f4259cb96ed4d6ca78301220"/>
    <w:p>
      <w:pPr>
        <w:pStyle w:val="Heading3"/>
      </w:pPr>
      <w:r>
        <w:t xml:space="preserve">Chapter 3 — Methodology (Tools and Libraries)</w:t>
      </w:r>
    </w:p>
    <w:p>
      <w:pPr>
        <w:pStyle w:val="FirstParagraph"/>
      </w:pPr>
      <w:r>
        <w:t xml:space="preserve">[33] R. Aroussi,</w:t>
      </w:r>
      <w:r>
        <w:t xml:space="preserve"> </w:t>
      </w:r>
      <w:r>
        <w:t xml:space="preserve">“yfinance: Yahoo Finance market data downloader,”</w:t>
      </w:r>
      <w:r>
        <w:t xml:space="preserve"> </w:t>
      </w:r>
      <w:r>
        <w:t xml:space="preserve">GitHub, 2019.</w:t>
      </w:r>
      <w:r>
        <w:t xml:space="preserve"> </w:t>
      </w:r>
      <w:r>
        <w:t xml:space="preserve">URL: https://github.com/ranaroussi/yfinance</w:t>
      </w:r>
    </w:p>
    <w:p>
      <w:pPr>
        <w:pStyle w:val="BodyText"/>
      </w:pPr>
      <w:r>
        <w:t xml:space="preserve">[34] M. Fey and J.E. Lenssen,</w:t>
      </w:r>
      <w:r>
        <w:t xml:space="preserve"> </w:t>
      </w:r>
      <w:r>
        <w:t xml:space="preserve">“Fast Graph Representation Learning with PyTorch Geometric,”</w:t>
      </w:r>
      <w:r>
        <w:t xml:space="preserve"> </w:t>
      </w:r>
      <w:r>
        <w:t xml:space="preserve">Workshop on Representation Learning on Graphs and Manifolds, ICLR, New Orleans, 2019.</w:t>
      </w:r>
      <w:r>
        <w:t xml:space="preserve"> </w:t>
      </w:r>
      <w:r>
        <w:t xml:space="preserve">[arXiv:1903.02428 — Google Scholar:</w:t>
      </w:r>
      <w:r>
        <w:t xml:space="preserve"> </w:t>
      </w:r>
      <w:r>
        <w:t xml:space="preserve">“Fey Lenssen PyTorch Geometric 2019”</w:t>
      </w:r>
      <w:r>
        <w:t xml:space="preserve">]</w:t>
      </w:r>
    </w:p>
    <w:p>
      <w:pPr>
        <w:pStyle w:val="BodyText"/>
      </w:pPr>
      <w:r>
        <w:t xml:space="preserve">[35] ProsusAI,</w:t>
      </w:r>
      <w:r>
        <w:t xml:space="preserve"> </w:t>
      </w:r>
      <w:r>
        <w:t xml:space="preserve">“FinBERT: Financial Sentiment Analysis Model,”</w:t>
      </w:r>
      <w:r>
        <w:t xml:space="preserve"> </w:t>
      </w:r>
      <w:r>
        <w:t xml:space="preserve">Hugging Face Model Hub, 2020.</w:t>
      </w:r>
      <w:r>
        <w:t xml:space="preserve"> </w:t>
      </w:r>
      <w:r>
        <w:t xml:space="preserve">URL: https://huggingface.co/ProsusAI/finbert</w:t>
      </w:r>
    </w:p>
    <w:p>
      <w:pPr>
        <w:pStyle w:val="BodyText"/>
      </w:pPr>
      <w:r>
        <w:t xml:space="preserve">[36] G. Brockman, V. Cheung, L. Pettersson et al.,</w:t>
      </w:r>
      <w:r>
        <w:t xml:space="preserve"> </w:t>
      </w:r>
      <w:r>
        <w:t xml:space="preserve">“OpenAI Gym,”</w:t>
      </w:r>
      <w:r>
        <w:t xml:space="preserve"> </w:t>
      </w:r>
      <w:r>
        <w:t xml:space="preserve">arXiv:1606.01540, June 2016.</w:t>
      </w:r>
      <w:r>
        <w:t xml:space="preserve"> </w:t>
      </w:r>
      <w:r>
        <w:t xml:space="preserve">URL: https://arxiv.org/abs/1606.01540</w:t>
      </w:r>
      <w:r>
        <w:t xml:space="preserve"> </w:t>
      </w:r>
      <w:r>
        <w:t xml:space="preserve">[Gymnasium is the actively maintained fork: https://gymnasium.farama.org]</w:t>
      </w:r>
    </w:p>
    <w:p>
      <w:pPr>
        <w:pStyle w:val="BodyText"/>
      </w:pPr>
      <w:r>
        <w:t xml:space="preserve">[37] S. Ramirez,</w:t>
      </w:r>
      <w:r>
        <w:t xml:space="preserve"> </w:t>
      </w:r>
      <w:r>
        <w:t xml:space="preserve">“FastAPI: Modern, fast web framework for building APIs with Python 3.7+,”</w:t>
      </w:r>
      <w:r>
        <w:t xml:space="preserve"> </w:t>
      </w:r>
      <w:r>
        <w:t xml:space="preserve">2023.</w:t>
      </w:r>
      <w:r>
        <w:t xml:space="preserve"> </w:t>
      </w:r>
      <w:r>
        <w:t xml:space="preserve">URL: https://fastapi.tiangolo.com</w:t>
      </w:r>
    </w:p>
    <w:p>
      <w:pPr>
        <w:pStyle w:val="BodyText"/>
      </w:pPr>
      <w:r>
        <w:t xml:space="preserve">[38] D.J. Beutel, T. Topal, A. Mathur et al.,</w:t>
      </w:r>
      <w:r>
        <w:t xml:space="preserve"> </w:t>
      </w:r>
      <w:r>
        <w:t xml:space="preserve">“Flower: A Friendly Federated Learning Research</w:t>
      </w:r>
      <w:r>
        <w:t xml:space="preserve"> </w:t>
      </w:r>
      <w:r>
        <w:t xml:space="preserve">Framework,”</w:t>
      </w:r>
      <w:r>
        <w:t xml:space="preserve"> </w:t>
      </w:r>
      <w:r>
        <w:t xml:space="preserve">arXiv:2007.14390, July 2020.</w:t>
      </w:r>
      <w:r>
        <w:t xml:space="preserve"> </w:t>
      </w:r>
      <w:r>
        <w:t xml:space="preserve">URL: https://arxiv.org/abs/2007.14390</w:t>
      </w:r>
    </w:p>
    <w:p>
      <w:r>
        <w:pict>
          <v:rect style="width:0;height:1.5pt" o:hralign="center" o:hrstd="t" o:hr="t"/>
        </w:pict>
      </w:r>
    </w:p>
    <w:bookmarkEnd w:id="80"/>
    <w:bookmarkStart w:id="83" w:name="Xa8b80fac70592f8b589c78b6d3cf8ddf9cded9d"/>
    <w:p>
      <w:pPr>
        <w:pStyle w:val="Heading3"/>
      </w:pPr>
      <w:r>
        <w:t xml:space="preserve">Additional Domain References (Indian Market / Supporting)</w:t>
      </w:r>
    </w:p>
    <w:p>
      <w:pPr>
        <w:pStyle w:val="FirstParagraph"/>
      </w:pPr>
      <w:r>
        <w:t xml:space="preserve">[39] F.A. Sortino and R. van der Meer,</w:t>
      </w:r>
      <w:r>
        <w:t xml:space="preserve"> </w:t>
      </w:r>
      <w:r>
        <w:t xml:space="preserve">“Downside Risk,”</w:t>
      </w:r>
      <w:r>
        <w:t xml:space="preserve"> </w:t>
      </w:r>
      <w:r>
        <w:t xml:space="preserve">Journal of Portfolio Management,</w:t>
      </w:r>
      <w:r>
        <w:t xml:space="preserve"> </w:t>
      </w:r>
      <w:r>
        <w:t xml:space="preserve">1991, 17(4), 27–31.</w:t>
      </w:r>
      <w:r>
        <w:t xml:space="preserve"> </w:t>
      </w:r>
      <w:r>
        <w:t xml:space="preserve">[Google Scholar:</w:t>
      </w:r>
      <w:r>
        <w:t xml:space="preserve"> </w:t>
      </w:r>
      <w:r>
        <w:t xml:space="preserve">“Sortino 1991 Downside Risk”</w:t>
      </w:r>
      <w:r>
        <w:t xml:space="preserve"> </w:t>
      </w:r>
      <w:r>
        <w:t xml:space="preserve">— defines Sortino Ratio used in results]</w:t>
      </w:r>
    </w:p>
    <w:p>
      <w:pPr>
        <w:pStyle w:val="BodyText"/>
      </w:pPr>
      <w:r>
        <w:t xml:space="preserve">[40] R.C. Merton,</w:t>
      </w:r>
      <w:r>
        <w:t xml:space="preserve"> </w:t>
      </w:r>
      <w:r>
        <w:t xml:space="preserve">“An Intertemporal Capital Asset Pricing Model,”</w:t>
      </w:r>
      <w:r>
        <w:t xml:space="preserve"> </w:t>
      </w:r>
      <w:r>
        <w:t xml:space="preserve">Econometrica, 1973,</w:t>
      </w:r>
      <w:r>
        <w:t xml:space="preserve"> </w:t>
      </w:r>
      <w:r>
        <w:t xml:space="preserve">41(5), 867–887.</w:t>
      </w:r>
      <w:r>
        <w:t xml:space="preserve"> </w:t>
      </w:r>
      <w:r>
        <w:t xml:space="preserve">[Google Scholar:</w:t>
      </w:r>
      <w:r>
        <w:t xml:space="preserve"> </w:t>
      </w:r>
      <w:r>
        <w:t xml:space="preserve">“Merton 1973 Intertemporal CAPM Econometrica”</w:t>
      </w:r>
      <w:r>
        <w:t xml:space="preserve">]</w:t>
      </w:r>
    </w:p>
    <w:p>
      <w:pPr>
        <w:pStyle w:val="BodyText"/>
      </w:pPr>
      <w:r>
        <w:t xml:space="preserve">[41] R. Gupta and P.K. Basu,</w:t>
      </w:r>
      <w:r>
        <w:t xml:space="preserve"> </w:t>
      </w:r>
      <w:r>
        <w:t xml:space="preserve">“Weak Form Efficiency in Indian Stock Markets,”</w:t>
      </w:r>
      <w:r>
        <w:t xml:space="preserve"> </w:t>
      </w:r>
      <w:r>
        <w:t xml:space="preserve">International</w:t>
      </w:r>
      <w:r>
        <w:t xml:space="preserve"> </w:t>
      </w:r>
      <w:r>
        <w:t xml:space="preserve">Business and Economics Research Journal, 2007, 6(3), 57–64.</w:t>
      </w:r>
      <w:r>
        <w:t xml:space="preserve"> </w:t>
      </w:r>
      <w:r>
        <w:t xml:space="preserve">[Google Scholar:</w:t>
      </w:r>
      <w:r>
        <w:t xml:space="preserve"> </w:t>
      </w:r>
      <w:r>
        <w:t xml:space="preserve">“Gupta Basu 2007 Weak Form Efficiency Indian Stock Markets”</w:t>
      </w:r>
      <w:r>
        <w:t xml:space="preserve">]</w:t>
      </w:r>
    </w:p>
    <w:p>
      <w:pPr>
        <w:pStyle w:val="BodyText"/>
      </w:pPr>
      <w:r>
        <w:t xml:space="preserve">[42] A. Paszke, S. Gross, F. Massa et al.,</w:t>
      </w:r>
      <w:r>
        <w:t xml:space="preserve"> </w:t>
      </w:r>
      <w:r>
        <w:t xml:space="preserve">“PyTorch: An Imperative Style, High-Performance</w:t>
      </w:r>
      <w:r>
        <w:t xml:space="preserve"> </w:t>
      </w:r>
      <w:r>
        <w:t xml:space="preserve">Deep Learning Library,”</w:t>
      </w:r>
      <w:r>
        <w:t xml:space="preserve"> </w:t>
      </w:r>
      <w:r>
        <w:t xml:space="preserve">Advances in NeurIPS, 2019, 32, 8026–8037.</w:t>
      </w:r>
      <w:r>
        <w:t xml:space="preserve"> </w:t>
      </w:r>
      <w:r>
        <w:t xml:space="preserve">[Google Scholar:</w:t>
      </w:r>
      <w:r>
        <w:t xml:space="preserve"> </w:t>
      </w:r>
      <w:r>
        <w:t xml:space="preserve">“Paszke 2019 PyTorch NeurIPS”</w:t>
      </w:r>
      <w:r>
        <w:t xml:space="preserve"> </w:t>
      </w:r>
      <w:r>
        <w:t xml:space="preserve">— cite for PyTorch usage]</w:t>
      </w:r>
    </w:p>
    <w:p>
      <w:pPr>
        <w:pStyle w:val="BodyText"/>
      </w:pPr>
      <w:r>
        <w:t xml:space="preserve">[43] J. Sen, A. Jaiswal, A. Pathak, A.K. Majee, K. Kumar, M.K. Sarkar and S. Maji,</w:t>
      </w:r>
      <w:r>
        <w:t xml:space="preserve"> </w:t>
      </w:r>
      <w:r>
        <w:t xml:space="preserve">“A Comparative Analysis of Portfolio Optimization Using Mean-Variance, Hierarchical</w:t>
      </w:r>
      <w:r>
        <w:t xml:space="preserve"> </w:t>
      </w:r>
      <w:r>
        <w:t xml:space="preserve">Risk Parity, and Reinforcement Learning Approaches on the Indian Stock Market,”</w:t>
      </w:r>
      <w:r>
        <w:t xml:space="preserve"> </w:t>
      </w:r>
      <w:r>
        <w:t xml:space="preserve">arXiv:2305.17523, May 2023.</w:t>
      </w:r>
      <w:r>
        <w:t xml:space="preserve"> </w:t>
      </w:r>
      <w:r>
        <w:t xml:space="preserve">URL: https://arxiv.org/abs/2305.17523</w:t>
      </w:r>
      <w:r>
        <w:t xml:space="preserve"> </w:t>
      </w:r>
      <w:r>
        <w:t xml:space="preserve">[Verified on arXiv — NIFTY 50, compares MVP, HRP, and DQL approaches on Indian market]</w:t>
      </w:r>
    </w:p>
    <w:p>
      <w:pPr>
        <w:pStyle w:val="BodyText"/>
      </w:pPr>
      <w:r>
        <w:t xml:space="preserve">[44] J. Sen and A. Dutta,</w:t>
      </w:r>
      <w:r>
        <w:t xml:space="preserve"> </w:t>
      </w:r>
      <w:r>
        <w:t xml:space="preserve">“Design and Analysis of Optimized Portfolios for Selected Sectors</w:t>
      </w:r>
      <w:r>
        <w:t xml:space="preserve"> </w:t>
      </w:r>
      <w:r>
        <w:t xml:space="preserve">of the Indian Stock Market,”</w:t>
      </w:r>
      <w:r>
        <w:t xml:space="preserve"> </w:t>
      </w:r>
      <w:r>
        <w:t xml:space="preserve">Proceedings of the International Conference on Decision</w:t>
      </w:r>
      <w:r>
        <w:t xml:space="preserve"> </w:t>
      </w:r>
      <w:r>
        <w:t xml:space="preserve">Aid Sciences and Applications (DASA’22), IEEE, 2022.</w:t>
      </w:r>
      <w:r>
        <w:t xml:space="preserve"> </w:t>
      </w:r>
      <w:r>
        <w:t xml:space="preserve">arXiv:2210.03943</w:t>
      </w:r>
      <w:r>
        <w:t xml:space="preserve"> </w:t>
      </w:r>
      <w:r>
        <w:t xml:space="preserve">URL: https://arxiv.org/abs/2210.03943</w:t>
      </w:r>
      <w:r>
        <w:t xml:space="preserve"> </w:t>
      </w:r>
      <w:r>
        <w:t xml:space="preserve">[Verified on arXiv — sector-wise portfolio optimization on NSE India, 6 sectors, 2017–2021]</w:t>
      </w:r>
    </w:p>
    <w:p>
      <w:pPr>
        <w:pStyle w:val="BodyText"/>
      </w:pPr>
      <w:r>
        <w:t xml:space="preserve">[45] R.G. Mishra, D. Sharma, M. Gadhavi, S. Pant and A. Kumar,</w:t>
      </w:r>
      <w:r>
        <w:t xml:space="preserve"> </w:t>
      </w:r>
      <w:r>
        <w:t xml:space="preserve">“A Deep Reinforcement</w:t>
      </w:r>
      <w:r>
        <w:t xml:space="preserve"> </w:t>
      </w:r>
      <w:r>
        <w:t xml:space="preserve">Learning Framework for Strategic Indian NIFTY 50 Index Trading,”</w:t>
      </w:r>
      <w:r>
        <w:t xml:space="preserve"> </w:t>
      </w:r>
      <w:r>
        <w:t xml:space="preserve">AI (MDPI),</w:t>
      </w:r>
      <w:r>
        <w:t xml:space="preserve"> </w:t>
      </w:r>
      <w:r>
        <w:t xml:space="preserve">2025, 6(8), 183.</w:t>
      </w:r>
      <w:r>
        <w:t xml:space="preserve"> </w:t>
      </w:r>
      <w:r>
        <w:t xml:space="preserve">URL: https://www.mdpi.com/2673-2688/6/8/183</w:t>
      </w:r>
      <w:r>
        <w:t xml:space="preserve"> </w:t>
      </w:r>
      <w:r>
        <w:t xml:space="preserve">[MDPI open access — DQN/DDQN/Dueling DDQN on NIFTY 50, Sharpe 0.7394, 73.33% win rate]</w:t>
      </w:r>
    </w:p>
    <w:p>
      <w:pPr>
        <w:pStyle w:val="BodyText"/>
      </w:pPr>
      <w:r>
        <w:t xml:space="preserve">[46] Securities and Exchange Board of India,</w:t>
      </w:r>
      <w:r>
        <w:t xml:space="preserve"> </w:t>
      </w:r>
      <w:r>
        <w:t xml:space="preserve">“Annual Report 2023–24,”</w:t>
      </w:r>
      <w:r>
        <w:t xml:space="preserve"> </w:t>
      </w:r>
      <w:r>
        <w:t xml:space="preserve">SEBI, New Delhi, 2024.</w:t>
      </w:r>
      <w:r>
        <w:t xml:space="preserve"> </w:t>
      </w:r>
      <w:r>
        <w:t xml:space="preserve">URL: https://www.sebi.gov.in/reports-and-statistics/annual-reports</w:t>
      </w:r>
      <w:r>
        <w:t xml:space="preserve"> </w:t>
      </w:r>
      <w:r>
        <w:t xml:space="preserve">[Official SEBI source — retail investor growth, demat account statistics, market data]</w:t>
      </w:r>
    </w:p>
    <w:p>
      <w:pPr>
        <w:pStyle w:val="BodyText"/>
      </w:pPr>
      <w:r>
        <w:t xml:space="preserve">[47] National Stock Exchange of India,</w:t>
      </w:r>
      <w:r>
        <w:t xml:space="preserve"> </w:t>
      </w:r>
      <w:r>
        <w:t xml:space="preserve">“Indian Securities Market: A Review (ISMR),”</w:t>
      </w:r>
      <w:r>
        <w:t xml:space="preserve"> </w:t>
      </w:r>
      <w:r>
        <w:t xml:space="preserve">NSE India, 2023.</w:t>
      </w:r>
      <w:r>
        <w:t xml:space="preserve"> </w:t>
      </w:r>
      <w:r>
        <w:t xml:space="preserve">URL: https://www.nseindia.com/research/content/ismr_2023.pdf</w:t>
      </w:r>
      <w:r>
        <w:t xml:space="preserve"> </w:t>
      </w:r>
      <w:r>
        <w:t xml:space="preserve">[NSE official annual market review — cite for Indian equity market structure and statistics]</w:t>
      </w:r>
    </w:p>
    <w:p>
      <w:r>
        <w:pict>
          <v:rect style="width:0;height:1.5pt" o:hralign="center" o:hrstd="t" o:hr="t"/>
        </w:pict>
      </w:r>
    </w:p>
    <w:bookmarkEnd w:id="81"/>
    <w:bookmarkEnd w:id="82"/>
    <w:bookmarkStart w:id="84" w:name="notes"/>
    <w:p>
      <w:pPr>
        <w:pStyle w:val="Heading2"/>
      </w:pPr>
      <w:r>
        <w:t xml:space="preserve">Notes</w:t>
      </w:r>
    </w:p>
    <w:p>
      <w:pPr>
        <w:pStyle w:val="FirstParagraph"/>
      </w:pPr>
      <w:r>
        <w:t xml:space="preserve">All references [43]–[47] are Indian market specific papers added to satisfy research gap.</w:t>
      </w:r>
      <w:r>
        <w:t xml:space="preserve"> </w:t>
      </w:r>
      <w:r>
        <w:t xml:space="preserve">[41] Gupta &amp; Basu (2007) also covers Indian market efficiency.</w:t>
      </w:r>
      <w:r>
        <w:t xml:space="preserve"> </w:t>
      </w:r>
      <w:r>
        <w:t xml:space="preserve">Total Indian market references: [41], [43], [44], [45], [46], [47] = 6 references.</w:t>
      </w:r>
      <w:r>
        <w:t xml:space="preserve"> </w:t>
      </w:r>
      <w:r>
        <w:t xml:space="preserve">4.</w:t>
      </w:r>
      <w:r>
        <w:t xml:space="preserve"> </w:t>
      </w:r>
      <w:r>
        <w:t xml:space="preserve">“federated learning credit scoring financial institutions”</w:t>
      </w:r>
      <w:r>
        <w:t xml:space="preserve"> </w:t>
      </w:r>
      <w:r>
        <w:t xml:space="preserve">— 1 paper for FL in finance</w:t>
      </w:r>
      <w:r>
        <w:t xml:space="preserve"> </w:t>
      </w:r>
      <w:r>
        <w:t xml:space="preserve">5.</w:t>
      </w:r>
      <w:r>
        <w:t xml:space="preserve"> </w:t>
      </w:r>
      <w:r>
        <w:t xml:space="preserve">“stress testing portfolio historical simulation”</w:t>
      </w:r>
      <w:r>
        <w:t xml:space="preserve"> </w:t>
      </w:r>
      <w:r>
        <w:t xml:space="preserve">— 1 bank/finance methodology paper</w:t>
      </w:r>
    </w:p>
    <w:p>
      <w:pPr>
        <w:pStyle w:val="BodyText"/>
      </w:pPr>
      <w:r>
        <w:t xml:space="preserve">Add found papers as [43], [44]… continuing the numbering.</w:t>
      </w:r>
    </w:p>
    <w:p>
      <w:r>
        <w:pict>
          <v:rect style="width:0;height:1.5pt" o:hralign="center" o:hrstd="t" o:hr="t"/>
        </w:pict>
      </w:r>
    </w:p>
    <w:bookmarkEnd w:id="83"/>
    <w:bookmarkStart w:id="85" w:name="reference-tracking"/>
    <w:p>
      <w:pPr>
        <w:pStyle w:val="Heading2"/>
      </w:pPr>
      <w:r>
        <w:t xml:space="preserve">Reference Tracking</w:t>
      </w:r>
    </w:p>
    <w:p>
      <w:pPr>
        <w:pStyle w:val="FirstParagraph"/>
      </w:pPr>
      <w:r>
        <w:t xml:space="preserve">After all chapters are written, replace every [REF] with correct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Used In</w:t>
            </w:r>
          </w:p>
        </w:tc>
        <w:tc>
          <w:tcPr/>
          <w:p>
            <w:pPr>
              <w:pStyle w:val="Compact"/>
            </w:pPr>
            <w:r>
              <w:t xml:space="preserve">Number</w:t>
            </w:r>
          </w:p>
        </w:tc>
      </w:tr>
      <w:tr>
        <w:tc>
          <w:tcPr/>
          <w:p>
            <w:pPr>
              <w:pStyle w:val="Compact"/>
            </w:pPr>
            <w:r>
              <w:t xml:space="preserve">Markowitz 1952</w:t>
            </w:r>
          </w:p>
        </w:tc>
        <w:tc>
          <w:tcPr/>
          <w:p>
            <w:pPr>
              <w:pStyle w:val="Compact"/>
            </w:pPr>
            <w:r>
              <w:t xml:space="preserve">Ch1, Ch2.1</w:t>
            </w:r>
          </w:p>
        </w:tc>
        <w:tc>
          <w:tcPr/>
          <w:p>
            <w:pPr>
              <w:pStyle w:val="Compact"/>
            </w:pPr>
            <w:r>
              <w:t xml:space="preserve">[1]</w:t>
            </w:r>
          </w:p>
        </w:tc>
      </w:tr>
      <w:tr>
        <w:tc>
          <w:tcPr/>
          <w:p>
            <w:pPr>
              <w:pStyle w:val="Compact"/>
            </w:pPr>
            <w:r>
              <w:t xml:space="preserve">NSE India</w:t>
            </w:r>
          </w:p>
        </w:tc>
        <w:tc>
          <w:tcPr/>
          <w:p>
            <w:pPr>
              <w:pStyle w:val="Compact"/>
            </w:pPr>
            <w:r>
              <w:t xml:space="preserve">Ch1</w:t>
            </w:r>
          </w:p>
        </w:tc>
        <w:tc>
          <w:tcPr/>
          <w:p>
            <w:pPr>
              <w:pStyle w:val="Compact"/>
            </w:pPr>
            <w:r>
              <w:t xml:space="preserve">[2]</w:t>
            </w:r>
          </w:p>
        </w:tc>
      </w:tr>
      <w:tr>
        <w:tc>
          <w:tcPr/>
          <w:p>
            <w:pPr>
              <w:pStyle w:val="Compact"/>
            </w:pPr>
            <w:r>
              <w:t xml:space="preserve">SEBI Annual Report</w:t>
            </w:r>
          </w:p>
        </w:tc>
        <w:tc>
          <w:tcPr/>
          <w:p>
            <w:pPr>
              <w:pStyle w:val="Compact"/>
            </w:pPr>
            <w:r>
              <w:t xml:space="preserve">Ch1</w:t>
            </w:r>
          </w:p>
        </w:tc>
        <w:tc>
          <w:tcPr/>
          <w:p>
            <w:pPr>
              <w:pStyle w:val="Compact"/>
            </w:pPr>
            <w:r>
              <w:t xml:space="preserve">[3]</w:t>
            </w:r>
          </w:p>
        </w:tc>
      </w:tr>
      <w:tr>
        <w:tc>
          <w:tcPr/>
          <w:p>
            <w:pPr>
              <w:pStyle w:val="Compact"/>
            </w:pPr>
            <w:r>
              <w:t xml:space="preserve">Cao AI Survey</w:t>
            </w:r>
          </w:p>
        </w:tc>
        <w:tc>
          <w:tcPr/>
          <w:p>
            <w:pPr>
              <w:pStyle w:val="Compact"/>
            </w:pPr>
            <w:r>
              <w:t xml:space="preserve">Ch1, Ch2</w:t>
            </w:r>
          </w:p>
        </w:tc>
        <w:tc>
          <w:tcPr/>
          <w:p>
            <w:pPr>
              <w:pStyle w:val="Compact"/>
            </w:pPr>
            <w:r>
              <w:t xml:space="preserve">[4]</w:t>
            </w:r>
          </w:p>
        </w:tc>
      </w:tr>
      <w:tr>
        <w:tc>
          <w:tcPr/>
          <w:p>
            <w:pPr>
              <w:pStyle w:val="Compact"/>
            </w:pPr>
            <w:r>
              <w:t xml:space="preserve">Sharpe 1964 CAPM</w:t>
            </w:r>
          </w:p>
        </w:tc>
        <w:tc>
          <w:tcPr/>
          <w:p>
            <w:pPr>
              <w:pStyle w:val="Compact"/>
            </w:pPr>
            <w:r>
              <w:t xml:space="preserve">Ch2.1</w:t>
            </w:r>
          </w:p>
        </w:tc>
        <w:tc>
          <w:tcPr/>
          <w:p>
            <w:pPr>
              <w:pStyle w:val="Compact"/>
            </w:pPr>
            <w:r>
              <w:t xml:space="preserve">[5]</w:t>
            </w:r>
          </w:p>
        </w:tc>
      </w:tr>
      <w:tr>
        <w:tc>
          <w:tcPr/>
          <w:p>
            <w:pPr>
              <w:pStyle w:val="Compact"/>
            </w:pPr>
            <w:r>
              <w:t xml:space="preserve">Black-Litterman 1992</w:t>
            </w:r>
          </w:p>
        </w:tc>
        <w:tc>
          <w:tcPr/>
          <w:p>
            <w:pPr>
              <w:pStyle w:val="Compact"/>
            </w:pPr>
            <w:r>
              <w:t xml:space="preserve">Ch2.1</w:t>
            </w:r>
          </w:p>
        </w:tc>
        <w:tc>
          <w:tcPr/>
          <w:p>
            <w:pPr>
              <w:pStyle w:val="Compact"/>
            </w:pPr>
            <w:r>
              <w:t xml:space="preserve">[6]</w:t>
            </w:r>
          </w:p>
        </w:tc>
      </w:tr>
      <w:tr>
        <w:tc>
          <w:tcPr/>
          <w:p>
            <w:pPr>
              <w:pStyle w:val="Compact"/>
            </w:pPr>
            <w:r>
              <w:t xml:space="preserve">Rockafellar CVaR 2002</w:t>
            </w:r>
          </w:p>
        </w:tc>
        <w:tc>
          <w:tcPr/>
          <w:p>
            <w:pPr>
              <w:pStyle w:val="Compact"/>
            </w:pPr>
            <w:r>
              <w:t xml:space="preserve">Ch2.6</w:t>
            </w:r>
          </w:p>
        </w:tc>
        <w:tc>
          <w:tcPr/>
          <w:p>
            <w:pPr>
              <w:pStyle w:val="Compact"/>
            </w:pPr>
            <w:r>
              <w:t xml:space="preserve">[7]</w:t>
            </w:r>
          </w:p>
        </w:tc>
      </w:tr>
      <w:tr>
        <w:tc>
          <w:tcPr/>
          <w:p>
            <w:pPr>
              <w:pStyle w:val="Compact"/>
            </w:pPr>
            <w:r>
              <w:t xml:space="preserve">Glasserman Monte Carlo</w:t>
            </w:r>
          </w:p>
        </w:tc>
        <w:tc>
          <w:tcPr/>
          <w:p>
            <w:pPr>
              <w:pStyle w:val="Compact"/>
            </w:pPr>
            <w:r>
              <w:t xml:space="preserve">Ch2.6</w:t>
            </w:r>
          </w:p>
        </w:tc>
        <w:tc>
          <w:tcPr/>
          <w:p>
            <w:pPr>
              <w:pStyle w:val="Compact"/>
            </w:pPr>
            <w:r>
              <w:t xml:space="preserve">[8]</w:t>
            </w:r>
          </w:p>
        </w:tc>
      </w:tr>
      <w:tr>
        <w:tc>
          <w:tcPr/>
          <w:p>
            <w:pPr>
              <w:pStyle w:val="Compact"/>
            </w:pPr>
            <w:r>
              <w:t xml:space="preserve">Sutton &amp; Barto RL book</w:t>
            </w:r>
          </w:p>
        </w:tc>
        <w:tc>
          <w:tcPr/>
          <w:p>
            <w:pPr>
              <w:pStyle w:val="Compact"/>
            </w:pPr>
            <w:r>
              <w:t xml:space="preserve">Ch2.2, Ch3.8</w:t>
            </w:r>
          </w:p>
        </w:tc>
        <w:tc>
          <w:tcPr/>
          <w:p>
            <w:pPr>
              <w:pStyle w:val="Compact"/>
            </w:pPr>
            <w:r>
              <w:t xml:space="preserve">[9]</w:t>
            </w:r>
          </w:p>
        </w:tc>
      </w:tr>
      <w:tr>
        <w:tc>
          <w:tcPr/>
          <w:p>
            <w:pPr>
              <w:pStyle w:val="Compact"/>
            </w:pPr>
            <w:r>
              <w:t xml:space="preserve">Mnih 2015 DQN Nature</w:t>
            </w:r>
          </w:p>
        </w:tc>
        <w:tc>
          <w:tcPr/>
          <w:p>
            <w:pPr>
              <w:pStyle w:val="Compact"/>
            </w:pPr>
            <w:r>
              <w:t xml:space="preserve">Ch2.2</w:t>
            </w:r>
          </w:p>
        </w:tc>
        <w:tc>
          <w:tcPr/>
          <w:p>
            <w:pPr>
              <w:pStyle w:val="Compact"/>
            </w:pPr>
            <w:r>
              <w:t xml:space="preserve">[10]</w:t>
            </w:r>
          </w:p>
        </w:tc>
      </w:tr>
      <w:tr>
        <w:tc>
          <w:tcPr/>
          <w:p>
            <w:pPr>
              <w:pStyle w:val="Compact"/>
            </w:pPr>
            <w:r>
              <w:t xml:space="preserve">Silver 2014 DPG</w:t>
            </w:r>
          </w:p>
        </w:tc>
        <w:tc>
          <w:tcPr/>
          <w:p>
            <w:pPr>
              <w:pStyle w:val="Compact"/>
            </w:pPr>
            <w:r>
              <w:t xml:space="preserve">Ch2.2, Ch3.9</w:t>
            </w:r>
          </w:p>
        </w:tc>
        <w:tc>
          <w:tcPr/>
          <w:p>
            <w:pPr>
              <w:pStyle w:val="Compact"/>
            </w:pPr>
            <w:r>
              <w:t xml:space="preserve">[11]</w:t>
            </w:r>
          </w:p>
        </w:tc>
      </w:tr>
      <w:tr>
        <w:tc>
          <w:tcPr/>
          <w:p>
            <w:pPr>
              <w:pStyle w:val="Compact"/>
            </w:pPr>
            <w:r>
              <w:t xml:space="preserve">Lillicrap 2016 DDPG</w:t>
            </w:r>
          </w:p>
        </w:tc>
        <w:tc>
          <w:tcPr/>
          <w:p>
            <w:pPr>
              <w:pStyle w:val="Compact"/>
            </w:pPr>
            <w:r>
              <w:t xml:space="preserve">Ch2.2, Ch3.9</w:t>
            </w:r>
          </w:p>
        </w:tc>
        <w:tc>
          <w:tcPr/>
          <w:p>
            <w:pPr>
              <w:pStyle w:val="Compact"/>
            </w:pPr>
            <w:r>
              <w:t xml:space="preserve">[12]</w:t>
            </w:r>
          </w:p>
        </w:tc>
      </w:tr>
      <w:tr>
        <w:tc>
          <w:tcPr/>
          <w:p>
            <w:pPr>
              <w:pStyle w:val="Compact"/>
            </w:pPr>
            <w:r>
              <w:t xml:space="preserve">Schulman 2017 PPO</w:t>
            </w:r>
          </w:p>
        </w:tc>
        <w:tc>
          <w:tcPr/>
          <w:p>
            <w:pPr>
              <w:pStyle w:val="Compact"/>
            </w:pPr>
            <w:r>
              <w:t xml:space="preserve">Ch2.2, Ch3.9</w:t>
            </w:r>
          </w:p>
        </w:tc>
        <w:tc>
          <w:tcPr/>
          <w:p>
            <w:pPr>
              <w:pStyle w:val="Compact"/>
            </w:pPr>
            <w:r>
              <w:t xml:space="preserve">[13]</w:t>
            </w:r>
          </w:p>
        </w:tc>
      </w:tr>
      <w:tr>
        <w:tc>
          <w:tcPr/>
          <w:p>
            <w:pPr>
              <w:pStyle w:val="Compact"/>
            </w:pPr>
            <w:r>
              <w:t xml:space="preserve">Haarnoja 2018 SAC</w:t>
            </w:r>
          </w:p>
        </w:tc>
        <w:tc>
          <w:tcPr/>
          <w:p>
            <w:pPr>
              <w:pStyle w:val="Compact"/>
            </w:pPr>
            <w:r>
              <w:t xml:space="preserve">Ch2.2, Ch3.9</w:t>
            </w:r>
          </w:p>
        </w:tc>
        <w:tc>
          <w:tcPr/>
          <w:p>
            <w:pPr>
              <w:pStyle w:val="Compact"/>
            </w:pPr>
            <w:r>
              <w:t xml:space="preserve">[14]</w:t>
            </w:r>
          </w:p>
        </w:tc>
      </w:tr>
      <w:tr>
        <w:tc>
          <w:tcPr/>
          <w:p>
            <w:pPr>
              <w:pStyle w:val="Compact"/>
            </w:pPr>
            <w:r>
              <w:t xml:space="preserve">Fujimoto 2018 TD3</w:t>
            </w:r>
          </w:p>
        </w:tc>
        <w:tc>
          <w:tcPr/>
          <w:p>
            <w:pPr>
              <w:pStyle w:val="Compact"/>
            </w:pPr>
            <w:r>
              <w:t xml:space="preserve">Ch2.2, Ch3.9</w:t>
            </w:r>
          </w:p>
        </w:tc>
        <w:tc>
          <w:tcPr/>
          <w:p>
            <w:pPr>
              <w:pStyle w:val="Compact"/>
            </w:pPr>
            <w:r>
              <w:t xml:space="preserve">[15]</w:t>
            </w:r>
          </w:p>
        </w:tc>
      </w:tr>
      <w:tr>
        <w:tc>
          <w:tcPr/>
          <w:p>
            <w:pPr>
              <w:pStyle w:val="Compact"/>
            </w:pPr>
            <w:r>
              <w:t xml:space="preserve">Mnih 2016 A3C</w:t>
            </w:r>
          </w:p>
        </w:tc>
        <w:tc>
          <w:tcPr/>
          <w:p>
            <w:pPr>
              <w:pStyle w:val="Compact"/>
            </w:pPr>
            <w:r>
              <w:t xml:space="preserve">Ch2.2, Ch3.9</w:t>
            </w:r>
          </w:p>
        </w:tc>
        <w:tc>
          <w:tcPr/>
          <w:p>
            <w:pPr>
              <w:pStyle w:val="Compact"/>
            </w:pPr>
            <w:r>
              <w:t xml:space="preserve">[16]</w:t>
            </w:r>
          </w:p>
        </w:tc>
      </w:tr>
      <w:tr>
        <w:tc>
          <w:tcPr/>
          <w:p>
            <w:pPr>
              <w:pStyle w:val="Compact"/>
            </w:pPr>
            <w:r>
              <w:t xml:space="preserve">Liu 2021 FinRL</w:t>
            </w:r>
          </w:p>
        </w:tc>
        <w:tc>
          <w:tcPr/>
          <w:p>
            <w:pPr>
              <w:pStyle w:val="Compact"/>
            </w:pPr>
            <w:r>
              <w:t xml:space="preserve">Ch2.2</w:t>
            </w:r>
          </w:p>
        </w:tc>
        <w:tc>
          <w:tcPr/>
          <w:p>
            <w:pPr>
              <w:pStyle w:val="Compact"/>
            </w:pPr>
            <w:r>
              <w:t xml:space="preserve">[17]</w:t>
            </w:r>
          </w:p>
        </w:tc>
      </w:tr>
      <w:tr>
        <w:tc>
          <w:tcPr/>
          <w:p>
            <w:pPr>
              <w:pStyle w:val="Compact"/>
            </w:pPr>
            <w:r>
              <w:t xml:space="preserve">Raffin 2021 SB3</w:t>
            </w:r>
          </w:p>
        </w:tc>
        <w:tc>
          <w:tcPr/>
          <w:p>
            <w:pPr>
              <w:pStyle w:val="Compact"/>
            </w:pPr>
            <w:r>
              <w:t xml:space="preserve">Ch2.2, Ch3.9</w:t>
            </w:r>
          </w:p>
        </w:tc>
        <w:tc>
          <w:tcPr/>
          <w:p>
            <w:pPr>
              <w:pStyle w:val="Compact"/>
            </w:pPr>
            <w:r>
              <w:t xml:space="preserve">[18]</w:t>
            </w:r>
          </w:p>
        </w:tc>
      </w:tr>
      <w:tr>
        <w:tc>
          <w:tcPr/>
          <w:p>
            <w:pPr>
              <w:pStyle w:val="Compact"/>
            </w:pPr>
            <w:r>
              <w:t xml:space="preserve">Kipf 2017 GCN</w:t>
            </w:r>
          </w:p>
        </w:tc>
        <w:tc>
          <w:tcPr/>
          <w:p>
            <w:pPr>
              <w:pStyle w:val="Compact"/>
            </w:pPr>
            <w:r>
              <w:t xml:space="preserve">Ch2.3, Ch3.7</w:t>
            </w:r>
          </w:p>
        </w:tc>
        <w:tc>
          <w:tcPr/>
          <w:p>
            <w:pPr>
              <w:pStyle w:val="Compact"/>
            </w:pPr>
            <w:r>
              <w:t xml:space="preserve">[19]</w:t>
            </w:r>
          </w:p>
        </w:tc>
      </w:tr>
      <w:tr>
        <w:tc>
          <w:tcPr/>
          <w:p>
            <w:pPr>
              <w:pStyle w:val="Compact"/>
            </w:pPr>
            <w:r>
              <w:t xml:space="preserve">Velickovic 2018 GAT</w:t>
            </w:r>
          </w:p>
        </w:tc>
        <w:tc>
          <w:tcPr/>
          <w:p>
            <w:pPr>
              <w:pStyle w:val="Compact"/>
            </w:pPr>
            <w:r>
              <w:t xml:space="preserve">Ch2.3, Ch3.7</w:t>
            </w:r>
          </w:p>
        </w:tc>
        <w:tc>
          <w:tcPr/>
          <w:p>
            <w:pPr>
              <w:pStyle w:val="Compact"/>
            </w:pPr>
            <w:r>
              <w:t xml:space="preserve">[20]</w:t>
            </w:r>
          </w:p>
        </w:tc>
      </w:tr>
      <w:tr>
        <w:tc>
          <w:tcPr/>
          <w:p>
            <w:pPr>
              <w:pStyle w:val="Compact"/>
            </w:pPr>
            <w:r>
              <w:t xml:space="preserve">Vaswani 2017 Attention</w:t>
            </w:r>
          </w:p>
        </w:tc>
        <w:tc>
          <w:tcPr/>
          <w:p>
            <w:pPr>
              <w:pStyle w:val="Compact"/>
            </w:pPr>
            <w:r>
              <w:t xml:space="preserve">Ch2.3</w:t>
            </w:r>
          </w:p>
        </w:tc>
        <w:tc>
          <w:tcPr/>
          <w:p>
            <w:pPr>
              <w:pStyle w:val="Compact"/>
            </w:pPr>
            <w:r>
              <w:t xml:space="preserve">[21]</w:t>
            </w:r>
          </w:p>
        </w:tc>
      </w:tr>
      <w:tr>
        <w:tc>
          <w:tcPr/>
          <w:p>
            <w:pPr>
              <w:pStyle w:val="Compact"/>
            </w:pPr>
            <w:r>
              <w:t xml:space="preserve">Feng 2019 Temporal Relational</w:t>
            </w:r>
          </w:p>
        </w:tc>
        <w:tc>
          <w:tcPr/>
          <w:p>
            <w:pPr>
              <w:pStyle w:val="Compact"/>
            </w:pPr>
            <w:r>
              <w:t xml:space="preserve">Ch2.3</w:t>
            </w:r>
          </w:p>
        </w:tc>
        <w:tc>
          <w:tcPr/>
          <w:p>
            <w:pPr>
              <w:pStyle w:val="Compact"/>
            </w:pPr>
            <w:r>
              <w:t xml:space="preserve">[22]</w:t>
            </w:r>
          </w:p>
        </w:tc>
      </w:tr>
      <w:tr>
        <w:tc>
          <w:tcPr/>
          <w:p>
            <w:pPr>
              <w:pStyle w:val="Compact"/>
            </w:pPr>
            <w:r>
              <w:t xml:space="preserve">Zhao 2020 T-GCN</w:t>
            </w:r>
          </w:p>
        </w:tc>
        <w:tc>
          <w:tcPr/>
          <w:p>
            <w:pPr>
              <w:pStyle w:val="Compact"/>
            </w:pPr>
            <w:r>
              <w:t xml:space="preserve">Ch2.3, Ch3.7</w:t>
            </w:r>
          </w:p>
        </w:tc>
        <w:tc>
          <w:tcPr/>
          <w:p>
            <w:pPr>
              <w:pStyle w:val="Compact"/>
            </w:pPr>
            <w:r>
              <w:t xml:space="preserve">[23]</w:t>
            </w:r>
          </w:p>
        </w:tc>
      </w:tr>
      <w:tr>
        <w:tc>
          <w:tcPr/>
          <w:p>
            <w:pPr>
              <w:pStyle w:val="Compact"/>
            </w:pPr>
            <w:r>
              <w:t xml:space="preserve">Loughran 2011</w:t>
            </w:r>
          </w:p>
        </w:tc>
        <w:tc>
          <w:tcPr/>
          <w:p>
            <w:pPr>
              <w:pStyle w:val="Compact"/>
            </w:pPr>
            <w:r>
              <w:t xml:space="preserve">Ch2.4</w:t>
            </w:r>
          </w:p>
        </w:tc>
        <w:tc>
          <w:tcPr/>
          <w:p>
            <w:pPr>
              <w:pStyle w:val="Compact"/>
            </w:pPr>
            <w:r>
              <w:t xml:space="preserve">[24]</w:t>
            </w:r>
          </w:p>
        </w:tc>
      </w:tr>
      <w:tr>
        <w:tc>
          <w:tcPr/>
          <w:p>
            <w:pPr>
              <w:pStyle w:val="Compact"/>
            </w:pPr>
            <w:r>
              <w:t xml:space="preserve">Devlin 2019 BERT</w:t>
            </w:r>
          </w:p>
        </w:tc>
        <w:tc>
          <w:tcPr/>
          <w:p>
            <w:pPr>
              <w:pStyle w:val="Compact"/>
            </w:pPr>
            <w:r>
              <w:t xml:space="preserve">Ch2.4, Ch3.5</w:t>
            </w:r>
          </w:p>
        </w:tc>
        <w:tc>
          <w:tcPr/>
          <w:p>
            <w:pPr>
              <w:pStyle w:val="Compact"/>
            </w:pPr>
            <w:r>
              <w:t xml:space="preserve">[25]</w:t>
            </w:r>
          </w:p>
        </w:tc>
      </w:tr>
      <w:tr>
        <w:tc>
          <w:tcPr/>
          <w:p>
            <w:pPr>
              <w:pStyle w:val="Compact"/>
            </w:pPr>
            <w:r>
              <w:t xml:space="preserve">Araci 2019 FinBERT</w:t>
            </w:r>
          </w:p>
        </w:tc>
        <w:tc>
          <w:tcPr/>
          <w:p>
            <w:pPr>
              <w:pStyle w:val="Compact"/>
            </w:pPr>
            <w:r>
              <w:t xml:space="preserve">Ch2.4, Ch3.5</w:t>
            </w:r>
          </w:p>
        </w:tc>
        <w:tc>
          <w:tcPr/>
          <w:p>
            <w:pPr>
              <w:pStyle w:val="Compact"/>
            </w:pPr>
            <w:r>
              <w:t xml:space="preserve">[26]</w:t>
            </w:r>
          </w:p>
        </w:tc>
      </w:tr>
      <w:tr>
        <w:tc>
          <w:tcPr/>
          <w:p>
            <w:pPr>
              <w:pStyle w:val="Compact"/>
            </w:pPr>
            <w:r>
              <w:t xml:space="preserve">Bollen 2011 Twitter</w:t>
            </w:r>
          </w:p>
        </w:tc>
        <w:tc>
          <w:tcPr/>
          <w:p>
            <w:pPr>
              <w:pStyle w:val="Compact"/>
            </w:pPr>
            <w:r>
              <w:t xml:space="preserve">Ch2.4</w:t>
            </w:r>
          </w:p>
        </w:tc>
        <w:tc>
          <w:tcPr/>
          <w:p>
            <w:pPr>
              <w:pStyle w:val="Compact"/>
            </w:pPr>
            <w:r>
              <w:t xml:space="preserve">[27]</w:t>
            </w:r>
          </w:p>
        </w:tc>
      </w:tr>
      <w:tr>
        <w:tc>
          <w:tcPr/>
          <w:p>
            <w:pPr>
              <w:pStyle w:val="Compact"/>
            </w:pPr>
            <w:r>
              <w:t xml:space="preserve">McMahan 2017 FedAvg</w:t>
            </w:r>
          </w:p>
        </w:tc>
        <w:tc>
          <w:tcPr/>
          <w:p>
            <w:pPr>
              <w:pStyle w:val="Compact"/>
            </w:pPr>
            <w:r>
              <w:t xml:space="preserve">Ch2.5, Ch3.11</w:t>
            </w:r>
          </w:p>
        </w:tc>
        <w:tc>
          <w:tcPr/>
          <w:p>
            <w:pPr>
              <w:pStyle w:val="Compact"/>
            </w:pPr>
            <w:r>
              <w:t xml:space="preserve">[28]</w:t>
            </w:r>
          </w:p>
        </w:tc>
      </w:tr>
      <w:tr>
        <w:tc>
          <w:tcPr/>
          <w:p>
            <w:pPr>
              <w:pStyle w:val="Compact"/>
            </w:pPr>
            <w:r>
              <w:t xml:space="preserve">Li 2020 FedProx</w:t>
            </w:r>
          </w:p>
        </w:tc>
        <w:tc>
          <w:tcPr/>
          <w:p>
            <w:pPr>
              <w:pStyle w:val="Compact"/>
            </w:pPr>
            <w:r>
              <w:t xml:space="preserve">Ch2.5, Ch3.11</w:t>
            </w:r>
          </w:p>
        </w:tc>
        <w:tc>
          <w:tcPr/>
          <w:p>
            <w:pPr>
              <w:pStyle w:val="Compact"/>
            </w:pPr>
            <w:r>
              <w:t xml:space="preserve">[29]</w:t>
            </w:r>
          </w:p>
        </w:tc>
      </w:tr>
      <w:tr>
        <w:tc>
          <w:tcPr/>
          <w:p>
            <w:pPr>
              <w:pStyle w:val="Compact"/>
            </w:pPr>
            <w:r>
              <w:t xml:space="preserve">Abadi 2016 DP-SGD</w:t>
            </w:r>
          </w:p>
        </w:tc>
        <w:tc>
          <w:tcPr/>
          <w:p>
            <w:pPr>
              <w:pStyle w:val="Compact"/>
            </w:pPr>
            <w:r>
              <w:t xml:space="preserve">Ch2.5, Ch3.11</w:t>
            </w:r>
          </w:p>
        </w:tc>
        <w:tc>
          <w:tcPr/>
          <w:p>
            <w:pPr>
              <w:pStyle w:val="Compact"/>
            </w:pPr>
            <w:r>
              <w:t xml:space="preserve">[30]</w:t>
            </w:r>
          </w:p>
        </w:tc>
      </w:tr>
      <w:tr>
        <w:tc>
          <w:tcPr/>
          <w:p>
            <w:pPr>
              <w:pStyle w:val="Compact"/>
            </w:pPr>
            <w:r>
              <w:t xml:space="preserve">Yang 2019 FL Concept</w:t>
            </w:r>
          </w:p>
        </w:tc>
        <w:tc>
          <w:tcPr/>
          <w:p>
            <w:pPr>
              <w:pStyle w:val="Compact"/>
            </w:pPr>
            <w:r>
              <w:t xml:space="preserve">Ch2.5</w:t>
            </w:r>
          </w:p>
        </w:tc>
        <w:tc>
          <w:tcPr/>
          <w:p>
            <w:pPr>
              <w:pStyle w:val="Compact"/>
            </w:pPr>
            <w:r>
              <w:t xml:space="preserve">[31]</w:t>
            </w:r>
          </w:p>
        </w:tc>
      </w:tr>
      <w:tr>
        <w:tc>
          <w:tcPr/>
          <w:p>
            <w:pPr>
              <w:pStyle w:val="Compact"/>
            </w:pPr>
            <w:r>
              <w:t xml:space="preserve">Jorion VaR book</w:t>
            </w:r>
          </w:p>
        </w:tc>
        <w:tc>
          <w:tcPr/>
          <w:p>
            <w:pPr>
              <w:pStyle w:val="Compact"/>
            </w:pPr>
            <w:r>
              <w:t xml:space="preserve">Ch2.6, Ch3.10</w:t>
            </w:r>
          </w:p>
        </w:tc>
        <w:tc>
          <w:tcPr/>
          <w:p>
            <w:pPr>
              <w:pStyle w:val="Compact"/>
            </w:pPr>
            <w:r>
              <w:t xml:space="preserve">[32]</w:t>
            </w:r>
          </w:p>
        </w:tc>
      </w:tr>
      <w:tr>
        <w:tc>
          <w:tcPr/>
          <w:p>
            <w:pPr>
              <w:pStyle w:val="Compact"/>
            </w:pPr>
            <w:r>
              <w:t xml:space="preserve">yfinance</w:t>
            </w:r>
          </w:p>
        </w:tc>
        <w:tc>
          <w:tcPr/>
          <w:p>
            <w:pPr>
              <w:pStyle w:val="Compact"/>
            </w:pPr>
            <w:r>
              <w:t xml:space="preserve">Ch3.2</w:t>
            </w:r>
          </w:p>
        </w:tc>
        <w:tc>
          <w:tcPr/>
          <w:p>
            <w:pPr>
              <w:pStyle w:val="Compact"/>
            </w:pPr>
            <w:r>
              <w:t xml:space="preserve">[33]</w:t>
            </w:r>
          </w:p>
        </w:tc>
      </w:tr>
      <w:tr>
        <w:tc>
          <w:tcPr/>
          <w:p>
            <w:pPr>
              <w:pStyle w:val="Compact"/>
            </w:pPr>
            <w:r>
              <w:t xml:space="preserve">Fey PyG 2019</w:t>
            </w:r>
          </w:p>
        </w:tc>
        <w:tc>
          <w:tcPr/>
          <w:p>
            <w:pPr>
              <w:pStyle w:val="Compact"/>
            </w:pPr>
            <w:r>
              <w:t xml:space="preserve">Ch3.6, Ch3.7</w:t>
            </w:r>
          </w:p>
        </w:tc>
        <w:tc>
          <w:tcPr/>
          <w:p>
            <w:pPr>
              <w:pStyle w:val="Compact"/>
            </w:pPr>
            <w:r>
              <w:t xml:space="preserve">[34]</w:t>
            </w:r>
          </w:p>
        </w:tc>
      </w:tr>
      <w:tr>
        <w:tc>
          <w:tcPr/>
          <w:p>
            <w:pPr>
              <w:pStyle w:val="Compact"/>
            </w:pPr>
            <w:r>
              <w:t xml:space="preserve">ProsusAI FinBERT</w:t>
            </w:r>
          </w:p>
        </w:tc>
        <w:tc>
          <w:tcPr/>
          <w:p>
            <w:pPr>
              <w:pStyle w:val="Compact"/>
            </w:pPr>
            <w:r>
              <w:t xml:space="preserve">Ch3.5</w:t>
            </w:r>
          </w:p>
        </w:tc>
        <w:tc>
          <w:tcPr/>
          <w:p>
            <w:pPr>
              <w:pStyle w:val="Compact"/>
            </w:pPr>
            <w:r>
              <w:t xml:space="preserve">[35]</w:t>
            </w:r>
          </w:p>
        </w:tc>
      </w:tr>
      <w:tr>
        <w:tc>
          <w:tcPr/>
          <w:p>
            <w:pPr>
              <w:pStyle w:val="Compact"/>
            </w:pPr>
            <w:r>
              <w:t xml:space="preserve">Brockman OpenAI Gym</w:t>
            </w:r>
          </w:p>
        </w:tc>
        <w:tc>
          <w:tcPr/>
          <w:p>
            <w:pPr>
              <w:pStyle w:val="Compact"/>
            </w:pPr>
            <w:r>
              <w:t xml:space="preserve">Ch3.8</w:t>
            </w:r>
          </w:p>
        </w:tc>
        <w:tc>
          <w:tcPr/>
          <w:p>
            <w:pPr>
              <w:pStyle w:val="Compact"/>
            </w:pPr>
            <w:r>
              <w:t xml:space="preserve">[36]</w:t>
            </w:r>
          </w:p>
        </w:tc>
      </w:tr>
      <w:tr>
        <w:tc>
          <w:tcPr/>
          <w:p>
            <w:pPr>
              <w:pStyle w:val="Compact"/>
            </w:pPr>
            <w:r>
              <w:t xml:space="preserve">FastAPI</w:t>
            </w:r>
          </w:p>
        </w:tc>
        <w:tc>
          <w:tcPr/>
          <w:p>
            <w:pPr>
              <w:pStyle w:val="Compact"/>
            </w:pPr>
            <w:r>
              <w:t xml:space="preserve">Ch3.12</w:t>
            </w:r>
          </w:p>
        </w:tc>
        <w:tc>
          <w:tcPr/>
          <w:p>
            <w:pPr>
              <w:pStyle w:val="Compact"/>
            </w:pPr>
            <w:r>
              <w:t xml:space="preserve">[37]</w:t>
            </w:r>
          </w:p>
        </w:tc>
      </w:tr>
      <w:tr>
        <w:tc>
          <w:tcPr/>
          <w:p>
            <w:pPr>
              <w:pStyle w:val="Compact"/>
            </w:pPr>
            <w:r>
              <w:t xml:space="preserve">Beutel Flower</w:t>
            </w:r>
          </w:p>
        </w:tc>
        <w:tc>
          <w:tcPr/>
          <w:p>
            <w:pPr>
              <w:pStyle w:val="Compact"/>
            </w:pPr>
            <w:r>
              <w:t xml:space="preserve">Ch3.11</w:t>
            </w:r>
          </w:p>
        </w:tc>
        <w:tc>
          <w:tcPr/>
          <w:p>
            <w:pPr>
              <w:pStyle w:val="Compact"/>
            </w:pPr>
            <w:r>
              <w:t xml:space="preserve">[38]</w:t>
            </w:r>
          </w:p>
        </w:tc>
      </w:tr>
      <w:tr>
        <w:tc>
          <w:tcPr/>
          <w:p>
            <w:pPr>
              <w:pStyle w:val="Compact"/>
            </w:pPr>
            <w:r>
              <w:t xml:space="preserve">Sortino 1991</w:t>
            </w:r>
          </w:p>
        </w:tc>
        <w:tc>
          <w:tcPr/>
          <w:p>
            <w:pPr>
              <w:pStyle w:val="Compact"/>
            </w:pPr>
            <w:r>
              <w:t xml:space="preserve">Ch4, Ch5</w:t>
            </w:r>
          </w:p>
        </w:tc>
        <w:tc>
          <w:tcPr/>
          <w:p>
            <w:pPr>
              <w:pStyle w:val="Compact"/>
            </w:pPr>
            <w:r>
              <w:t xml:space="preserve">[39]</w:t>
            </w:r>
          </w:p>
        </w:tc>
      </w:tr>
      <w:tr>
        <w:tc>
          <w:tcPr/>
          <w:p>
            <w:pPr>
              <w:pStyle w:val="Compact"/>
            </w:pPr>
            <w:r>
              <w:t xml:space="preserve">Merton 1973 ICAPM</w:t>
            </w:r>
          </w:p>
        </w:tc>
        <w:tc>
          <w:tcPr/>
          <w:p>
            <w:pPr>
              <w:pStyle w:val="Compact"/>
            </w:pPr>
            <w:r>
              <w:t xml:space="preserve">Ch2.1</w:t>
            </w:r>
          </w:p>
        </w:tc>
        <w:tc>
          <w:tcPr/>
          <w:p>
            <w:pPr>
              <w:pStyle w:val="Compact"/>
            </w:pPr>
            <w:r>
              <w:t xml:space="preserve">[40]</w:t>
            </w:r>
          </w:p>
        </w:tc>
      </w:tr>
      <w:tr>
        <w:tc>
          <w:tcPr/>
          <w:p>
            <w:pPr>
              <w:pStyle w:val="Compact"/>
            </w:pPr>
            <w:r>
              <w:t xml:space="preserve">Gupta 2007 Indian Market</w:t>
            </w:r>
          </w:p>
        </w:tc>
        <w:tc>
          <w:tcPr/>
          <w:p>
            <w:pPr>
              <w:pStyle w:val="Compact"/>
            </w:pPr>
            <w:r>
              <w:t xml:space="preserve">Ch1, Ch2.7</w:t>
            </w:r>
          </w:p>
        </w:tc>
        <w:tc>
          <w:tcPr/>
          <w:p>
            <w:pPr>
              <w:pStyle w:val="Compact"/>
            </w:pPr>
            <w:r>
              <w:t xml:space="preserve">[41]</w:t>
            </w:r>
          </w:p>
        </w:tc>
      </w:tr>
      <w:tr>
        <w:tc>
          <w:tcPr/>
          <w:p>
            <w:pPr>
              <w:pStyle w:val="Compact"/>
            </w:pPr>
            <w:r>
              <w:t xml:space="preserve">Paszke 2019 PyTorch</w:t>
            </w:r>
          </w:p>
        </w:tc>
        <w:tc>
          <w:tcPr/>
          <w:p>
            <w:pPr>
              <w:pStyle w:val="Compact"/>
            </w:pPr>
            <w:r>
              <w:t xml:space="preserve">Ch3</w:t>
            </w:r>
          </w:p>
        </w:tc>
        <w:tc>
          <w:tcPr/>
          <w:p>
            <w:pPr>
              <w:pStyle w:val="Compact"/>
            </w:pPr>
            <w:r>
              <w:t xml:space="preserve">[42]</w:t>
            </w:r>
          </w:p>
        </w:tc>
      </w:tr>
    </w:tbl>
    <w:p>
      <w:r>
        <w:pict>
          <v:rect style="width:0;height:1.5pt" o:hralign="center" o:hrstd="t" o:hr="t"/>
        </w:pict>
      </w:r>
    </w:p>
    <w:bookmarkEnd w:id="84"/>
    <w:bookmarkEnd w:id="85"/>
    <w:p>
      <w:r>
        <w:br w:type="page"/>
      </w:r>
    </w:p>
    <w:bookmarkStart w:id="86" w:name="appendices"/>
    <w:p>
      <w:pPr>
        <w:pStyle w:val="Heading1"/>
      </w:pPr>
      <w:r>
        <w:t xml:space="preserve">Appendices</w:t>
      </w:r>
    </w:p>
    <w:p>
      <w:r>
        <w:pict>
          <v:rect style="width:0;height:1.5pt" o:hralign="center" o:hrstd="t" o:hr="t"/>
        </w:pict>
      </w:r>
    </w:p>
    <w:bookmarkEnd w:id="86"/>
    <w:bookmarkStart w:id="87" w:name="appendices-1"/>
    <w:p>
      <w:pPr>
        <w:pStyle w:val="Heading1"/>
      </w:pPr>
      <w:r>
        <w:t xml:space="preserve">APPENDICES</w:t>
      </w:r>
    </w:p>
    <w:p>
      <w:r>
        <w:pict>
          <v:rect style="width:0;height:1.5pt" o:hralign="center" o:hrstd="t" o:hr="t"/>
        </w:pict>
      </w:r>
    </w:p>
    <w:bookmarkStart w:id="88" w:name="appendix-a-system-architecture-diagram"/>
    <w:p>
      <w:pPr>
        <w:pStyle w:val="Heading2"/>
      </w:pPr>
      <w:r>
        <w:t xml:space="preserve">Appendix A — System Architecture Diagram</w:t>
      </w:r>
    </w:p>
    <w:p>
      <w:pPr>
        <w:pStyle w:val="FirstParagraph"/>
      </w:pPr>
      <w:r>
        <w:t xml:space="preserve">The complete FINQUANT-NEXUS system architecture is shown in Figure A.1. The diagram illustrates all major components and the direction of data flow from input sources to the React dashboard output.</w:t>
      </w:r>
    </w:p>
    <w:p>
      <w:pPr>
        <w:pStyle w:val="BodyText"/>
      </w:pPr>
      <w:r>
        <w:t xml:space="preserve">[INSERT Figure A.1 here — file: imgs/fig_3_1_architecture.png — Caption: Figure A.1: Complete FINQUANT-NEXUS System Architecture showing data flow from Yahoo Finance and news sources through the ML pipeline to the React dashboard. High-resolution version rendered from DIAGRAMS_MERMAID.md using Mermaid.live.]</w:t>
      </w:r>
    </w:p>
    <w:p>
      <w:pPr>
        <w:pStyle w:val="BodyText"/>
      </w:pPr>
      <w:r>
        <w:t xml:space="preserve">The architecture diagram covers the following components in sequence.</w:t>
      </w:r>
    </w:p>
    <w:p>
      <w:pPr>
        <w:pStyle w:val="Compact"/>
        <w:numPr>
          <w:ilvl w:val="0"/>
          <w:numId w:val="1005"/>
        </w:numPr>
      </w:pPr>
      <w:r>
        <w:rPr>
          <w:b/>
          <w:bCs/>
        </w:rPr>
        <w:t xml:space="preserve">Data Layer:</w:t>
      </w:r>
      <w:r>
        <w:t xml:space="preserve"> </w:t>
      </w:r>
      <w:r>
        <w:t xml:space="preserve">Yahoo Finance API (price data for 44 stocks), Google News API, Yahoo Finance News, Indian RSS feeds</w:t>
      </w:r>
    </w:p>
    <w:p>
      <w:pPr>
        <w:pStyle w:val="Compact"/>
        <w:numPr>
          <w:ilvl w:val="0"/>
          <w:numId w:val="1005"/>
        </w:numPr>
      </w:pPr>
      <w:r>
        <w:rPr>
          <w:b/>
          <w:bCs/>
        </w:rPr>
        <w:t xml:space="preserve">Processing Layer:</w:t>
      </w:r>
      <w:r>
        <w:t xml:space="preserve"> </w:t>
      </w:r>
      <w:r>
        <w:t xml:space="preserve">Data cleaning, forward-fill, 21 technical indicator computation, 252-day rolling Z-score normalization</w:t>
      </w:r>
    </w:p>
    <w:p>
      <w:pPr>
        <w:pStyle w:val="Compact"/>
        <w:numPr>
          <w:ilvl w:val="0"/>
          <w:numId w:val="1005"/>
        </w:numPr>
      </w:pPr>
      <w:r>
        <w:rPr>
          <w:b/>
          <w:bCs/>
        </w:rPr>
        <w:t xml:space="preserve">Sentiment Layer:</w:t>
      </w:r>
      <w:r>
        <w:t xml:space="preserve"> </w:t>
      </w:r>
      <w:r>
        <w:t xml:space="preserve">FinBERT tokenization, three-class sentiment classification, SQLite caching with 180-second TTL</w:t>
      </w:r>
    </w:p>
    <w:p>
      <w:pPr>
        <w:pStyle w:val="Compact"/>
        <w:numPr>
          <w:ilvl w:val="0"/>
          <w:numId w:val="1005"/>
        </w:numPr>
      </w:pPr>
      <w:r>
        <w:rPr>
          <w:b/>
          <w:bCs/>
        </w:rPr>
        <w:t xml:space="preserve">Graph Layer:</w:t>
      </w:r>
      <w:r>
        <w:t xml:space="preserve"> </w:t>
      </w:r>
      <w:r>
        <w:t xml:space="preserve">Multi-relational graph construction (sector, supply chain, correlation edges), Temporal Graph Attention Network producing 32-dimensional stock embeddings</w:t>
      </w:r>
    </w:p>
    <w:p>
      <w:pPr>
        <w:pStyle w:val="Compact"/>
        <w:numPr>
          <w:ilvl w:val="0"/>
          <w:numId w:val="1005"/>
        </w:numPr>
      </w:pPr>
      <w:r>
        <w:rPr>
          <w:b/>
          <w:bCs/>
        </w:rPr>
        <w:t xml:space="preserve">RL Layer:</w:t>
      </w:r>
      <w:r>
        <w:t xml:space="preserve"> </w:t>
      </w:r>
      <w:r>
        <w:t xml:space="preserve">Gymnasium PortfolioEnv, six RL agents (PPO, SAC, TD3, A2C, DDPG, Ensemble), risk constraint enforcement</w:t>
      </w:r>
    </w:p>
    <w:p>
      <w:pPr>
        <w:pStyle w:val="Compact"/>
        <w:numPr>
          <w:ilvl w:val="0"/>
          <w:numId w:val="1005"/>
        </w:numPr>
      </w:pPr>
      <w:r>
        <w:rPr>
          <w:b/>
          <w:bCs/>
        </w:rPr>
        <w:t xml:space="preserve">Risk Layer:</w:t>
      </w:r>
      <w:r>
        <w:t xml:space="preserve"> </w:t>
      </w:r>
      <w:r>
        <w:t xml:space="preserve">Monte Carlo stress testing across eight scenarios, Black Bootstrap forward simulation</w:t>
      </w:r>
    </w:p>
    <w:p>
      <w:pPr>
        <w:pStyle w:val="Compact"/>
        <w:numPr>
          <w:ilvl w:val="0"/>
          <w:numId w:val="1005"/>
        </w:numPr>
      </w:pPr>
      <w:r>
        <w:rPr>
          <w:b/>
          <w:bCs/>
        </w:rPr>
        <w:t xml:space="preserve">FL Layer:</w:t>
      </w:r>
      <w:r>
        <w:t xml:space="preserve"> </w:t>
      </w:r>
      <w:r>
        <w:t xml:space="preserve">FedProx server, four sector clients, DP-SGD privacy mechanism</w:t>
      </w:r>
    </w:p>
    <w:p>
      <w:pPr>
        <w:pStyle w:val="Compact"/>
        <w:numPr>
          <w:ilvl w:val="0"/>
          <w:numId w:val="1005"/>
        </w:numPr>
      </w:pPr>
      <w:r>
        <w:rPr>
          <w:b/>
          <w:bCs/>
        </w:rPr>
        <w:t xml:space="preserve">Output Layer:</w:t>
      </w:r>
      <w:r>
        <w:t xml:space="preserve"> </w:t>
      </w:r>
      <w:r>
        <w:t xml:space="preserve">FastAPI REST backend, React 19 dashboard with eight interactive tabs</w:t>
      </w:r>
    </w:p>
    <w:p>
      <w:r>
        <w:pict>
          <v:rect style="width:0;height:1.5pt" o:hralign="center" o:hrstd="t" o:hr="t"/>
        </w:pict>
      </w:r>
    </w:p>
    <w:bookmarkEnd w:id="87"/>
    <w:bookmarkStart w:id="89" w:name="X2b7c2325f568868735b9f3c6f117aa0468f1197"/>
    <w:p>
      <w:pPr>
        <w:pStyle w:val="Heading2"/>
      </w:pPr>
      <w:r>
        <w:t xml:space="preserve">Appendix B — Configuration File (configs/base.yaml)</w:t>
      </w:r>
    </w:p>
    <w:p>
      <w:pPr>
        <w:pStyle w:val="FirstParagraph"/>
      </w:pPr>
      <w:r>
        <w:t xml:space="preserve">The following listing shows the complete hyperparameter configuration used for all experiments in this dissertation. All parameter values referenced in Chapters 3 and 4 can be verified against this file. No values were hardcoded in the source code; all experiments used this configuration file as the single source of truth for hyperparameters.</w:t>
      </w:r>
    </w:p>
    <w:p>
      <w:pPr>
        <w:pStyle w:val="SourceCode"/>
      </w:pPr>
      <w:r>
        <w:rPr>
          <w:rStyle w:val="CommentTok"/>
        </w:rPr>
        <w:t xml:space="preserve"># === FINQUANT-NEXUS v4 Master Config ===</w:t>
      </w:r>
      <w:r>
        <w:br/>
      </w:r>
      <w:r>
        <w:rPr>
          <w:rStyle w:val="CommentTok"/>
        </w:rPr>
        <w:t xml:space="preserve"># All hyperparameters here. No hardcoded values in code.</w:t>
      </w:r>
      <w:r>
        <w:br/>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FunctionTok"/>
        </w:rPr>
        <w:t xml:space="preserve">device</w:t>
      </w:r>
      <w:r>
        <w:rPr>
          <w:rStyle w:val="KeywordTok"/>
        </w:rPr>
        <w:t xml:space="preserve">:</w:t>
      </w:r>
      <w:r>
        <w:rPr>
          <w:rStyle w:val="AttributeTok"/>
        </w:rPr>
        <w:t xml:space="preserve"> </w:t>
      </w:r>
      <w:r>
        <w:rPr>
          <w:rStyle w:val="StringTok"/>
        </w:rPr>
        <w:t xml:space="preserve">'cuda'</w:t>
      </w:r>
      <w:r>
        <w:rPr>
          <w:rStyle w:val="CommentTok"/>
        </w:rPr>
        <w:t xml:space="preserve">             # configured target; falls back to CPU on the CPU-only PyTorch build used in this work</w:t>
      </w:r>
      <w:r>
        <w:br/>
      </w:r>
      <w:r>
        <w:rPr>
          <w:rStyle w:val="FunctionTok"/>
        </w:rPr>
        <w:t xml:space="preserve">fp16</w:t>
      </w:r>
      <w:r>
        <w:rPr>
          <w:rStyle w:val="KeywordTok"/>
        </w:rPr>
        <w:t xml:space="preserve">:</w:t>
      </w:r>
      <w:r>
        <w:rPr>
          <w:rStyle w:val="AttributeTok"/>
        </w:rPr>
        <w:t xml:space="preserve"> </w:t>
      </w:r>
      <w:r>
        <w:rPr>
          <w:rStyle w:val="CharTok"/>
        </w:rPr>
        <w:t xml:space="preserve">true</w:t>
      </w:r>
      <w:r>
        <w:br/>
      </w:r>
      <w:r>
        <w:br/>
      </w:r>
      <w:r>
        <w:rPr>
          <w:rStyle w:val="CommentTok"/>
        </w:rPr>
        <w:t xml:space="preserve"># --- Data ---</w:t>
      </w:r>
      <w:r>
        <w:br/>
      </w:r>
      <w:r>
        <w:rPr>
          <w:rStyle w:val="FunctionTok"/>
        </w:rPr>
        <w:t xml:space="preserve">data</w:t>
      </w:r>
      <w:r>
        <w:rPr>
          <w:rStyle w:val="KeywordTok"/>
        </w:rPr>
        <w:t xml:space="preserve">:</w:t>
      </w:r>
      <w:r>
        <w:br/>
      </w:r>
      <w:r>
        <w:rPr>
          <w:rStyle w:val="AttributeTok"/>
        </w:rPr>
        <w:t xml:space="preserve">  </w:t>
      </w:r>
      <w:r>
        <w:rPr>
          <w:rStyle w:val="FunctionTok"/>
        </w:rPr>
        <w:t xml:space="preserve">stocks</w:t>
      </w:r>
      <w:r>
        <w:rPr>
          <w:rStyle w:val="KeywordTok"/>
        </w:rPr>
        <w:t xml:space="preserve">:</w:t>
      </w:r>
      <w:r>
        <w:rPr>
          <w:rStyle w:val="AttributeTok"/>
        </w:rPr>
        <w:t xml:space="preserve"> </w:t>
      </w:r>
      <w:r>
        <w:rPr>
          <w:rStyle w:val="StringTok"/>
        </w:rPr>
        <w:t xml:space="preserve">'nifty50'</w:t>
      </w:r>
      <w:r>
        <w:br/>
      </w:r>
      <w:r>
        <w:rPr>
          <w:rStyle w:val="AttributeTok"/>
        </w:rPr>
        <w:t xml:space="preserve">  </w:t>
      </w:r>
      <w:r>
        <w:rPr>
          <w:rStyle w:val="FunctionTok"/>
        </w:rPr>
        <w:t xml:space="preserve">start_date</w:t>
      </w:r>
      <w:r>
        <w:rPr>
          <w:rStyle w:val="KeywordTok"/>
        </w:rPr>
        <w:t xml:space="preserve">:</w:t>
      </w:r>
      <w:r>
        <w:rPr>
          <w:rStyle w:val="AttributeTok"/>
        </w:rPr>
        <w:t xml:space="preserve"> </w:t>
      </w:r>
      <w:r>
        <w:rPr>
          <w:rStyle w:val="StringTok"/>
        </w:rPr>
        <w:t xml:space="preserve">'2015-01-01'</w:t>
      </w:r>
      <w:r>
        <w:br/>
      </w:r>
      <w:r>
        <w:rPr>
          <w:rStyle w:val="AttributeTok"/>
        </w:rPr>
        <w:t xml:space="preserve">  </w:t>
      </w:r>
      <w:r>
        <w:rPr>
          <w:rStyle w:val="FunctionTok"/>
        </w:rPr>
        <w:t xml:space="preserve">end_date</w:t>
      </w:r>
      <w:r>
        <w:rPr>
          <w:rStyle w:val="KeywordTok"/>
        </w:rPr>
        <w:t xml:space="preserve">:</w:t>
      </w:r>
      <w:r>
        <w:rPr>
          <w:rStyle w:val="AttributeTok"/>
        </w:rPr>
        <w:t xml:space="preserve"> </w:t>
      </w:r>
      <w:r>
        <w:rPr>
          <w:rStyle w:val="StringTok"/>
        </w:rPr>
        <w:t xml:space="preserve">'2025-12-31'</w:t>
      </w:r>
      <w:r>
        <w:br/>
      </w:r>
      <w:r>
        <w:rPr>
          <w:rStyle w:val="AttributeTok"/>
        </w:rPr>
        <w:t xml:space="preserve">  </w:t>
      </w:r>
      <w:r>
        <w:rPr>
          <w:rStyle w:val="FunctionTok"/>
        </w:rPr>
        <w:t xml:space="preserve">train_end</w:t>
      </w:r>
      <w:r>
        <w:rPr>
          <w:rStyle w:val="KeywordTok"/>
        </w:rPr>
        <w:t xml:space="preserve">:</w:t>
      </w:r>
      <w:r>
        <w:rPr>
          <w:rStyle w:val="AttributeTok"/>
        </w:rPr>
        <w:t xml:space="preserve"> </w:t>
      </w:r>
      <w:r>
        <w:rPr>
          <w:rStyle w:val="StringTok"/>
        </w:rPr>
        <w:t xml:space="preserve">'2021-12-31'</w:t>
      </w:r>
      <w:r>
        <w:br/>
      </w:r>
      <w:r>
        <w:rPr>
          <w:rStyle w:val="AttributeTok"/>
        </w:rPr>
        <w:t xml:space="preserve">  </w:t>
      </w:r>
      <w:r>
        <w:rPr>
          <w:rStyle w:val="FunctionTok"/>
        </w:rPr>
        <w:t xml:space="preserve">val_end</w:t>
      </w:r>
      <w:r>
        <w:rPr>
          <w:rStyle w:val="KeywordTok"/>
        </w:rPr>
        <w:t xml:space="preserve">:</w:t>
      </w:r>
      <w:r>
        <w:rPr>
          <w:rStyle w:val="AttributeTok"/>
        </w:rPr>
        <w:t xml:space="preserve"> </w:t>
      </w:r>
      <w:r>
        <w:rPr>
          <w:rStyle w:val="StringTok"/>
        </w:rPr>
        <w:t xml:space="preserve">'2023-12-31'</w:t>
      </w:r>
      <w:r>
        <w:br/>
      </w:r>
      <w:r>
        <w:rPr>
          <w:rStyle w:val="AttributeTok"/>
        </w:rPr>
        <w:t xml:space="preserve">  </w:t>
      </w:r>
      <w:r>
        <w:rPr>
          <w:rStyle w:val="FunctionTok"/>
        </w:rPr>
        <w:t xml:space="preserve">risk_free_rate</w:t>
      </w:r>
      <w:r>
        <w:rPr>
          <w:rStyle w:val="KeywordTok"/>
        </w:rPr>
        <w:t xml:space="preserve">:</w:t>
      </w:r>
      <w:r>
        <w:rPr>
          <w:rStyle w:val="AttributeTok"/>
        </w:rPr>
        <w:t xml:space="preserve"> </w:t>
      </w:r>
      <w:r>
        <w:rPr>
          <w:rStyle w:val="FloatTok"/>
        </w:rPr>
        <w:t xml:space="preserve">0.05</w:t>
      </w:r>
      <w:r>
        <w:rPr>
          <w:rStyle w:val="CommentTok"/>
        </w:rPr>
        <w:t xml:space="preserve">        # 5% (Indian 10-year government bond yield)</w:t>
      </w:r>
      <w:r>
        <w:br/>
      </w:r>
      <w:r>
        <w:rPr>
          <w:rStyle w:val="AttributeTok"/>
        </w:rPr>
        <w:t xml:space="preserve">  </w:t>
      </w:r>
      <w:r>
        <w:rPr>
          <w:rStyle w:val="FunctionTok"/>
        </w:rPr>
        <w:t xml:space="preserve">transaction_cost</w:t>
      </w:r>
      <w:r>
        <w:rPr>
          <w:rStyle w:val="KeywordTok"/>
        </w:rPr>
        <w:t xml:space="preserve">:</w:t>
      </w:r>
      <w:r>
        <w:rPr>
          <w:rStyle w:val="AttributeTok"/>
        </w:rPr>
        <w:t xml:space="preserve"> </w:t>
      </w:r>
      <w:r>
        <w:rPr>
          <w:rStyle w:val="FloatTok"/>
        </w:rPr>
        <w:t xml:space="preserve">0.001</w:t>
      </w:r>
      <w:r>
        <w:rPr>
          <w:rStyle w:val="CommentTok"/>
        </w:rPr>
        <w:t xml:space="preserve">     # 0.1% STT + brokerage</w:t>
      </w:r>
      <w:r>
        <w:br/>
      </w:r>
      <w:r>
        <w:rPr>
          <w:rStyle w:val="AttributeTok"/>
        </w:rPr>
        <w:t xml:space="preserve">  </w:t>
      </w:r>
      <w:r>
        <w:rPr>
          <w:rStyle w:val="FunctionTok"/>
        </w:rPr>
        <w:t xml:space="preserve">slippage</w:t>
      </w:r>
      <w:r>
        <w:rPr>
          <w:rStyle w:val="KeywordTok"/>
        </w:rPr>
        <w:t xml:space="preserve">:</w:t>
      </w:r>
      <w:r>
        <w:rPr>
          <w:rStyle w:val="AttributeTok"/>
        </w:rPr>
        <w:t xml:space="preserve"> </w:t>
      </w:r>
      <w:r>
        <w:rPr>
          <w:rStyle w:val="FloatTok"/>
        </w:rPr>
        <w:t xml:space="preserve">0.0005</w:t>
      </w:r>
      <w:r>
        <w:rPr>
          <w:rStyle w:val="CommentTok"/>
        </w:rPr>
        <w:t xml:space="preserve">            # 0.05%</w:t>
      </w:r>
      <w:r>
        <w:br/>
      </w:r>
      <w:r>
        <w:rPr>
          <w:rStyle w:val="AttributeTok"/>
        </w:rPr>
        <w:t xml:space="preserve">  </w:t>
      </w:r>
      <w:r>
        <w:rPr>
          <w:rStyle w:val="FunctionTok"/>
        </w:rPr>
        <w:t xml:space="preserve">min_trading_days</w:t>
      </w:r>
      <w:r>
        <w:rPr>
          <w:rStyle w:val="KeywordTok"/>
        </w:rPr>
        <w:t xml:space="preserve">:</w:t>
      </w:r>
      <w:r>
        <w:rPr>
          <w:rStyle w:val="AttributeTok"/>
        </w:rPr>
        <w:t xml:space="preserve"> </w:t>
      </w:r>
      <w:r>
        <w:rPr>
          <w:rStyle w:val="DecValTok"/>
        </w:rPr>
        <w:t xml:space="preserve">1000</w:t>
      </w:r>
      <w:r>
        <w:rPr>
          <w:rStyle w:val="CommentTok"/>
        </w:rPr>
        <w:t xml:space="preserve">      # Minimum days for a stock to be included</w:t>
      </w:r>
      <w:r>
        <w:br/>
      </w:r>
      <w:r>
        <w:rPr>
          <w:rStyle w:val="AttributeTok"/>
        </w:rPr>
        <w:t xml:space="preserve">  </w:t>
      </w:r>
      <w:r>
        <w:rPr>
          <w:rStyle w:val="FunctionTok"/>
        </w:rPr>
        <w:t xml:space="preserve">max_nan_pct</w:t>
      </w:r>
      <w:r>
        <w:rPr>
          <w:rStyle w:val="KeywordTok"/>
        </w:rPr>
        <w:t xml:space="preserve">:</w:t>
      </w:r>
      <w:r>
        <w:rPr>
          <w:rStyle w:val="AttributeTok"/>
        </w:rPr>
        <w:t xml:space="preserve"> </w:t>
      </w:r>
      <w:r>
        <w:rPr>
          <w:rStyle w:val="FloatTok"/>
        </w:rPr>
        <w:t xml:space="preserve">0.05</w:t>
      </w:r>
      <w:r>
        <w:rPr>
          <w:rStyle w:val="CommentTok"/>
        </w:rPr>
        <w:t xml:space="preserve">           # Max 5% NaN allowed</w:t>
      </w:r>
      <w:r>
        <w:br/>
      </w:r>
      <w:r>
        <w:rPr>
          <w:rStyle w:val="AttributeTok"/>
        </w:rPr>
        <w:t xml:space="preserve">  </w:t>
      </w:r>
      <w:r>
        <w:rPr>
          <w:rStyle w:val="FunctionTok"/>
        </w:rPr>
        <w:t xml:space="preserve">trading_days_per_year</w:t>
      </w:r>
      <w:r>
        <w:rPr>
          <w:rStyle w:val="KeywordTok"/>
        </w:rPr>
        <w:t xml:space="preserve">:</w:t>
      </w:r>
      <w:r>
        <w:rPr>
          <w:rStyle w:val="AttributeTok"/>
        </w:rPr>
        <w:t xml:space="preserve"> </w:t>
      </w:r>
      <w:r>
        <w:rPr>
          <w:rStyle w:val="DecValTok"/>
        </w:rPr>
        <w:t xml:space="preserve">248</w:t>
      </w:r>
      <w:r>
        <w:br/>
      </w:r>
      <w:r>
        <w:br/>
      </w:r>
      <w:r>
        <w:rPr>
          <w:rStyle w:val="CommentTok"/>
        </w:rPr>
        <w:t xml:space="preserve"># --- Feature Engineering ---</w:t>
      </w:r>
      <w:r>
        <w:br/>
      </w:r>
      <w:r>
        <w:rPr>
          <w:rStyle w:val="FunctionTok"/>
        </w:rPr>
        <w:t xml:space="preserve">features</w:t>
      </w:r>
      <w:r>
        <w:rPr>
          <w:rStyle w:val="KeywordTok"/>
        </w:rPr>
        <w:t xml:space="preserve">:</w:t>
      </w:r>
      <w:r>
        <w:br/>
      </w:r>
      <w:r>
        <w:rPr>
          <w:rStyle w:val="AttributeTok"/>
        </w:rPr>
        <w:t xml:space="preserve">  </w:t>
      </w:r>
      <w:r>
        <w:rPr>
          <w:rStyle w:val="FunctionTok"/>
        </w:rPr>
        <w:t xml:space="preserve">normalize</w:t>
      </w:r>
      <w:r>
        <w:rPr>
          <w:rStyle w:val="KeywordTok"/>
        </w:rPr>
        <w:t xml:space="preserve">:</w:t>
      </w:r>
      <w:r>
        <w:rPr>
          <w:rStyle w:val="AttributeTok"/>
        </w:rPr>
        <w:t xml:space="preserve"> </w:t>
      </w:r>
      <w:r>
        <w:rPr>
          <w:rStyle w:val="StringTok"/>
        </w:rPr>
        <w:t xml:space="preserve">'zscore'</w:t>
      </w:r>
      <w:r>
        <w:br/>
      </w:r>
      <w:r>
        <w:rPr>
          <w:rStyle w:val="AttributeTok"/>
        </w:rPr>
        <w:t xml:space="preserve">  </w:t>
      </w:r>
      <w:r>
        <w:rPr>
          <w:rStyle w:val="FunctionTok"/>
        </w:rPr>
        <w:t xml:space="preserve">rolling_window</w:t>
      </w:r>
      <w:r>
        <w:rPr>
          <w:rStyle w:val="KeywordTok"/>
        </w:rPr>
        <w:t xml:space="preserve">:</w:t>
      </w:r>
      <w:r>
        <w:rPr>
          <w:rStyle w:val="AttributeTok"/>
        </w:rPr>
        <w:t xml:space="preserve"> </w:t>
      </w:r>
      <w:r>
        <w:rPr>
          <w:rStyle w:val="DecValTok"/>
        </w:rPr>
        <w:t xml:space="preserve">252</w:t>
      </w:r>
      <w:r>
        <w:rPr>
          <w:rStyle w:val="CommentTok"/>
        </w:rPr>
        <w:t xml:space="preserve">         # 1 year rolling for normalization</w:t>
      </w:r>
      <w:r>
        <w:br/>
      </w:r>
      <w:r>
        <w:rPr>
          <w:rStyle w:val="AttributeTok"/>
        </w:rPr>
        <w:t xml:space="preserve">  </w:t>
      </w:r>
      <w:r>
        <w:rPr>
          <w:rStyle w:val="FunctionTok"/>
        </w:rPr>
        <w:t xml:space="preserve">clip_range</w:t>
      </w:r>
      <w:r>
        <w:rPr>
          <w:rStyle w:val="KeywordTok"/>
        </w:rPr>
        <w:t xml:space="preserve">:</w:t>
      </w:r>
      <w:r>
        <w:rPr>
          <w:rStyle w:val="AttributeTok"/>
        </w:rPr>
        <w:t xml:space="preserve"> </w:t>
      </w:r>
      <w:r>
        <w:rPr>
          <w:rStyle w:val="FloatTok"/>
        </w:rPr>
        <w:t xml:space="preserve">5.0</w:t>
      </w:r>
      <w:r>
        <w:rPr>
          <w:rStyle w:val="CommentTok"/>
        </w:rPr>
        <w:t xml:space="preserve">             # Clip z-scores to [-5, +5]</w:t>
      </w:r>
      <w:r>
        <w:br/>
      </w:r>
      <w:r>
        <w:rPr>
          <w:rStyle w:val="AttributeTok"/>
        </w:rPr>
        <w:t xml:space="preserve">  </w:t>
      </w:r>
      <w:r>
        <w:rPr>
          <w:rStyle w:val="FunctionTok"/>
        </w:rPr>
        <w:t xml:space="preserve">min_periods</w:t>
      </w:r>
      <w:r>
        <w:rPr>
          <w:rStyle w:val="KeywordTok"/>
        </w:rPr>
        <w:t xml:space="preserve">:</w:t>
      </w:r>
      <w:r>
        <w:rPr>
          <w:rStyle w:val="AttributeTok"/>
        </w:rPr>
        <w:t xml:space="preserve"> </w:t>
      </w:r>
      <w:r>
        <w:rPr>
          <w:rStyle w:val="DecValTok"/>
        </w:rPr>
        <w:t xml:space="preserve">60</w:t>
      </w:r>
      <w:r>
        <w:rPr>
          <w:rStyle w:val="CommentTok"/>
        </w:rPr>
        <w:t xml:space="preserve">             # Minimum periods for rolling stats</w:t>
      </w:r>
      <w:r>
        <w:br/>
      </w:r>
      <w:r>
        <w:rPr>
          <w:rStyle w:val="AttributeTok"/>
        </w:rPr>
        <w:t xml:space="preserve">  </w:t>
      </w:r>
      <w:r>
        <w:rPr>
          <w:rStyle w:val="FunctionTok"/>
        </w:rPr>
        <w:t xml:space="preserve">indicators</w:t>
      </w:r>
      <w:r>
        <w:rPr>
          <w:rStyle w:val="KeywordTok"/>
        </w:rPr>
        <w:t xml:space="preserve">:</w:t>
      </w:r>
      <w:r>
        <w:br/>
      </w:r>
      <w:r>
        <w:rPr>
          <w:rStyle w:val="KeywordTok"/>
        </w:rPr>
        <w:t xml:space="preserve">-</w:t>
      </w:r>
      <w:r>
        <w:rPr>
          <w:rStyle w:val="AttributeTok"/>
        </w:rPr>
        <w:t xml:space="preserve"> rsi</w:t>
      </w:r>
      <w:r>
        <w:br/>
      </w:r>
      <w:r>
        <w:rPr>
          <w:rStyle w:val="KeywordTok"/>
        </w:rPr>
        <w:t xml:space="preserve">-</w:t>
      </w:r>
      <w:r>
        <w:rPr>
          <w:rStyle w:val="AttributeTok"/>
        </w:rPr>
        <w:t xml:space="preserve"> macd</w:t>
      </w:r>
      <w:r>
        <w:br/>
      </w:r>
      <w:r>
        <w:rPr>
          <w:rStyle w:val="KeywordTok"/>
        </w:rPr>
        <w:t xml:space="preserve">-</w:t>
      </w:r>
      <w:r>
        <w:rPr>
          <w:rStyle w:val="AttributeTok"/>
        </w:rPr>
        <w:t xml:space="preserve"> macd_signal</w:t>
      </w:r>
      <w:r>
        <w:br/>
      </w:r>
      <w:r>
        <w:rPr>
          <w:rStyle w:val="KeywordTok"/>
        </w:rPr>
        <w:t xml:space="preserve">-</w:t>
      </w:r>
      <w:r>
        <w:rPr>
          <w:rStyle w:val="AttributeTok"/>
        </w:rPr>
        <w:t xml:space="preserve"> macd_hist</w:t>
      </w:r>
      <w:r>
        <w:br/>
      </w:r>
      <w:r>
        <w:rPr>
          <w:rStyle w:val="KeywordTok"/>
        </w:rPr>
        <w:t xml:space="preserve">-</w:t>
      </w:r>
      <w:r>
        <w:rPr>
          <w:rStyle w:val="AttributeTok"/>
        </w:rPr>
        <w:t xml:space="preserve"> bb_upper</w:t>
      </w:r>
      <w:r>
        <w:br/>
      </w:r>
      <w:r>
        <w:rPr>
          <w:rStyle w:val="KeywordTok"/>
        </w:rPr>
        <w:t xml:space="preserve">-</w:t>
      </w:r>
      <w:r>
        <w:rPr>
          <w:rStyle w:val="AttributeTok"/>
        </w:rPr>
        <w:t xml:space="preserve"> bb_mid</w:t>
      </w:r>
      <w:r>
        <w:br/>
      </w:r>
      <w:r>
        <w:rPr>
          <w:rStyle w:val="KeywordTok"/>
        </w:rPr>
        <w:t xml:space="preserve">-</w:t>
      </w:r>
      <w:r>
        <w:rPr>
          <w:rStyle w:val="AttributeTok"/>
        </w:rPr>
        <w:t xml:space="preserve"> bb_lower</w:t>
      </w:r>
      <w:r>
        <w:br/>
      </w:r>
      <w:r>
        <w:rPr>
          <w:rStyle w:val="KeywordTok"/>
        </w:rPr>
        <w:t xml:space="preserve">-</w:t>
      </w:r>
      <w:r>
        <w:rPr>
          <w:rStyle w:val="AttributeTok"/>
        </w:rPr>
        <w:t xml:space="preserve"> sma_20</w:t>
      </w:r>
      <w:r>
        <w:br/>
      </w:r>
      <w:r>
        <w:rPr>
          <w:rStyle w:val="KeywordTok"/>
        </w:rPr>
        <w:t xml:space="preserve">-</w:t>
      </w:r>
      <w:r>
        <w:rPr>
          <w:rStyle w:val="AttributeTok"/>
        </w:rPr>
        <w:t xml:space="preserve"> sma_50</w:t>
      </w:r>
      <w:r>
        <w:br/>
      </w:r>
      <w:r>
        <w:rPr>
          <w:rStyle w:val="KeywordTok"/>
        </w:rPr>
        <w:t xml:space="preserve">-</w:t>
      </w:r>
      <w:r>
        <w:rPr>
          <w:rStyle w:val="AttributeTok"/>
        </w:rPr>
        <w:t xml:space="preserve"> ema_12</w:t>
      </w:r>
      <w:r>
        <w:br/>
      </w:r>
      <w:r>
        <w:rPr>
          <w:rStyle w:val="KeywordTok"/>
        </w:rPr>
        <w:t xml:space="preserve">-</w:t>
      </w:r>
      <w:r>
        <w:rPr>
          <w:rStyle w:val="AttributeTok"/>
        </w:rPr>
        <w:t xml:space="preserve"> ema_26</w:t>
      </w:r>
      <w:r>
        <w:br/>
      </w:r>
      <w:r>
        <w:rPr>
          <w:rStyle w:val="KeywordTok"/>
        </w:rPr>
        <w:t xml:space="preserve">-</w:t>
      </w:r>
      <w:r>
        <w:rPr>
          <w:rStyle w:val="AttributeTok"/>
        </w:rPr>
        <w:t xml:space="preserve"> atr</w:t>
      </w:r>
      <w:r>
        <w:br/>
      </w:r>
      <w:r>
        <w:rPr>
          <w:rStyle w:val="KeywordTok"/>
        </w:rPr>
        <w:t xml:space="preserve">-</w:t>
      </w:r>
      <w:r>
        <w:rPr>
          <w:rStyle w:val="AttributeTok"/>
        </w:rPr>
        <w:t xml:space="preserve"> stoch_k</w:t>
      </w:r>
      <w:r>
        <w:br/>
      </w:r>
      <w:r>
        <w:rPr>
          <w:rStyle w:val="KeywordTok"/>
        </w:rPr>
        <w:t xml:space="preserve">-</w:t>
      </w:r>
      <w:r>
        <w:rPr>
          <w:rStyle w:val="AttributeTok"/>
        </w:rPr>
        <w:t xml:space="preserve"> stoch_d</w:t>
      </w:r>
      <w:r>
        <w:br/>
      </w:r>
      <w:r>
        <w:rPr>
          <w:rStyle w:val="KeywordTok"/>
        </w:rPr>
        <w:t xml:space="preserve">-</w:t>
      </w:r>
      <w:r>
        <w:rPr>
          <w:rStyle w:val="AttributeTok"/>
        </w:rPr>
        <w:t xml:space="preserve"> volume_sma</w:t>
      </w:r>
      <w:r>
        <w:br/>
      </w:r>
      <w:r>
        <w:rPr>
          <w:rStyle w:val="KeywordTok"/>
        </w:rPr>
        <w:t xml:space="preserve">-</w:t>
      </w:r>
      <w:r>
        <w:rPr>
          <w:rStyle w:val="AttributeTok"/>
        </w:rPr>
        <w:t xml:space="preserve"> volume_ratio</w:t>
      </w:r>
      <w:r>
        <w:br/>
      </w:r>
      <w:r>
        <w:rPr>
          <w:rStyle w:val="KeywordTok"/>
        </w:rPr>
        <w:t xml:space="preserve">-</w:t>
      </w:r>
      <w:r>
        <w:rPr>
          <w:rStyle w:val="AttributeTok"/>
        </w:rPr>
        <w:t xml:space="preserve"> return_1d</w:t>
      </w:r>
      <w:r>
        <w:br/>
      </w:r>
      <w:r>
        <w:rPr>
          <w:rStyle w:val="KeywordTok"/>
        </w:rPr>
        <w:t xml:space="preserve">-</w:t>
      </w:r>
      <w:r>
        <w:rPr>
          <w:rStyle w:val="AttributeTok"/>
        </w:rPr>
        <w:t xml:space="preserve"> return_5d</w:t>
      </w:r>
      <w:r>
        <w:br/>
      </w:r>
      <w:r>
        <w:rPr>
          <w:rStyle w:val="KeywordTok"/>
        </w:rPr>
        <w:t xml:space="preserve">-</w:t>
      </w:r>
      <w:r>
        <w:rPr>
          <w:rStyle w:val="AttributeTok"/>
        </w:rPr>
        <w:t xml:space="preserve"> return_20d</w:t>
      </w:r>
      <w:r>
        <w:br/>
      </w:r>
      <w:r>
        <w:rPr>
          <w:rStyle w:val="KeywordTok"/>
        </w:rPr>
        <w:t xml:space="preserve">-</w:t>
      </w:r>
      <w:r>
        <w:rPr>
          <w:rStyle w:val="AttributeTok"/>
        </w:rPr>
        <w:t xml:space="preserve"> volatility_20d</w:t>
      </w:r>
      <w:r>
        <w:br/>
      </w:r>
      <w:r>
        <w:rPr>
          <w:rStyle w:val="KeywordTok"/>
        </w:rPr>
        <w:t xml:space="preserve">-</w:t>
      </w:r>
      <w:r>
        <w:rPr>
          <w:rStyle w:val="AttributeTok"/>
        </w:rPr>
        <w:t xml:space="preserve"> volatility_60d</w:t>
      </w:r>
      <w:r>
        <w:br/>
      </w:r>
      <w:r>
        <w:br/>
      </w:r>
      <w:r>
        <w:rPr>
          <w:rStyle w:val="CommentTok"/>
        </w:rPr>
        <w:t xml:space="preserve"># --- Portfolio ---</w:t>
      </w:r>
      <w:r>
        <w:br/>
      </w:r>
      <w:r>
        <w:rPr>
          <w:rStyle w:val="FunctionTok"/>
        </w:rPr>
        <w:t xml:space="preserve">portfolio</w:t>
      </w:r>
      <w:r>
        <w:rPr>
          <w:rStyle w:val="KeywordTok"/>
        </w:rPr>
        <w:t xml:space="preserve">:</w:t>
      </w:r>
      <w:r>
        <w:br/>
      </w:r>
      <w:r>
        <w:rPr>
          <w:rStyle w:val="AttributeTok"/>
        </w:rPr>
        <w:t xml:space="preserve">  </w:t>
      </w:r>
      <w:r>
        <w:rPr>
          <w:rStyle w:val="FunctionTok"/>
        </w:rPr>
        <w:t xml:space="preserve">starting_capital</w:t>
      </w:r>
      <w:r>
        <w:rPr>
          <w:rStyle w:val="KeywordTok"/>
        </w:rPr>
        <w:t xml:space="preserve">:</w:t>
      </w:r>
      <w:r>
        <w:rPr>
          <w:rStyle w:val="AttributeTok"/>
        </w:rPr>
        <w:t xml:space="preserve"> </w:t>
      </w:r>
      <w:r>
        <w:rPr>
          <w:rStyle w:val="DecValTok"/>
        </w:rPr>
        <w:t xml:space="preserve">1000000</w:t>
      </w:r>
      <w:r>
        <w:rPr>
          <w:rStyle w:val="CommentTok"/>
        </w:rPr>
        <w:t xml:space="preserve">   # Rs. 10,00,000 initial capital</w:t>
      </w:r>
      <w:r>
        <w:br/>
      </w:r>
      <w:r>
        <w:rPr>
          <w:rStyle w:val="AttributeTok"/>
        </w:rPr>
        <w:t xml:space="preserve">  </w:t>
      </w:r>
      <w:r>
        <w:rPr>
          <w:rStyle w:val="FunctionTok"/>
        </w:rPr>
        <w:t xml:space="preserve">eval_days</w:t>
      </w:r>
      <w:r>
        <w:rPr>
          <w:rStyle w:val="KeywordTok"/>
        </w:rPr>
        <w:t xml:space="preserve">:</w:t>
      </w:r>
      <w:r>
        <w:rPr>
          <w:rStyle w:val="AttributeTok"/>
        </w:rPr>
        <w:t xml:space="preserve"> </w:t>
      </w:r>
      <w:r>
        <w:rPr>
          <w:rStyle w:val="DecValTok"/>
        </w:rPr>
        <w:t xml:space="preserve">248</w:t>
      </w:r>
      <w:r>
        <w:rPr>
          <w:rStyle w:val="CommentTok"/>
        </w:rPr>
        <w:t xml:space="preserve">              # 1-year evaluation window (trading days)</w:t>
      </w:r>
      <w:r>
        <w:br/>
      </w:r>
      <w:r>
        <w:rPr>
          <w:rStyle w:val="AttributeTok"/>
        </w:rPr>
        <w:t xml:space="preserve">  </w:t>
      </w:r>
      <w:r>
        <w:rPr>
          <w:rStyle w:val="FunctionTok"/>
        </w:rPr>
        <w:t xml:space="preserve">sparkline_days</w:t>
      </w:r>
      <w:r>
        <w:rPr>
          <w:rStyle w:val="KeywordTok"/>
        </w:rPr>
        <w:t xml:space="preserve">:</w:t>
      </w:r>
      <w:r>
        <w:rPr>
          <w:rStyle w:val="AttributeTok"/>
        </w:rPr>
        <w:t xml:space="preserve"> </w:t>
      </w:r>
      <w:r>
        <w:rPr>
          <w:rStyle w:val="DecValTok"/>
        </w:rPr>
        <w:t xml:space="preserve">60</w:t>
      </w:r>
      <w:r>
        <w:rPr>
          <w:rStyle w:val="CommentTok"/>
        </w:rPr>
        <w:t xml:space="preserve">          # days shown in price sparkline chart</w:t>
      </w:r>
      <w:r>
        <w:br/>
      </w:r>
      <w:r>
        <w:rPr>
          <w:rStyle w:val="AttributeTok"/>
        </w:rPr>
        <w:t xml:space="preserve">  </w:t>
      </w:r>
      <w:r>
        <w:rPr>
          <w:rStyle w:val="FunctionTok"/>
        </w:rPr>
        <w:t xml:space="preserve">train_split</w:t>
      </w:r>
      <w:r>
        <w:rPr>
          <w:rStyle w:val="KeywordTok"/>
        </w:rPr>
        <w:t xml:space="preserve">:</w:t>
      </w:r>
      <w:r>
        <w:rPr>
          <w:rStyle w:val="AttributeTok"/>
        </w:rPr>
        <w:t xml:space="preserve"> </w:t>
      </w:r>
      <w:r>
        <w:rPr>
          <w:rStyle w:val="FloatTok"/>
        </w:rPr>
        <w:t xml:space="preserve">0.70</w:t>
      </w:r>
      <w:r>
        <w:rPr>
          <w:rStyle w:val="CommentTok"/>
        </w:rPr>
        <w:t xml:space="preserve">           # train/validation split ratio</w:t>
      </w:r>
      <w:r>
        <w:br/>
      </w:r>
      <w:r>
        <w:br/>
      </w:r>
      <w:r>
        <w:rPr>
          <w:rStyle w:val="CommentTok"/>
        </w:rPr>
        <w:t xml:space="preserve"># --- Sentiment ---</w:t>
      </w:r>
      <w:r>
        <w:br/>
      </w:r>
      <w:r>
        <w:rPr>
          <w:rStyle w:val="FunctionTok"/>
        </w:rPr>
        <w:t xml:space="preserve">sentiment</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'ProsusAI/finbert'</w:t>
      </w:r>
      <w:r>
        <w:br/>
      </w:r>
      <w:r>
        <w:rPr>
          <w:rStyle w:val="AttributeTok"/>
        </w:rPr>
        <w:t xml:space="preserve">  </w:t>
      </w:r>
      <w:r>
        <w:rPr>
          <w:rStyle w:val="FunctionTok"/>
        </w:rPr>
        <w:t xml:space="preserve">fine_tune_epochs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fine_tune_lr</w:t>
      </w:r>
      <w:r>
        <w:rPr>
          <w:rStyle w:val="KeywordTok"/>
        </w:rPr>
        <w:t xml:space="preserve">:</w:t>
      </w:r>
      <w:r>
        <w:rPr>
          <w:rStyle w:val="AttributeTok"/>
        </w:rPr>
        <w:t xml:space="preserve"> </w:t>
      </w:r>
      <w:r>
        <w:rPr>
          <w:rStyle w:val="FloatTok"/>
        </w:rPr>
        <w:t xml:space="preserve">0.00002</w:t>
      </w:r>
      <w:r>
        <w:br/>
      </w:r>
      <w:r>
        <w:rPr>
          <w:rStyle w:val="AttributeTok"/>
        </w:rPr>
        <w:t xml:space="preserve">  </w:t>
      </w:r>
      <w:r>
        <w:rPr>
          <w:rStyle w:val="FunctionTok"/>
        </w:rPr>
        <w:t xml:space="preserve">fine_tune_batch_size</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max_length</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rPr>
          <w:rStyle w:val="CommentTok"/>
        </w:rPr>
        <w:t xml:space="preserve">          # Decay for days without news</w:t>
      </w:r>
      <w:r>
        <w:br/>
      </w:r>
      <w:r>
        <w:rPr>
          <w:rStyle w:val="AttributeTok"/>
        </w:rPr>
        <w:t xml:space="preserve">  </w:t>
      </w:r>
      <w:r>
        <w:rPr>
          <w:rStyle w:val="FunctionTok"/>
        </w:rPr>
        <w:t xml:space="preserve">cache_db</w:t>
      </w:r>
      <w:r>
        <w:rPr>
          <w:rStyle w:val="KeywordTok"/>
        </w:rPr>
        <w:t xml:space="preserve">:</w:t>
      </w:r>
      <w:r>
        <w:rPr>
          <w:rStyle w:val="AttributeTok"/>
        </w:rPr>
        <w:t xml:space="preserve"> </w:t>
      </w:r>
      <w:r>
        <w:rPr>
          <w:rStyle w:val="StringTok"/>
        </w:rPr>
        <w:t xml:space="preserve">'data/sentiment.db'</w:t>
      </w:r>
      <w:r>
        <w:br/>
      </w:r>
      <w:r>
        <w:rPr>
          <w:rStyle w:val="AttributeTok"/>
        </w:rPr>
        <w:t xml:space="preserve">  </w:t>
      </w:r>
      <w:r>
        <w:rPr>
          <w:rStyle w:val="FunctionTok"/>
        </w:rPr>
        <w:t xml:space="preserve">news_cache_ttl</w:t>
      </w:r>
      <w:r>
        <w:rPr>
          <w:rStyle w:val="KeywordTok"/>
        </w:rPr>
        <w:t xml:space="preserve">:</w:t>
      </w:r>
      <w:r>
        <w:rPr>
          <w:rStyle w:val="AttributeTok"/>
        </w:rPr>
        <w:t xml:space="preserve"> </w:t>
      </w:r>
      <w:r>
        <w:rPr>
          <w:rStyle w:val="DecValTok"/>
        </w:rPr>
        <w:t xml:space="preserve">180</w:t>
      </w:r>
      <w:r>
        <w:rPr>
          <w:rStyle w:val="CommentTok"/>
        </w:rPr>
        <w:t xml:space="preserve">         # seconds before re-fetching live news</w:t>
      </w:r>
      <w:r>
        <w:br/>
      </w:r>
      <w:r>
        <w:rPr>
          <w:rStyle w:val="AttributeTok"/>
        </w:rPr>
        <w:t xml:space="preserve">  </w:t>
      </w:r>
      <w:r>
        <w:rPr>
          <w:rStyle w:val="FunctionTok"/>
        </w:rPr>
        <w:t xml:space="preserve">sentiment_threshold</w:t>
      </w:r>
      <w:r>
        <w:rPr>
          <w:rStyle w:val="KeywordTok"/>
        </w:rPr>
        <w:t xml:space="preserve">:</w:t>
      </w:r>
      <w:r>
        <w:rPr>
          <w:rStyle w:val="AttributeTok"/>
        </w:rPr>
        <w:t xml:space="preserve"> </w:t>
      </w:r>
      <w:r>
        <w:rPr>
          <w:rStyle w:val="FloatTok"/>
        </w:rPr>
        <w:t xml:space="preserve">0.1</w:t>
      </w:r>
      <w:r>
        <w:rPr>
          <w:rStyle w:val="CommentTok"/>
        </w:rPr>
        <w:t xml:space="preserve">   # score &gt; threshold positive; &lt; -threshold negative</w:t>
      </w:r>
      <w:r>
        <w:br/>
      </w:r>
      <w:r>
        <w:rPr>
          <w:rStyle w:val="AttributeTok"/>
        </w:rPr>
        <w:t xml:space="preserve">  </w:t>
      </w:r>
      <w:r>
        <w:rPr>
          <w:rStyle w:val="FunctionTok"/>
        </w:rPr>
        <w:t xml:space="preserve">market_mood_threshold</w:t>
      </w:r>
      <w:r>
        <w:rPr>
          <w:rStyle w:val="KeywordTok"/>
        </w:rPr>
        <w:t xml:space="preserve">:</w:t>
      </w:r>
      <w:r>
        <w:rPr>
          <w:rStyle w:val="AttributeTok"/>
        </w:rPr>
        <w:t xml:space="preserve"> </w:t>
      </w:r>
      <w:r>
        <w:rPr>
          <w:rStyle w:val="FloatTok"/>
        </w:rPr>
        <w:t xml:space="preserve">0.08</w:t>
      </w:r>
      <w:r>
        <w:rPr>
          <w:rStyle w:val="CommentTok"/>
        </w:rPr>
        <w:t xml:space="preserve"> # threshold for Bullish/Bearish market classification</w:t>
      </w:r>
      <w:r>
        <w:br/>
      </w:r>
      <w:r>
        <w:rPr>
          <w:rStyle w:val="AttributeTok"/>
        </w:rPr>
        <w:t xml:space="preserve">  </w:t>
      </w:r>
      <w:r>
        <w:rPr>
          <w:rStyle w:val="FunctionTok"/>
        </w:rPr>
        <w:t xml:space="preserve">sensitivity</w:t>
      </w:r>
      <w:r>
        <w:rPr>
          <w:rStyle w:val="KeywordTok"/>
        </w:rPr>
        <w:t xml:space="preserve">:</w:t>
      </w:r>
      <w:r>
        <w:rPr>
          <w:rStyle w:val="AttributeTok"/>
        </w:rPr>
        <w:t xml:space="preserve"> </w:t>
      </w:r>
      <w:r>
        <w:rPr>
          <w:rStyle w:val="FloatTok"/>
        </w:rPr>
        <w:t xml:space="preserve">2.0</w:t>
      </w:r>
      <w:r>
        <w:rPr>
          <w:rStyle w:val="CommentTok"/>
        </w:rPr>
        <w:t xml:space="preserve">            # how much sentiment shifts portfolio weights</w:t>
      </w:r>
      <w:r>
        <w:br/>
      </w:r>
      <w:r>
        <w:rPr>
          <w:rStyle w:val="AttributeTok"/>
        </w:rPr>
        <w:t xml:space="preserve">  </w:t>
      </w:r>
      <w:r>
        <w:rPr>
          <w:rStyle w:val="FunctionTok"/>
        </w:rPr>
        <w:t xml:space="preserve">max_news_tickers</w:t>
      </w:r>
      <w:r>
        <w:rPr>
          <w:rStyle w:val="KeywordTok"/>
        </w:rPr>
        <w:t xml:space="preserve">:</w:t>
      </w:r>
      <w:r>
        <w:rPr>
          <w:rStyle w:val="AttributeTok"/>
        </w:rPr>
        <w:t xml:space="preserve"> </w:t>
      </w:r>
      <w:r>
        <w:rPr>
          <w:rStyle w:val="DecValTok"/>
        </w:rPr>
        <w:t xml:space="preserve">20</w:t>
      </w:r>
      <w:r>
        <w:rPr>
          <w:rStyle w:val="CommentTok"/>
        </w:rPr>
        <w:t xml:space="preserve">        # max stocks to fetch news for (speed limit)</w:t>
      </w:r>
      <w:r>
        <w:br/>
      </w:r>
      <w:r>
        <w:br/>
      </w:r>
      <w:r>
        <w:rPr>
          <w:rStyle w:val="CommentTok"/>
        </w:rPr>
        <w:t xml:space="preserve"># --- GNN ---</w:t>
      </w:r>
      <w:r>
        <w:br/>
      </w:r>
      <w:r>
        <w:rPr>
          <w:rStyle w:val="FunctionTok"/>
        </w:rPr>
        <w:t xml:space="preserve">gnn</w:t>
      </w:r>
      <w:r>
        <w:rPr>
          <w:rStyle w:val="KeywordTok"/>
        </w:rPr>
        <w:t xml:space="preserve">:</w:t>
      </w:r>
      <w:r>
        <w:br/>
      </w:r>
      <w:r>
        <w:rPr>
          <w:rStyle w:val="AttributeTok"/>
        </w:rPr>
        <w:t xml:space="preserve">  </w:t>
      </w:r>
      <w:r>
        <w:rPr>
          <w:rStyle w:val="FunctionTok"/>
        </w:rPr>
        <w:t xml:space="preserve">hidden_dim</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output_dim</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num_layers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num_heads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dropout</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correlation_threshold</w:t>
      </w:r>
      <w:r>
        <w:rPr>
          <w:rStyle w:val="KeywordTok"/>
        </w:rPr>
        <w:t xml:space="preserve">:</w:t>
      </w:r>
      <w:r>
        <w:rPr>
          <w:rStyle w:val="AttributeTok"/>
        </w:rPr>
        <w:t xml:space="preserve"> </w:t>
      </w:r>
      <w:r>
        <w:rPr>
          <w:rStyle w:val="FloatTok"/>
        </w:rPr>
        <w:t xml:space="preserve">0.6</w:t>
      </w:r>
      <w:r>
        <w:br/>
      </w:r>
      <w:r>
        <w:rPr>
          <w:rStyle w:val="AttributeTok"/>
        </w:rPr>
        <w:t xml:space="preserve">  </w:t>
      </w:r>
      <w:r>
        <w:rPr>
          <w:rStyle w:val="FunctionTok"/>
        </w:rPr>
        <w:t xml:space="preserve">correlation_window</w:t>
      </w:r>
      <w:r>
        <w:rPr>
          <w:rStyle w:val="KeywordTok"/>
        </w:rPr>
        <w:t xml:space="preserve">:</w:t>
      </w:r>
      <w:r>
        <w:rPr>
          <w:rStyle w:val="AttributeTok"/>
        </w:rPr>
        <w:t xml:space="preserve"> </w:t>
      </w:r>
      <w:r>
        <w:rPr>
          <w:rStyle w:val="DecValTok"/>
        </w:rPr>
        <w:t xml:space="preserve">60</w:t>
      </w:r>
      <w:r>
        <w:rPr>
          <w:rStyle w:val="CommentTok"/>
        </w:rPr>
        <w:t xml:space="preserve">      # 60-day rolling correlation</w:t>
      </w:r>
      <w:r>
        <w:br/>
      </w:r>
      <w:r>
        <w:rPr>
          <w:rStyle w:val="AttributeTok"/>
        </w:rPr>
        <w:t xml:space="preserve">  </w:t>
      </w:r>
      <w:r>
        <w:rPr>
          <w:rStyle w:val="FunctionTok"/>
        </w:rPr>
        <w:t xml:space="preserve">neighbor_sample</w:t>
      </w:r>
      <w:r>
        <w:rPr>
          <w:rStyle w:val="KeywordTok"/>
        </w:rPr>
        <w:t xml:space="preserve">:</w:t>
      </w:r>
      <w:r>
        <w:rPr>
          <w:rStyle w:val="AttributeTok"/>
        </w:rPr>
        <w:t xml:space="preserve"> </w:t>
      </w:r>
      <w:r>
        <w:rPr>
          <w:rStyle w:val="DecValTok"/>
        </w:rPr>
        <w:t xml:space="preserve">15</w:t>
      </w:r>
      <w:r>
        <w:rPr>
          <w:rStyle w:val="CommentTok"/>
        </w:rPr>
        <w:t xml:space="preserve">         # NeighborSampler max neighbors per hop</w:t>
      </w:r>
      <w:r>
        <w:br/>
      </w:r>
      <w:r>
        <w:br/>
      </w:r>
      <w:r>
        <w:rPr>
          <w:rStyle w:val="CommentTok"/>
        </w:rPr>
        <w:t xml:space="preserve"># --- RL ---</w:t>
      </w:r>
      <w:r>
        <w:br/>
      </w:r>
      <w:r>
        <w:rPr>
          <w:rStyle w:val="FunctionTok"/>
        </w:rPr>
        <w:t xml:space="preserve">rl</w:t>
      </w:r>
      <w:r>
        <w:rPr>
          <w:rStyle w:val="KeywordTok"/>
        </w:rPr>
        <w:t xml:space="preserve">:</w:t>
      </w:r>
      <w:r>
        <w:br/>
      </w:r>
      <w:r>
        <w:rPr>
          <w:rStyle w:val="AttributeTok"/>
        </w:rPr>
        <w:t xml:space="preserve">  </w:t>
      </w:r>
      <w:r>
        <w:rPr>
          <w:rStyle w:val="FunctionTok"/>
        </w:rPr>
        <w:t xml:space="preserve">algorithm</w:t>
      </w:r>
      <w:r>
        <w:rPr>
          <w:rStyle w:val="KeywordTok"/>
        </w:rPr>
        <w:t xml:space="preserve">:</w:t>
      </w:r>
      <w:r>
        <w:rPr>
          <w:rStyle w:val="AttributeTok"/>
        </w:rPr>
        <w:t xml:space="preserve"> </w:t>
      </w:r>
      <w:r>
        <w:rPr>
          <w:rStyle w:val="StringTok"/>
        </w:rPr>
        <w:t xml:space="preserve">'PPO'</w:t>
      </w:r>
      <w:r>
        <w:rPr>
          <w:rStyle w:val="CommentTok"/>
        </w:rPr>
        <w:t xml:space="preserve">            # Primary: PPO. Comparison: SAC</w:t>
      </w:r>
      <w:r>
        <w:br/>
      </w:r>
      <w:r>
        <w:rPr>
          <w:rStyle w:val="AttributeTok"/>
        </w:rPr>
        <w:t xml:space="preserve">  </w:t>
      </w:r>
      <w:r>
        <w:rPr>
          <w:rStyle w:val="FunctionTok"/>
        </w:rPr>
        <w:t xml:space="preserve">lr</w:t>
      </w:r>
      <w:r>
        <w:rPr>
          <w:rStyle w:val="KeywordTok"/>
        </w:rPr>
        <w:t xml:space="preserve">:</w:t>
      </w:r>
      <w:r>
        <w:rPr>
          <w:rStyle w:val="AttributeTok"/>
        </w:rPr>
        <w:t xml:space="preserve"> </w:t>
      </w:r>
      <w:r>
        <w:rPr>
          <w:rStyle w:val="FloatTok"/>
        </w:rPr>
        <w:t xml:space="preserve">0.0003</w:t>
      </w:r>
      <w:r>
        <w:br/>
      </w:r>
      <w:r>
        <w:rPr>
          <w:rStyle w:val="AttributeTok"/>
        </w:rPr>
        <w:t xml:space="preserve">  </w:t>
      </w:r>
      <w:r>
        <w:rPr>
          <w:rStyle w:val="FunctionTok"/>
        </w:rPr>
        <w:t xml:space="preserve">gamma</w:t>
      </w:r>
      <w:r>
        <w:rPr>
          <w:rStyle w:val="KeywordTok"/>
        </w:rPr>
        <w:t xml:space="preserve">:</w:t>
      </w:r>
      <w:r>
        <w:rPr>
          <w:rStyle w:val="AttributeTok"/>
        </w:rPr>
        <w:t xml:space="preserve"> </w:t>
      </w:r>
      <w:r>
        <w:rPr>
          <w:rStyle w:val="FloatTok"/>
        </w:rPr>
        <w:t xml:space="preserve">0.99</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n_steps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n_epochs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clip_range</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total_timesteps</w:t>
      </w:r>
      <w:r>
        <w:rPr>
          <w:rStyle w:val="KeywordTok"/>
        </w:rPr>
        <w:t xml:space="preserve">:</w:t>
      </w:r>
      <w:r>
        <w:rPr>
          <w:rStyle w:val="AttributeTok"/>
        </w:rPr>
        <w:t xml:space="preserve"> </w:t>
      </w:r>
      <w:r>
        <w:rPr>
          <w:rStyle w:val="DecValTok"/>
        </w:rPr>
        <w:t xml:space="preserve">500000</w:t>
      </w:r>
      <w:r>
        <w:br/>
      </w:r>
      <w:r>
        <w:rPr>
          <w:rStyle w:val="AttributeTok"/>
        </w:rPr>
        <w:t xml:space="preserve">  </w:t>
      </w:r>
      <w:r>
        <w:rPr>
          <w:rStyle w:val="FunctionTok"/>
        </w:rPr>
        <w:t xml:space="preserve">max_position</w:t>
      </w:r>
      <w:r>
        <w:rPr>
          <w:rStyle w:val="KeywordTok"/>
        </w:rPr>
        <w:t xml:space="preserve">:</w:t>
      </w:r>
      <w:r>
        <w:rPr>
          <w:rStyle w:val="AttributeTok"/>
        </w:rPr>
        <w:t xml:space="preserve"> </w:t>
      </w:r>
      <w:r>
        <w:rPr>
          <w:rStyle w:val="FloatTok"/>
        </w:rPr>
        <w:t xml:space="preserve">0.12</w:t>
      </w:r>
      <w:r>
        <w:rPr>
          <w:rStyle w:val="CommentTok"/>
        </w:rPr>
        <w:t xml:space="preserve">          # 12% max per stock</w:t>
      </w:r>
      <w:r>
        <w:br/>
      </w:r>
      <w:r>
        <w:rPr>
          <w:rStyle w:val="AttributeTok"/>
        </w:rPr>
        <w:t xml:space="preserve">  </w:t>
      </w:r>
      <w:r>
        <w:rPr>
          <w:rStyle w:val="FunctionTok"/>
        </w:rPr>
        <w:t xml:space="preserve">stop_loss</w:t>
      </w:r>
      <w:r>
        <w:rPr>
          <w:rStyle w:val="KeywordTok"/>
        </w:rPr>
        <w:t xml:space="preserve">:</w:t>
      </w:r>
      <w:r>
        <w:rPr>
          <w:rStyle w:val="AttributeTok"/>
        </w:rPr>
        <w:t xml:space="preserve"> </w:t>
      </w:r>
      <w:r>
        <w:rPr>
          <w:rStyle w:val="FloatTok"/>
        </w:rPr>
        <w:t xml:space="preserve">-0.03</w:t>
      </w:r>
      <w:r>
        <w:rPr>
          <w:rStyle w:val="CommentTok"/>
        </w:rPr>
        <w:t xml:space="preserve">            # -3% per stock</w:t>
      </w:r>
      <w:r>
        <w:br/>
      </w:r>
      <w:r>
        <w:rPr>
          <w:rStyle w:val="AttributeTok"/>
        </w:rPr>
        <w:t xml:space="preserve">  </w:t>
      </w:r>
      <w:r>
        <w:rPr>
          <w:rStyle w:val="FunctionTok"/>
        </w:rPr>
        <w:t xml:space="preserve">max_drawdown</w:t>
      </w:r>
      <w:r>
        <w:rPr>
          <w:rStyle w:val="KeywordTok"/>
        </w:rPr>
        <w:t xml:space="preserve">:</w:t>
      </w:r>
      <w:r>
        <w:rPr>
          <w:rStyle w:val="AttributeTok"/>
        </w:rPr>
        <w:t xml:space="preserve"> </w:t>
      </w:r>
      <w:r>
        <w:rPr>
          <w:rStyle w:val="FloatTok"/>
        </w:rPr>
        <w:t xml:space="preserve">-0.12</w:t>
      </w:r>
      <w:r>
        <w:rPr>
          <w:rStyle w:val="CommentTok"/>
        </w:rPr>
        <w:t xml:space="preserve">         # -12% circuit breaker</w:t>
      </w:r>
      <w:r>
        <w:br/>
      </w:r>
      <w:r>
        <w:rPr>
          <w:rStyle w:val="AttributeTok"/>
        </w:rPr>
        <w:t xml:space="preserve">  </w:t>
      </w:r>
      <w:r>
        <w:rPr>
          <w:rStyle w:val="FunctionTok"/>
        </w:rPr>
        <w:t xml:space="preserve">episode_length</w:t>
      </w:r>
      <w:r>
        <w:rPr>
          <w:rStyle w:val="KeywordTok"/>
        </w:rPr>
        <w:t xml:space="preserve">:</w:t>
      </w:r>
      <w:r>
        <w:rPr>
          <w:rStyle w:val="AttributeTok"/>
        </w:rPr>
        <w:t xml:space="preserve"> </w:t>
      </w:r>
      <w:r>
        <w:rPr>
          <w:rStyle w:val="DecValTok"/>
        </w:rPr>
        <w:t xml:space="preserve">252</w:t>
      </w:r>
      <w:r>
        <w:rPr>
          <w:rStyle w:val="CommentTok"/>
        </w:rPr>
        <w:t xml:space="preserve">         # 1 year trading days</w:t>
      </w:r>
      <w:r>
        <w:br/>
      </w:r>
      <w:r>
        <w:rPr>
          <w:rStyle w:val="AttributeTok"/>
        </w:rPr>
        <w:t xml:space="preserve">  </w:t>
      </w:r>
      <w:r>
        <w:rPr>
          <w:rStyle w:val="FunctionTok"/>
        </w:rPr>
        <w:t xml:space="preserve">reward</w:t>
      </w:r>
      <w:r>
        <w:rPr>
          <w:rStyle w:val="KeywordTok"/>
        </w:rPr>
        <w:t xml:space="preserve">:</w:t>
      </w:r>
      <w:r>
        <w:br/>
      </w:r>
      <w:r>
        <w:rPr>
          <w:rStyle w:val="FunctionTok"/>
        </w:rPr>
        <w:t xml:space="preserve">sharpe_weight</w:t>
      </w:r>
      <w:r>
        <w:rPr>
          <w:rStyle w:val="KeywordTok"/>
        </w:rPr>
        <w:t xml:space="preserve">:</w:t>
      </w:r>
      <w:r>
        <w:rPr>
          <w:rStyle w:val="AttributeTok"/>
        </w:rPr>
        <w:t xml:space="preserve"> </w:t>
      </w:r>
      <w:r>
        <w:rPr>
          <w:rStyle w:val="FloatTok"/>
        </w:rPr>
        <w:t xml:space="preserve">1.0</w:t>
      </w:r>
      <w:r>
        <w:br/>
      </w:r>
      <w:r>
        <w:rPr>
          <w:rStyle w:val="FunctionTok"/>
        </w:rPr>
        <w:t xml:space="preserve">drawdown_penalty</w:t>
      </w:r>
      <w:r>
        <w:rPr>
          <w:rStyle w:val="KeywordTok"/>
        </w:rPr>
        <w:t xml:space="preserve">:</w:t>
      </w:r>
      <w:r>
        <w:rPr>
          <w:rStyle w:val="AttributeTok"/>
        </w:rPr>
        <w:t xml:space="preserve"> </w:t>
      </w:r>
      <w:r>
        <w:rPr>
          <w:rStyle w:val="FloatTok"/>
        </w:rPr>
        <w:t xml:space="preserve">0.4</w:t>
      </w:r>
      <w:r>
        <w:br/>
      </w:r>
      <w:r>
        <w:rPr>
          <w:rStyle w:val="FunctionTok"/>
        </w:rPr>
        <w:t xml:space="preserve">turnover_penalty</w:t>
      </w:r>
      <w:r>
        <w:rPr>
          <w:rStyle w:val="KeywordTok"/>
        </w:rPr>
        <w:t xml:space="preserve">:</w:t>
      </w:r>
      <w:r>
        <w:rPr>
          <w:rStyle w:val="AttributeTok"/>
        </w:rPr>
        <w:t xml:space="preserve"> </w:t>
      </w:r>
      <w:r>
        <w:rPr>
          <w:rStyle w:val="FloatTok"/>
        </w:rPr>
        <w:t xml:space="preserve">0.02</w:t>
      </w:r>
      <w:r>
        <w:br/>
      </w:r>
      <w:r>
        <w:br/>
      </w:r>
      <w:r>
        <w:rPr>
          <w:rStyle w:val="AttributeTok"/>
        </w:rPr>
        <w:t xml:space="preserve">  </w:t>
      </w:r>
      <w:r>
        <w:rPr>
          <w:rStyle w:val="FunctionTok"/>
        </w:rPr>
        <w:t xml:space="preserve">sac</w:t>
      </w:r>
      <w:r>
        <w:rPr>
          <w:rStyle w:val="KeywordTok"/>
        </w:rPr>
        <w:t xml:space="preserve">:</w:t>
      </w:r>
      <w:r>
        <w:br/>
      </w:r>
      <w:r>
        <w:rPr>
          <w:rStyle w:val="FunctionTok"/>
        </w:rPr>
        <w:t xml:space="preserve">lr</w:t>
      </w:r>
      <w:r>
        <w:rPr>
          <w:rStyle w:val="KeywordTok"/>
        </w:rPr>
        <w:t xml:space="preserve">:</w:t>
      </w:r>
      <w:r>
        <w:rPr>
          <w:rStyle w:val="AttributeTok"/>
        </w:rPr>
        <w:t xml:space="preserve"> </w:t>
      </w:r>
      <w:r>
        <w:rPr>
          <w:rStyle w:val="FloatTok"/>
        </w:rPr>
        <w:t xml:space="preserve">0.0003</w:t>
      </w:r>
      <w:r>
        <w:br/>
      </w:r>
      <w:r>
        <w:rPr>
          <w:rStyle w:val="FunctionTok"/>
        </w:rPr>
        <w:t xml:space="preserve">buffer_size</w:t>
      </w:r>
      <w:r>
        <w:rPr>
          <w:rStyle w:val="KeywordTok"/>
        </w:rPr>
        <w:t xml:space="preserve">:</w:t>
      </w:r>
      <w:r>
        <w:rPr>
          <w:rStyle w:val="AttributeTok"/>
        </w:rPr>
        <w:t xml:space="preserve"> </w:t>
      </w:r>
      <w:r>
        <w:rPr>
          <w:rStyle w:val="DecValTok"/>
        </w:rPr>
        <w:t xml:space="preserve">100000</w:t>
      </w:r>
      <w:r>
        <w:br/>
      </w:r>
      <w:r>
        <w:rPr>
          <w:rStyle w:val="FunctionTok"/>
        </w:rPr>
        <w:t xml:space="preserve">batch_size</w:t>
      </w:r>
      <w:r>
        <w:rPr>
          <w:rStyle w:val="KeywordTok"/>
        </w:rPr>
        <w:t xml:space="preserve">:</w:t>
      </w:r>
      <w:r>
        <w:rPr>
          <w:rStyle w:val="AttributeTok"/>
        </w:rPr>
        <w:t xml:space="preserve"> </w:t>
      </w:r>
      <w:r>
        <w:rPr>
          <w:rStyle w:val="DecValTok"/>
        </w:rPr>
        <w:t xml:space="preserve">256</w:t>
      </w:r>
      <w:r>
        <w:br/>
      </w:r>
      <w:r>
        <w:rPr>
          <w:rStyle w:val="FunctionTok"/>
        </w:rPr>
        <w:t xml:space="preserve">tau</w:t>
      </w:r>
      <w:r>
        <w:rPr>
          <w:rStyle w:val="KeywordTok"/>
        </w:rPr>
        <w:t xml:space="preserve">:</w:t>
      </w:r>
      <w:r>
        <w:rPr>
          <w:rStyle w:val="AttributeTok"/>
        </w:rPr>
        <w:t xml:space="preserve"> </w:t>
      </w:r>
      <w:r>
        <w:rPr>
          <w:rStyle w:val="FloatTok"/>
        </w:rPr>
        <w:t xml:space="preserve">0.005</w:t>
      </w:r>
      <w:r>
        <w:br/>
      </w:r>
      <w:r>
        <w:rPr>
          <w:rStyle w:val="FunctionTok"/>
        </w:rPr>
        <w:t xml:space="preserve">ent_coef</w:t>
      </w:r>
      <w:r>
        <w:rPr>
          <w:rStyle w:val="KeywordTok"/>
        </w:rPr>
        <w:t xml:space="preserve">:</w:t>
      </w:r>
      <w:r>
        <w:rPr>
          <w:rStyle w:val="AttributeTok"/>
        </w:rPr>
        <w:t xml:space="preserve"> </w:t>
      </w:r>
      <w:r>
        <w:rPr>
          <w:rStyle w:val="StringTok"/>
        </w:rPr>
        <w:t xml:space="preserve">'auto'</w:t>
      </w:r>
      <w:r>
        <w:br/>
      </w:r>
      <w:r>
        <w:br/>
      </w:r>
      <w:r>
        <w:rPr>
          <w:rStyle w:val="AttributeTok"/>
        </w:rPr>
        <w:t xml:space="preserve">  </w:t>
      </w:r>
      <w:r>
        <w:rPr>
          <w:rStyle w:val="FunctionTok"/>
        </w:rPr>
        <w:t xml:space="preserve">td3</w:t>
      </w:r>
      <w:r>
        <w:rPr>
          <w:rStyle w:val="KeywordTok"/>
        </w:rPr>
        <w:t xml:space="preserve">:</w:t>
      </w:r>
      <w:r>
        <w:br/>
      </w:r>
      <w:r>
        <w:rPr>
          <w:rStyle w:val="FunctionTok"/>
        </w:rPr>
        <w:t xml:space="preserve">lr</w:t>
      </w:r>
      <w:r>
        <w:rPr>
          <w:rStyle w:val="KeywordTok"/>
        </w:rPr>
        <w:t xml:space="preserve">:</w:t>
      </w:r>
      <w:r>
        <w:rPr>
          <w:rStyle w:val="AttributeTok"/>
        </w:rPr>
        <w:t xml:space="preserve"> </w:t>
      </w:r>
      <w:r>
        <w:rPr>
          <w:rStyle w:val="FloatTok"/>
        </w:rPr>
        <w:t xml:space="preserve">0.0003</w:t>
      </w:r>
      <w:r>
        <w:br/>
      </w:r>
      <w:r>
        <w:rPr>
          <w:rStyle w:val="FunctionTok"/>
        </w:rPr>
        <w:t xml:space="preserve">buffer_size</w:t>
      </w:r>
      <w:r>
        <w:rPr>
          <w:rStyle w:val="KeywordTok"/>
        </w:rPr>
        <w:t xml:space="preserve">:</w:t>
      </w:r>
      <w:r>
        <w:rPr>
          <w:rStyle w:val="AttributeTok"/>
        </w:rPr>
        <w:t xml:space="preserve"> </w:t>
      </w:r>
      <w:r>
        <w:rPr>
          <w:rStyle w:val="DecValTok"/>
        </w:rPr>
        <w:t xml:space="preserve">100000</w:t>
      </w:r>
      <w:r>
        <w:br/>
      </w:r>
      <w:r>
        <w:rPr>
          <w:rStyle w:val="FunctionTok"/>
        </w:rPr>
        <w:t xml:space="preserve">batch_size</w:t>
      </w:r>
      <w:r>
        <w:rPr>
          <w:rStyle w:val="KeywordTok"/>
        </w:rPr>
        <w:t xml:space="preserve">:</w:t>
      </w:r>
      <w:r>
        <w:rPr>
          <w:rStyle w:val="AttributeTok"/>
        </w:rPr>
        <w:t xml:space="preserve"> </w:t>
      </w:r>
      <w:r>
        <w:rPr>
          <w:rStyle w:val="DecValTok"/>
        </w:rPr>
        <w:t xml:space="preserve">256</w:t>
      </w:r>
      <w:r>
        <w:br/>
      </w:r>
      <w:r>
        <w:rPr>
          <w:rStyle w:val="FunctionTok"/>
        </w:rPr>
        <w:t xml:space="preserve">tau</w:t>
      </w:r>
      <w:r>
        <w:rPr>
          <w:rStyle w:val="KeywordTok"/>
        </w:rPr>
        <w:t xml:space="preserve">:</w:t>
      </w:r>
      <w:r>
        <w:rPr>
          <w:rStyle w:val="AttributeTok"/>
        </w:rPr>
        <w:t xml:space="preserve"> </w:t>
      </w:r>
      <w:r>
        <w:rPr>
          <w:rStyle w:val="FloatTok"/>
        </w:rPr>
        <w:t xml:space="preserve">0.005</w:t>
      </w:r>
      <w:r>
        <w:br/>
      </w:r>
      <w:r>
        <w:rPr>
          <w:rStyle w:val="FunctionTok"/>
        </w:rPr>
        <w:t xml:space="preserve">policy_delay</w:t>
      </w:r>
      <w:r>
        <w:rPr>
          <w:rStyle w:val="KeywordTok"/>
        </w:rPr>
        <w:t xml:space="preserve">:</w:t>
      </w:r>
      <w:r>
        <w:rPr>
          <w:rStyle w:val="AttributeTok"/>
        </w:rPr>
        <w:t xml:space="preserve"> </w:t>
      </w:r>
      <w:r>
        <w:rPr>
          <w:rStyle w:val="DecValTok"/>
        </w:rPr>
        <w:t xml:space="preserve">2</w:t>
      </w:r>
      <w:r>
        <w:br/>
      </w:r>
      <w:r>
        <w:rPr>
          <w:rStyle w:val="FunctionTok"/>
        </w:rPr>
        <w:t xml:space="preserve">target_policy_noise</w:t>
      </w:r>
      <w:r>
        <w:rPr>
          <w:rStyle w:val="KeywordTok"/>
        </w:rPr>
        <w:t xml:space="preserve">:</w:t>
      </w:r>
      <w:r>
        <w:rPr>
          <w:rStyle w:val="AttributeTok"/>
        </w:rPr>
        <w:t xml:space="preserve"> </w:t>
      </w:r>
      <w:r>
        <w:rPr>
          <w:rStyle w:val="FloatTok"/>
        </w:rPr>
        <w:t xml:space="preserve">0.2</w:t>
      </w:r>
      <w:r>
        <w:br/>
      </w:r>
      <w:r>
        <w:br/>
      </w:r>
      <w:r>
        <w:rPr>
          <w:rStyle w:val="AttributeTok"/>
        </w:rPr>
        <w:t xml:space="preserve">  </w:t>
      </w:r>
      <w:r>
        <w:rPr>
          <w:rStyle w:val="FunctionTok"/>
        </w:rPr>
        <w:t xml:space="preserve">a2c</w:t>
      </w:r>
      <w:r>
        <w:rPr>
          <w:rStyle w:val="KeywordTok"/>
        </w:rPr>
        <w:t xml:space="preserve">:</w:t>
      </w:r>
      <w:r>
        <w:br/>
      </w:r>
      <w:r>
        <w:rPr>
          <w:rStyle w:val="FunctionTok"/>
        </w:rPr>
        <w:t xml:space="preserve">lr</w:t>
      </w:r>
      <w:r>
        <w:rPr>
          <w:rStyle w:val="KeywordTok"/>
        </w:rPr>
        <w:t xml:space="preserve">:</w:t>
      </w:r>
      <w:r>
        <w:rPr>
          <w:rStyle w:val="AttributeTok"/>
        </w:rPr>
        <w:t xml:space="preserve"> </w:t>
      </w:r>
      <w:r>
        <w:rPr>
          <w:rStyle w:val="FloatTok"/>
        </w:rPr>
        <w:t xml:space="preserve">0.0007</w:t>
      </w:r>
      <w:r>
        <w:br/>
      </w:r>
      <w:r>
        <w:rPr>
          <w:rStyle w:val="FunctionTok"/>
        </w:rPr>
        <w:t xml:space="preserve">n_steps</w:t>
      </w:r>
      <w:r>
        <w:rPr>
          <w:rStyle w:val="KeywordTok"/>
        </w:rPr>
        <w:t xml:space="preserve">:</w:t>
      </w:r>
      <w:r>
        <w:rPr>
          <w:rStyle w:val="AttributeTok"/>
        </w:rPr>
        <w:t xml:space="preserve"> </w:t>
      </w:r>
      <w:r>
        <w:rPr>
          <w:rStyle w:val="DecValTok"/>
        </w:rPr>
        <w:t xml:space="preserve">5</w:t>
      </w:r>
      <w:r>
        <w:br/>
      </w:r>
      <w:r>
        <w:rPr>
          <w:rStyle w:val="FunctionTok"/>
        </w:rPr>
        <w:t xml:space="preserve">ent_coef</w:t>
      </w:r>
      <w:r>
        <w:rPr>
          <w:rStyle w:val="KeywordTok"/>
        </w:rPr>
        <w:t xml:space="preserve">:</w:t>
      </w:r>
      <w:r>
        <w:rPr>
          <w:rStyle w:val="AttributeTok"/>
        </w:rPr>
        <w:t xml:space="preserve"> </w:t>
      </w:r>
      <w:r>
        <w:rPr>
          <w:rStyle w:val="FloatTok"/>
        </w:rPr>
        <w:t xml:space="preserve">0.01</w:t>
      </w:r>
      <w:r>
        <w:br/>
      </w:r>
      <w:r>
        <w:br/>
      </w:r>
      <w:r>
        <w:rPr>
          <w:rStyle w:val="AttributeTok"/>
        </w:rPr>
        <w:t xml:space="preserve">  </w:t>
      </w:r>
      <w:r>
        <w:rPr>
          <w:rStyle w:val="FunctionTok"/>
        </w:rPr>
        <w:t xml:space="preserve">ddpg</w:t>
      </w:r>
      <w:r>
        <w:rPr>
          <w:rStyle w:val="KeywordTok"/>
        </w:rPr>
        <w:t xml:space="preserve">:</w:t>
      </w:r>
      <w:r>
        <w:br/>
      </w:r>
      <w:r>
        <w:rPr>
          <w:rStyle w:val="FunctionTok"/>
        </w:rPr>
        <w:t xml:space="preserve">lr</w:t>
      </w:r>
      <w:r>
        <w:rPr>
          <w:rStyle w:val="KeywordTok"/>
        </w:rPr>
        <w:t xml:space="preserve">:</w:t>
      </w:r>
      <w:r>
        <w:rPr>
          <w:rStyle w:val="AttributeTok"/>
        </w:rPr>
        <w:t xml:space="preserve"> </w:t>
      </w:r>
      <w:r>
        <w:rPr>
          <w:rStyle w:val="FloatTok"/>
        </w:rPr>
        <w:t xml:space="preserve">0.001</w:t>
      </w:r>
      <w:r>
        <w:br/>
      </w:r>
      <w:r>
        <w:rPr>
          <w:rStyle w:val="FunctionTok"/>
        </w:rPr>
        <w:t xml:space="preserve">buffer_size</w:t>
      </w:r>
      <w:r>
        <w:rPr>
          <w:rStyle w:val="KeywordTok"/>
        </w:rPr>
        <w:t xml:space="preserve">:</w:t>
      </w:r>
      <w:r>
        <w:rPr>
          <w:rStyle w:val="AttributeTok"/>
        </w:rPr>
        <w:t xml:space="preserve"> </w:t>
      </w:r>
      <w:r>
        <w:rPr>
          <w:rStyle w:val="DecValTok"/>
        </w:rPr>
        <w:t xml:space="preserve">100000</w:t>
      </w:r>
      <w:r>
        <w:br/>
      </w:r>
      <w:r>
        <w:rPr>
          <w:rStyle w:val="FunctionTok"/>
        </w:rPr>
        <w:t xml:space="preserve">batch_size</w:t>
      </w:r>
      <w:r>
        <w:rPr>
          <w:rStyle w:val="KeywordTok"/>
        </w:rPr>
        <w:t xml:space="preserve">:</w:t>
      </w:r>
      <w:r>
        <w:rPr>
          <w:rStyle w:val="AttributeTok"/>
        </w:rPr>
        <w:t xml:space="preserve"> </w:t>
      </w:r>
      <w:r>
        <w:rPr>
          <w:rStyle w:val="DecValTok"/>
        </w:rPr>
        <w:t xml:space="preserve">256</w:t>
      </w:r>
      <w:r>
        <w:br/>
      </w:r>
      <w:r>
        <w:rPr>
          <w:rStyle w:val="FunctionTok"/>
        </w:rPr>
        <w:t xml:space="preserve">tau</w:t>
      </w:r>
      <w:r>
        <w:rPr>
          <w:rStyle w:val="KeywordTok"/>
        </w:rPr>
        <w:t xml:space="preserve">:</w:t>
      </w:r>
      <w:r>
        <w:rPr>
          <w:rStyle w:val="AttributeTok"/>
        </w:rPr>
        <w:t xml:space="preserve"> </w:t>
      </w:r>
      <w:r>
        <w:rPr>
          <w:rStyle w:val="FloatTok"/>
        </w:rPr>
        <w:t xml:space="preserve">0.005</w:t>
      </w:r>
      <w:r>
        <w:br/>
      </w:r>
      <w:r>
        <w:br/>
      </w:r>
      <w:r>
        <w:rPr>
          <w:rStyle w:val="AttributeTok"/>
        </w:rPr>
        <w:t xml:space="preserve">  </w:t>
      </w:r>
      <w:r>
        <w:rPr>
          <w:rStyle w:val="FunctionTok"/>
        </w:rPr>
        <w:t xml:space="preserve">ensemble</w:t>
      </w:r>
      <w:r>
        <w:rPr>
          <w:rStyle w:val="KeywordTok"/>
        </w:rPr>
        <w:t xml:space="preserve">:</w:t>
      </w:r>
      <w:r>
        <w:br/>
      </w:r>
      <w:r>
        <w:rPr>
          <w:rStyle w:val="FunctionTok"/>
        </w:rPr>
        <w:t xml:space="preserve">rebalance_window</w:t>
      </w:r>
      <w:r>
        <w:rPr>
          <w:rStyle w:val="KeywordTok"/>
        </w:rPr>
        <w:t xml:space="preserve">:</w:t>
      </w:r>
      <w:r>
        <w:rPr>
          <w:rStyle w:val="AttributeTok"/>
        </w:rPr>
        <w:t xml:space="preserve"> </w:t>
      </w:r>
      <w:r>
        <w:rPr>
          <w:rStyle w:val="DecValTok"/>
        </w:rPr>
        <w:t xml:space="preserve">63</w:t>
      </w:r>
      <w:r>
        <w:rPr>
          <w:rStyle w:val="CommentTok"/>
        </w:rPr>
        <w:t xml:space="preserve">      # ~3 months</w:t>
      </w:r>
      <w:r>
        <w:br/>
      </w:r>
      <w:r>
        <w:rPr>
          <w:rStyle w:val="FunctionTok"/>
        </w:rPr>
        <w:t xml:space="preserve">top_k</w:t>
      </w:r>
      <w:r>
        <w:rPr>
          <w:rStyle w:val="KeywordTok"/>
        </w:rPr>
        <w:t xml:space="preserve">:</w:t>
      </w:r>
      <w:r>
        <w:rPr>
          <w:rStyle w:val="AttributeTok"/>
        </w:rPr>
        <w:t xml:space="preserve"> </w:t>
      </w:r>
      <w:r>
        <w:rPr>
          <w:rStyle w:val="DecValTok"/>
        </w:rPr>
        <w:t xml:space="preserve">3</w:t>
      </w:r>
      <w:r>
        <w:rPr>
          <w:rStyle w:val="CommentTok"/>
        </w:rPr>
        <w:t xml:space="preserve">                  # average top-3 models by recent Sharpe</w:t>
      </w:r>
      <w:r>
        <w:br/>
      </w:r>
      <w:r>
        <w:br/>
      </w:r>
      <w:r>
        <w:rPr>
          <w:rStyle w:val="CommentTok"/>
        </w:rPr>
        <w:t xml:space="preserve"># --- GAN ---</w:t>
      </w:r>
      <w:r>
        <w:br/>
      </w:r>
      <w:r>
        <w:rPr>
          <w:rStyle w:val="FunctionTok"/>
        </w:rPr>
        <w:t xml:space="preserve">gan</w:t>
      </w:r>
      <w:r>
        <w:rPr>
          <w:rStyle w:val="KeywordTok"/>
        </w:rPr>
        <w:t xml:space="preserve">:</w:t>
      </w:r>
      <w:r>
        <w:br/>
      </w:r>
      <w:r>
        <w:rPr>
          <w:rStyle w:val="AttributeTok"/>
        </w:rPr>
        <w:t xml:space="preserve">  </w:t>
      </w:r>
      <w:r>
        <w:rPr>
          <w:rStyle w:val="FunctionTok"/>
        </w:rPr>
        <w:t xml:space="preserve">seq_length</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latent_dim</w:t>
      </w:r>
      <w:r>
        <w:rPr>
          <w:rStyle w:val="KeywordTok"/>
        </w:rPr>
        <w:t xml:space="preserve">:</w:t>
      </w:r>
      <w:r>
        <w:rPr>
          <w:rStyle w:val="AttributeTok"/>
        </w:rPr>
        <w:t xml:space="preserve"> </w:t>
      </w:r>
      <w:r>
        <w:rPr>
          <w:rStyle w:val="DecValTok"/>
        </w:rPr>
        <w:t xml:space="preserve">64</w:t>
      </w:r>
      <w:r>
        <w:br/>
      </w:r>
      <w:r>
        <w:rPr>
          <w:rStyle w:val="AttributeTok"/>
        </w:rPr>
        <w:t xml:space="preserve">  </w:t>
      </w:r>
      <w:r>
        <w:rPr>
          <w:rStyle w:val="FunctionTok"/>
        </w:rPr>
        <w:t xml:space="preserve">hidden_dim</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num_layers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epochs</w:t>
      </w:r>
      <w:r>
        <w:rPr>
          <w:rStyle w:val="KeywordTok"/>
        </w:rPr>
        <w:t xml:space="preserve">:</w:t>
      </w:r>
      <w:r>
        <w:rPr>
          <w:rStyle w:val="AttributeTok"/>
        </w:rPr>
        <w:t xml:space="preserve"> </w:t>
      </w:r>
      <w:r>
        <w:rPr>
          <w:rStyle w:val="DecValTok"/>
        </w:rPr>
        <w:t xml:space="preserve">500</w:t>
      </w:r>
      <w:r>
        <w:br/>
      </w:r>
      <w:r>
        <w:rPr>
          <w:rStyle w:val="AttributeTok"/>
        </w:rPr>
        <w:t xml:space="preserve">  </w:t>
      </w:r>
      <w:r>
        <w:rPr>
          <w:rStyle w:val="FunctionTok"/>
        </w:rPr>
        <w:t xml:space="preserve">lr</w:t>
      </w:r>
      <w:r>
        <w:rPr>
          <w:rStyle w:val="KeywordTok"/>
        </w:rPr>
        <w:t xml:space="preserve">:</w:t>
      </w:r>
      <w:r>
        <w:rPr>
          <w:rStyle w:val="AttributeTok"/>
        </w:rPr>
        <w:t xml:space="preserve"> </w:t>
      </w:r>
      <w:r>
        <w:rPr>
          <w:rStyle w:val="FloatTok"/>
        </w:rPr>
        <w:t xml:space="preserve">0.0005</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grad_accumulation</w:t>
      </w:r>
      <w:r>
        <w:rPr>
          <w:rStyle w:val="KeywordTok"/>
        </w:rPr>
        <w:t xml:space="preserve">:</w:t>
      </w:r>
      <w:r>
        <w:rPr>
          <w:rStyle w:val="AttributeTok"/>
        </w:rPr>
        <w:t xml:space="preserve"> </w:t>
      </w:r>
      <w:r>
        <w:rPr>
          <w:rStyle w:val="DecValTok"/>
        </w:rPr>
        <w:t xml:space="preserve">4</w:t>
      </w:r>
      <w:r>
        <w:rPr>
          <w:rStyle w:val="CommentTok"/>
        </w:rPr>
        <w:t xml:space="preserve">        # Effective batch = 32 * 4 = 128</w:t>
      </w:r>
      <w:r>
        <w:br/>
      </w:r>
      <w:r>
        <w:br/>
      </w:r>
      <w:r>
        <w:rPr>
          <w:rStyle w:val="CommentTok"/>
        </w:rPr>
        <w:t xml:space="preserve"># --- Stress Testing ---</w:t>
      </w:r>
      <w:r>
        <w:br/>
      </w:r>
      <w:r>
        <w:rPr>
          <w:rStyle w:val="FunctionTok"/>
        </w:rPr>
        <w:t xml:space="preserve">stress</w:t>
      </w:r>
      <w:r>
        <w:rPr>
          <w:rStyle w:val="KeywordTok"/>
        </w:rPr>
        <w:t xml:space="preserve">:</w:t>
      </w:r>
      <w:r>
        <w:br/>
      </w:r>
      <w:r>
        <w:rPr>
          <w:rStyle w:val="AttributeTok"/>
        </w:rPr>
        <w:t xml:space="preserve">  </w:t>
      </w:r>
      <w:r>
        <w:rPr>
          <w:rStyle w:val="FunctionTok"/>
        </w:rPr>
        <w:t xml:space="preserve">n_scenarios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var_confidence</w:t>
      </w:r>
      <w:r>
        <w:rPr>
          <w:rStyle w:val="KeywordTok"/>
        </w:rPr>
        <w:t xml:space="preserve">:</w:t>
      </w:r>
      <w:r>
        <w:rPr>
          <w:rStyle w:val="AttributeTok"/>
        </w:rPr>
        <w:t xml:space="preserve"> </w:t>
      </w:r>
      <w:r>
        <w:rPr>
          <w:rStyle w:val="KeywordTok"/>
        </w:rPr>
        <w:t xml:space="preserve">[</w:t>
      </w:r>
      <w:r>
        <w:rPr>
          <w:rStyle w:val="FloatTok"/>
        </w:rPr>
        <w:t xml:space="preserve">0.95</w:t>
      </w:r>
      <w:r>
        <w:rPr>
          <w:rStyle w:val="KeywordTok"/>
        </w:rPr>
        <w:t xml:space="preserve">,</w:t>
      </w:r>
      <w:r>
        <w:rPr>
          <w:rStyle w:val="AttributeTok"/>
        </w:rPr>
        <w:t xml:space="preserve"> </w:t>
      </w:r>
      <w:r>
        <w:rPr>
          <w:rStyle w:val="FloatTok"/>
        </w:rPr>
        <w:t xml:space="preserve">0.99</w:t>
      </w:r>
      <w:r>
        <w:rPr>
          <w:rStyle w:val="KeywordTok"/>
        </w:rPr>
        <w:t xml:space="preserve">]</w:t>
      </w:r>
      <w:r>
        <w:br/>
      </w:r>
      <w:r>
        <w:rPr>
          <w:rStyle w:val="AttributeTok"/>
        </w:rPr>
        <w:t xml:space="preserve">  </w:t>
      </w:r>
      <w:r>
        <w:rPr>
          <w:rStyle w:val="FunctionTok"/>
        </w:rPr>
        <w:t xml:space="preserve">monte_carlo_paths</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crash_types</w:t>
      </w:r>
      <w:r>
        <w:rPr>
          <w:rStyle w:val="KeywordTok"/>
        </w:rPr>
        <w:t xml:space="preserve">:</w:t>
      </w:r>
      <w:r>
        <w:br/>
      </w:r>
      <w:r>
        <w:rPr>
          <w:rStyle w:val="KeywordTok"/>
        </w:rPr>
        <w:t xml:space="preserve">-</w:t>
      </w:r>
      <w:r>
        <w:rPr>
          <w:rStyle w:val="AttributeTok"/>
        </w:rPr>
        <w:t xml:space="preserve"> normal</w:t>
      </w:r>
      <w:r>
        <w:br/>
      </w:r>
      <w:r>
        <w:rPr>
          <w:rStyle w:val="KeywordTok"/>
        </w:rPr>
        <w:t xml:space="preserve">-</w:t>
      </w:r>
      <w:r>
        <w:rPr>
          <w:rStyle w:val="AttributeTok"/>
        </w:rPr>
        <w:t xml:space="preserve"> crash_2008</w:t>
      </w:r>
      <w:r>
        <w:br/>
      </w:r>
      <w:r>
        <w:rPr>
          <w:rStyle w:val="KeywordTok"/>
        </w:rPr>
        <w:t xml:space="preserve">-</w:t>
      </w:r>
      <w:r>
        <w:rPr>
          <w:rStyle w:val="AttributeTok"/>
        </w:rPr>
        <w:t xml:space="preserve"> crash_covid</w:t>
      </w:r>
      <w:r>
        <w:br/>
      </w:r>
      <w:r>
        <w:rPr>
          <w:rStyle w:val="KeywordTok"/>
        </w:rPr>
        <w:t xml:space="preserve">-</w:t>
      </w:r>
      <w:r>
        <w:rPr>
          <w:rStyle w:val="AttributeTok"/>
        </w:rPr>
        <w:t xml:space="preserve"> flash_crash</w:t>
      </w:r>
      <w:r>
        <w:br/>
      </w:r>
      <w:r>
        <w:br/>
      </w:r>
      <w:r>
        <w:rPr>
          <w:rStyle w:val="CommentTok"/>
        </w:rPr>
        <w:t xml:space="preserve"># --- Federated Learning ---</w:t>
      </w:r>
      <w:r>
        <w:br/>
      </w:r>
      <w:r>
        <w:rPr>
          <w:rStyle w:val="FunctionTok"/>
        </w:rPr>
        <w:t xml:space="preserve">fl</w:t>
      </w:r>
      <w:r>
        <w:rPr>
          <w:rStyle w:val="KeywordTok"/>
        </w:rPr>
        <w:t xml:space="preserve">:</w:t>
      </w:r>
      <w:r>
        <w:br/>
      </w:r>
      <w:r>
        <w:rPr>
          <w:rStyle w:val="AttributeTok"/>
        </w:rPr>
        <w:t xml:space="preserve">  </w:t>
      </w:r>
      <w:r>
        <w:rPr>
          <w:rStyle w:val="FunctionTok"/>
        </w:rPr>
        <w:t xml:space="preserve">num_clients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rounds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local_epochs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'FedProx'</w:t>
      </w:r>
      <w:r>
        <w:br/>
      </w:r>
      <w:r>
        <w:rPr>
          <w:rStyle w:val="AttributeTok"/>
        </w:rPr>
        <w:t xml:space="preserve">  </w:t>
      </w:r>
      <w:r>
        <w:rPr>
          <w:rStyle w:val="FunctionTok"/>
        </w:rPr>
        <w:t xml:space="preserve">fedprox_mu</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dp_epsilon</w:t>
      </w:r>
      <w:r>
        <w:rPr>
          <w:rStyle w:val="KeywordTok"/>
        </w:rPr>
        <w:t xml:space="preserve">:</w:t>
      </w:r>
      <w:r>
        <w:rPr>
          <w:rStyle w:val="AttributeTok"/>
        </w:rPr>
        <w:t xml:space="preserve"> </w:t>
      </w:r>
      <w:r>
        <w:rPr>
          <w:rStyle w:val="FloatTok"/>
        </w:rPr>
        <w:t xml:space="preserve">8.0</w:t>
      </w:r>
      <w:r>
        <w:br/>
      </w:r>
      <w:r>
        <w:rPr>
          <w:rStyle w:val="AttributeTok"/>
        </w:rPr>
        <w:t xml:space="preserve">  </w:t>
      </w:r>
      <w:r>
        <w:rPr>
          <w:rStyle w:val="FunctionTok"/>
        </w:rPr>
        <w:t xml:space="preserve">dp_delta</w:t>
      </w:r>
      <w:r>
        <w:rPr>
          <w:rStyle w:val="KeywordTok"/>
        </w:rPr>
        <w:t xml:space="preserve">:</w:t>
      </w:r>
      <w:r>
        <w:rPr>
          <w:rStyle w:val="AttributeTok"/>
        </w:rPr>
        <w:t xml:space="preserve"> </w:t>
      </w:r>
      <w:r>
        <w:rPr>
          <w:rStyle w:val="FloatTok"/>
        </w:rPr>
        <w:t xml:space="preserve">0.00001</w:t>
      </w:r>
      <w:r>
        <w:br/>
      </w:r>
      <w:r>
        <w:rPr>
          <w:rStyle w:val="AttributeTok"/>
        </w:rPr>
        <w:t xml:space="preserve">  </w:t>
      </w:r>
      <w:r>
        <w:rPr>
          <w:rStyle w:val="FunctionTok"/>
        </w:rPr>
        <w:t xml:space="preserve">dp_max_grad_norm</w:t>
      </w:r>
      <w:r>
        <w:rPr>
          <w:rStyle w:val="KeywordTok"/>
        </w:rPr>
        <w:t xml:space="preserve">:</w:t>
      </w:r>
      <w:r>
        <w:rPr>
          <w:rStyle w:val="AttributeTok"/>
        </w:rPr>
        <w:t xml:space="preserve"> </w:t>
      </w:r>
      <w:r>
        <w:rPr>
          <w:rStyle w:val="FloatTok"/>
        </w:rPr>
        <w:t xml:space="preserve">1.0</w:t>
      </w:r>
      <w:r>
        <w:br/>
      </w:r>
      <w:r>
        <w:br/>
      </w:r>
      <w:r>
        <w:rPr>
          <w:rStyle w:val="CommentTok"/>
        </w:rPr>
        <w:t xml:space="preserve"># --- API ---</w:t>
      </w:r>
      <w:r>
        <w:br/>
      </w:r>
      <w:r>
        <w:rPr>
          <w:rStyle w:val="FunctionTok"/>
        </w:rPr>
        <w:t xml:space="preserve">api</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cors_origins</w:t>
      </w:r>
      <w:r>
        <w:rPr>
          <w:rStyle w:val="KeywordTok"/>
        </w:rPr>
        <w:t xml:space="preserve">:</w:t>
      </w:r>
      <w:r>
        <w:br/>
      </w:r>
      <w:r>
        <w:rPr>
          <w:rStyle w:val="KeywordTok"/>
        </w:rPr>
        <w:t xml:space="preserve">-</w:t>
      </w:r>
      <w:r>
        <w:rPr>
          <w:rStyle w:val="AttributeTok"/>
        </w:rPr>
        <w:t xml:space="preserve"> </w:t>
      </w:r>
      <w:r>
        <w:rPr>
          <w:rStyle w:val="StringTok"/>
        </w:rPr>
        <w:t xml:space="preserve">'http://localhost:3000'</w:t>
      </w:r>
      <w:r>
        <w:br/>
      </w:r>
      <w:r>
        <w:br/>
      </w:r>
      <w:r>
        <w:rPr>
          <w:rStyle w:val="CommentTok"/>
        </w:rPr>
        <w:t xml:space="preserve"># --- Logging ---</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log_dir</w:t>
      </w:r>
      <w:r>
        <w:rPr>
          <w:rStyle w:val="KeywordTok"/>
        </w:rPr>
        <w:t xml:space="preserve">:</w:t>
      </w:r>
      <w:r>
        <w:rPr>
          <w:rStyle w:val="AttributeTok"/>
        </w:rPr>
        <w:t xml:space="preserve"> </w:t>
      </w:r>
      <w:r>
        <w:rPr>
          <w:rStyle w:val="StringTok"/>
        </w:rPr>
        <w:t xml:space="preserve">'logs'</w:t>
      </w:r>
    </w:p>
    <w:p>
      <w:pPr>
        <w:pStyle w:val="BlockText"/>
      </w:pPr>
      <w:r>
        <w:t xml:space="preserve">Note: All values used in Chapter 3 and Chapter 4 are directly traceable to the sections above.</w:t>
      </w:r>
    </w:p>
    <w:p>
      <w:r>
        <w:pict>
          <v:rect style="width:0;height:1.5pt" o:hralign="center" o:hrstd="t" o:hr="t"/>
        </w:pict>
      </w:r>
    </w:p>
    <w:bookmarkEnd w:id="88"/>
    <w:bookmarkStart w:id="90" w:name="appendix-c-rest-api-endpoint-reference"/>
    <w:p>
      <w:pPr>
        <w:pStyle w:val="Heading2"/>
      </w:pPr>
      <w:r>
        <w:t xml:space="preserve">Appendix C — REST API Endpoint Reference</w:t>
      </w:r>
    </w:p>
    <w:p>
      <w:pPr>
        <w:pStyle w:val="FirstParagraph"/>
      </w:pPr>
      <w:r>
        <w:t xml:space="preserve">Table C.1 lists the primary REST API endpoints exposed by the FINQUANT-NEXUS FastAPI backend. All endpoints return JSON. The full interactive documentation is available at http://localhost:8000/docs when the system is running.</w:t>
      </w:r>
    </w:p>
    <w:p>
      <w:pPr>
        <w:pStyle w:val="BodyText"/>
      </w:pPr>
      <w:r>
        <w:rPr>
          <w:b/>
          <w:bCs/>
        </w:rPr>
        <w:t xml:space="preserve">Table C.1: REST API Endpoint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1</w:t>
            </w:r>
          </w:p>
        </w:tc>
        <w:tc>
          <w:tcPr/>
          <w:p>
            <w:pPr>
              <w:pStyle w:val="Compact"/>
            </w:pPr>
            <w:r>
              <w:t xml:space="preserve">GET</w:t>
            </w:r>
          </w:p>
        </w:tc>
        <w:tc>
          <w:tcPr/>
          <w:p>
            <w:pPr>
              <w:pStyle w:val="Compact"/>
            </w:pPr>
            <w:r>
              <w:t xml:space="preserve">/api/health</w:t>
            </w:r>
          </w:p>
        </w:tc>
        <w:tc>
          <w:tcPr/>
          <w:p>
            <w:pPr>
              <w:pStyle w:val="Compact"/>
            </w:pPr>
            <w:r>
              <w:t xml:space="preserve">System health check, uptime, component status</w:t>
            </w:r>
          </w:p>
        </w:tc>
      </w:tr>
      <w:tr>
        <w:tc>
          <w:tcPr/>
          <w:p>
            <w:pPr>
              <w:pStyle w:val="Compact"/>
            </w:pPr>
            <w:r>
              <w:t xml:space="preserve">2</w:t>
            </w:r>
          </w:p>
        </w:tc>
        <w:tc>
          <w:tcPr/>
          <w:p>
            <w:pPr>
              <w:pStyle w:val="Compact"/>
            </w:pPr>
            <w:r>
              <w:t xml:space="preserve">GET</w:t>
            </w:r>
          </w:p>
        </w:tc>
        <w:tc>
          <w:tcPr/>
          <w:p>
            <w:pPr>
              <w:pStyle w:val="Compact"/>
            </w:pPr>
            <w:r>
              <w:t xml:space="preserve">/api/portfolio-summary</w:t>
            </w:r>
          </w:p>
        </w:tc>
        <w:tc>
          <w:tcPr/>
          <w:p>
            <w:pPr>
              <w:pStyle w:val="Compact"/>
            </w:pPr>
            <w:r>
              <w:t xml:space="preserve">Portfolio metrics: Sharpe, Sortino, Return, Drawdown, weights</w:t>
            </w:r>
          </w:p>
        </w:tc>
      </w:tr>
      <w:tr>
        <w:tc>
          <w:tcPr/>
          <w:p>
            <w:pPr>
              <w:pStyle w:val="Compact"/>
            </w:pPr>
            <w:r>
              <w:t xml:space="preserve">3</w:t>
            </w:r>
          </w:p>
        </w:tc>
        <w:tc>
          <w:tcPr/>
          <w:p>
            <w:pPr>
              <w:pStyle w:val="Compact"/>
            </w:pPr>
            <w:r>
              <w:t xml:space="preserve">GET</w:t>
            </w:r>
          </w:p>
        </w:tc>
        <w:tc>
          <w:tcPr/>
          <w:p>
            <w:pPr>
              <w:pStyle w:val="Compact"/>
            </w:pPr>
            <w:r>
              <w:t xml:space="preserve">/api/rl-summary</w:t>
            </w:r>
          </w:p>
        </w:tc>
        <w:tc>
          <w:tcPr/>
          <w:p>
            <w:pPr>
              <w:pStyle w:val="Compact"/>
            </w:pPr>
            <w:r>
              <w:t xml:space="preserve">All six RL algorithm results and comparison metrics</w:t>
            </w:r>
          </w:p>
        </w:tc>
      </w:tr>
      <w:tr>
        <w:tc>
          <w:tcPr/>
          <w:p>
            <w:pPr>
              <w:pStyle w:val="Compact"/>
            </w:pPr>
            <w:r>
              <w:t xml:space="preserve">4</w:t>
            </w:r>
          </w:p>
        </w:tc>
        <w:tc>
          <w:tcPr/>
          <w:p>
            <w:pPr>
              <w:pStyle w:val="Compact"/>
            </w:pPr>
            <w:r>
              <w:t xml:space="preserve">GET</w:t>
            </w:r>
          </w:p>
        </w:tc>
        <w:tc>
          <w:tcPr/>
          <w:p>
            <w:pPr>
              <w:pStyle w:val="Compact"/>
            </w:pPr>
            <w:r>
              <w:t xml:space="preserve">/api/rl-summary/{algorithm}</w:t>
            </w:r>
          </w:p>
        </w:tc>
        <w:tc>
          <w:tcPr/>
          <w:p>
            <w:pPr>
              <w:pStyle w:val="Compact"/>
            </w:pPr>
            <w:r>
              <w:t xml:space="preserve">Single algorithm detailed results</w:t>
            </w:r>
          </w:p>
        </w:tc>
      </w:tr>
      <w:tr>
        <w:tc>
          <w:tcPr/>
          <w:p>
            <w:pPr>
              <w:pStyle w:val="Compact"/>
            </w:pPr>
            <w:r>
              <w:t xml:space="preserve">5</w:t>
            </w:r>
          </w:p>
        </w:tc>
        <w:tc>
          <w:tcPr/>
          <w:p>
            <w:pPr>
              <w:pStyle w:val="Compact"/>
            </w:pPr>
            <w:r>
              <w:t xml:space="preserve">GET</w:t>
            </w:r>
          </w:p>
        </w:tc>
        <w:tc>
          <w:tcPr/>
          <w:p>
            <w:pPr>
              <w:pStyle w:val="Compact"/>
            </w:pPr>
            <w:r>
              <w:t xml:space="preserve">/api/news-sentiment</w:t>
            </w:r>
          </w:p>
        </w:tc>
        <w:tc>
          <w:tcPr/>
          <w:p>
            <w:pPr>
              <w:pStyle w:val="Compact"/>
            </w:pPr>
            <w:r>
              <w:t xml:space="preserve">Live FinBERT sentiment scores for all 44 stocks</w:t>
            </w:r>
          </w:p>
        </w:tc>
      </w:tr>
      <w:tr>
        <w:tc>
          <w:tcPr/>
          <w:p>
            <w:pPr>
              <w:pStyle w:val="Compact"/>
            </w:pPr>
            <w:r>
              <w:t xml:space="preserve">6</w:t>
            </w:r>
          </w:p>
        </w:tc>
        <w:tc>
          <w:tcPr/>
          <w:p>
            <w:pPr>
              <w:pStyle w:val="Compact"/>
            </w:pPr>
            <w:r>
              <w:t xml:space="preserve">GET</w:t>
            </w:r>
          </w:p>
        </w:tc>
        <w:tc>
          <w:tcPr/>
          <w:p>
            <w:pPr>
              <w:pStyle w:val="Compact"/>
            </w:pPr>
            <w:r>
              <w:t xml:space="preserve">/api/stress-test</w:t>
            </w:r>
          </w:p>
        </w:tc>
        <w:tc>
          <w:tcPr/>
          <w:p>
            <w:pPr>
              <w:pStyle w:val="Compact"/>
            </w:pPr>
            <w:r>
              <w:t xml:space="preserve">Monte Carlo stress test results across all eight scenarios</w:t>
            </w:r>
          </w:p>
        </w:tc>
      </w:tr>
      <w:tr>
        <w:tc>
          <w:tcPr/>
          <w:p>
            <w:pPr>
              <w:pStyle w:val="Compact"/>
            </w:pPr>
            <w:r>
              <w:t xml:space="preserve">7</w:t>
            </w:r>
          </w:p>
        </w:tc>
        <w:tc>
          <w:tcPr/>
          <w:p>
            <w:pPr>
              <w:pStyle w:val="Compact"/>
            </w:pPr>
            <w:r>
              <w:t xml:space="preserve">GET</w:t>
            </w:r>
          </w:p>
        </w:tc>
        <w:tc>
          <w:tcPr/>
          <w:p>
            <w:pPr>
              <w:pStyle w:val="Compact"/>
            </w:pPr>
            <w:r>
              <w:t xml:space="preserve">/api/stress-test/{scenario}</w:t>
            </w:r>
          </w:p>
        </w:tc>
        <w:tc>
          <w:tcPr/>
          <w:p>
            <w:pPr>
              <w:pStyle w:val="Compact"/>
            </w:pPr>
            <w:r>
              <w:t xml:space="preserve">Single scenario risk metrics (VaR, CVaR, survival rate)</w:t>
            </w:r>
          </w:p>
        </w:tc>
      </w:tr>
      <w:tr>
        <w:tc>
          <w:tcPr/>
          <w:p>
            <w:pPr>
              <w:pStyle w:val="Compact"/>
            </w:pPr>
            <w:r>
              <w:t xml:space="preserve">8</w:t>
            </w:r>
          </w:p>
        </w:tc>
        <w:tc>
          <w:tcPr/>
          <w:p>
            <w:pPr>
              <w:pStyle w:val="Compact"/>
            </w:pPr>
            <w:r>
              <w:t xml:space="preserve">GET</w:t>
            </w:r>
          </w:p>
        </w:tc>
        <w:tc>
          <w:tcPr/>
          <w:p>
            <w:pPr>
              <w:pStyle w:val="Compact"/>
            </w:pPr>
            <w:r>
              <w:t xml:space="preserve">/api/fl-summary</w:t>
            </w:r>
          </w:p>
        </w:tc>
        <w:tc>
          <w:tcPr/>
          <w:p>
            <w:pPr>
              <w:pStyle w:val="Compact"/>
            </w:pPr>
            <w:r>
              <w:t xml:space="preserve">Federated learning results: convergence, privacy, client fairness</w:t>
            </w:r>
          </w:p>
        </w:tc>
      </w:tr>
      <w:tr>
        <w:tc>
          <w:tcPr/>
          <w:p>
            <w:pPr>
              <w:pStyle w:val="Compact"/>
            </w:pPr>
            <w:r>
              <w:t xml:space="preserve">9</w:t>
            </w:r>
          </w:p>
        </w:tc>
        <w:tc>
          <w:tcPr/>
          <w:p>
            <w:pPr>
              <w:pStyle w:val="Compact"/>
            </w:pPr>
            <w:r>
              <w:t xml:space="preserve">GET</w:t>
            </w:r>
          </w:p>
        </w:tc>
        <w:tc>
          <w:tcPr/>
          <w:p>
            <w:pPr>
              <w:pStyle w:val="Compact"/>
            </w:pPr>
            <w:r>
              <w:t xml:space="preserve">/api/gnn-summary</w:t>
            </w:r>
          </w:p>
        </w:tc>
        <w:tc>
          <w:tcPr/>
          <w:p>
            <w:pPr>
              <w:pStyle w:val="Compact"/>
            </w:pPr>
            <w:r>
              <w:t xml:space="preserve">Graph neural network statistics: nodes, edges, embeddings</w:t>
            </w:r>
          </w:p>
        </w:tc>
      </w:tr>
      <w:tr>
        <w:tc>
          <w:tcPr/>
          <w:p>
            <w:pPr>
              <w:pStyle w:val="Compact"/>
            </w:pPr>
            <w:r>
              <w:t xml:space="preserve">10</w:t>
            </w:r>
          </w:p>
        </w:tc>
        <w:tc>
          <w:tcPr/>
          <w:p>
            <w:pPr>
              <w:pStyle w:val="Compact"/>
            </w:pPr>
            <w:r>
              <w:t xml:space="preserve">GET</w:t>
            </w:r>
          </w:p>
        </w:tc>
        <w:tc>
          <w:tcPr/>
          <w:p>
            <w:pPr>
              <w:pStyle w:val="Compact"/>
            </w:pPr>
            <w:r>
              <w:t xml:space="preserve">/api/portfolio-growth</w:t>
            </w:r>
          </w:p>
        </w:tc>
        <w:tc>
          <w:tcPr/>
          <w:p>
            <w:pPr>
              <w:pStyle w:val="Compact"/>
            </w:pPr>
            <w:r>
              <w:t xml:space="preserve">Historical portfolio value versus benchmark time series</w:t>
            </w:r>
          </w:p>
        </w:tc>
      </w:tr>
      <w:tr>
        <w:tc>
          <w:tcPr/>
          <w:p>
            <w:pPr>
              <w:pStyle w:val="Compact"/>
            </w:pPr>
            <w:r>
              <w:t xml:space="preserve">11</w:t>
            </w:r>
          </w:p>
        </w:tc>
        <w:tc>
          <w:tcPr/>
          <w:p>
            <w:pPr>
              <w:pStyle w:val="Compact"/>
            </w:pPr>
            <w:r>
              <w:t xml:space="preserve">GET</w:t>
            </w:r>
          </w:p>
        </w:tc>
        <w:tc>
          <w:tcPr/>
          <w:p>
            <w:pPr>
              <w:pStyle w:val="Compact"/>
            </w:pPr>
            <w:r>
              <w:t xml:space="preserve">/api/holdings</w:t>
            </w:r>
          </w:p>
        </w:tc>
        <w:tc>
          <w:tcPr/>
          <w:p>
            <w:pPr>
              <w:pStyle w:val="Compact"/>
            </w:pPr>
            <w:r>
              <w:t xml:space="preserve">Current portfolio holdings with weight and sector per stock</w:t>
            </w:r>
          </w:p>
        </w:tc>
      </w:tr>
      <w:tr>
        <w:tc>
          <w:tcPr/>
          <w:p>
            <w:pPr>
              <w:pStyle w:val="Compact"/>
            </w:pPr>
            <w:r>
              <w:t xml:space="preserve">12</w:t>
            </w:r>
          </w:p>
        </w:tc>
        <w:tc>
          <w:tcPr/>
          <w:p>
            <w:pPr>
              <w:pStyle w:val="Compact"/>
            </w:pPr>
            <w:r>
              <w:t xml:space="preserve">GET</w:t>
            </w:r>
          </w:p>
        </w:tc>
        <w:tc>
          <w:tcPr/>
          <w:p>
            <w:pPr>
              <w:pStyle w:val="Compact"/>
            </w:pPr>
            <w:r>
              <w:t xml:space="preserve">/api/sentiment-trend</w:t>
            </w:r>
          </w:p>
        </w:tc>
        <w:tc>
          <w:tcPr/>
          <w:p>
            <w:pPr>
              <w:pStyle w:val="Compact"/>
            </w:pPr>
            <w:r>
              <w:t xml:space="preserve">Historical sentiment scores over time per stock</w:t>
            </w:r>
          </w:p>
        </w:tc>
      </w:tr>
      <w:tr>
        <w:tc>
          <w:tcPr/>
          <w:p>
            <w:pPr>
              <w:pStyle w:val="Compact"/>
            </w:pPr>
            <w:r>
              <w:t xml:space="preserve">13</w:t>
            </w:r>
          </w:p>
        </w:tc>
        <w:tc>
          <w:tcPr/>
          <w:p>
            <w:pPr>
              <w:pStyle w:val="Compact"/>
            </w:pPr>
            <w:r>
              <w:t xml:space="preserve">GET</w:t>
            </w:r>
          </w:p>
        </w:tc>
        <w:tc>
          <w:tcPr/>
          <w:p>
            <w:pPr>
              <w:pStyle w:val="Compact"/>
            </w:pPr>
            <w:r>
              <w:t xml:space="preserve">/api/graph-data</w:t>
            </w:r>
          </w:p>
        </w:tc>
        <w:tc>
          <w:tcPr/>
          <w:p>
            <w:pPr>
              <w:pStyle w:val="Compact"/>
            </w:pPr>
            <w:r>
              <w:t xml:space="preserve">Graph nodes, edges, and coordinates for frontend visualization</w:t>
            </w:r>
          </w:p>
        </w:tc>
      </w:tr>
      <w:tr>
        <w:tc>
          <w:tcPr/>
          <w:p>
            <w:pPr>
              <w:pStyle w:val="Compact"/>
            </w:pPr>
            <w:r>
              <w:t xml:space="preserve">14</w:t>
            </w:r>
          </w:p>
        </w:tc>
        <w:tc>
          <w:tcPr/>
          <w:p>
            <w:pPr>
              <w:pStyle w:val="Compact"/>
            </w:pPr>
            <w:r>
              <w:t xml:space="preserve">GET</w:t>
            </w:r>
          </w:p>
        </w:tc>
        <w:tc>
          <w:tcPr/>
          <w:p>
            <w:pPr>
              <w:pStyle w:val="Compact"/>
            </w:pPr>
            <w:r>
              <w:t xml:space="preserve">/api/workflow-status</w:t>
            </w:r>
          </w:p>
        </w:tc>
        <w:tc>
          <w:tcPr/>
          <w:p>
            <w:pPr>
              <w:pStyle w:val="Compact"/>
            </w:pPr>
            <w:r>
              <w:t xml:space="preserve">Pipeline stage statuses for all 15 system stages</w:t>
            </w:r>
          </w:p>
        </w:tc>
      </w:tr>
      <w:tr>
        <w:tc>
          <w:tcPr/>
          <w:p>
            <w:pPr>
              <w:pStyle w:val="Compact"/>
            </w:pPr>
            <w:r>
              <w:t xml:space="preserve">15</w:t>
            </w:r>
          </w:p>
        </w:tc>
        <w:tc>
          <w:tcPr/>
          <w:p>
            <w:pPr>
              <w:pStyle w:val="Compact"/>
            </w:pPr>
            <w:r>
              <w:t xml:space="preserve">GET</w:t>
            </w:r>
          </w:p>
        </w:tc>
        <w:tc>
          <w:tcPr/>
          <w:p>
            <w:pPr>
              <w:pStyle w:val="Compact"/>
            </w:pPr>
            <w:r>
              <w:t xml:space="preserve">/api/future-prediction</w:t>
            </w:r>
          </w:p>
        </w:tc>
        <w:tc>
          <w:tcPr/>
          <w:p>
            <w:pPr>
              <w:pStyle w:val="Compact"/>
            </w:pPr>
            <w:r>
              <w:t xml:space="preserve">Black Bootstrap forward simulation results (1000 scenarios)</w:t>
            </w:r>
          </w:p>
        </w:tc>
      </w:tr>
      <w:tr>
        <w:tc>
          <w:tcPr/>
          <w:p>
            <w:pPr>
              <w:pStyle w:val="Compact"/>
            </w:pPr>
            <w:r>
              <w:t xml:space="preserve">16</w:t>
            </w:r>
          </w:p>
        </w:tc>
        <w:tc>
          <w:tcPr/>
          <w:p>
            <w:pPr>
              <w:pStyle w:val="Compact"/>
            </w:pPr>
            <w:r>
              <w:t xml:space="preserve">GET</w:t>
            </w:r>
          </w:p>
        </w:tc>
        <w:tc>
          <w:tcPr/>
          <w:p>
            <w:pPr>
              <w:pStyle w:val="Compact"/>
            </w:pPr>
            <w:r>
              <w:t xml:space="preserve">/api/sector-performance</w:t>
            </w:r>
          </w:p>
        </w:tc>
        <w:tc>
          <w:tcPr/>
          <w:p>
            <w:pPr>
              <w:pStyle w:val="Compact"/>
            </w:pPr>
            <w:r>
              <w:t xml:space="preserve">Aggregated performance metrics by market sector</w:t>
            </w:r>
          </w:p>
        </w:tc>
      </w:tr>
      <w:tr>
        <w:tc>
          <w:tcPr/>
          <w:p>
            <w:pPr>
              <w:pStyle w:val="Compact"/>
            </w:pPr>
            <w:r>
              <w:t xml:space="preserve">17</w:t>
            </w:r>
          </w:p>
        </w:tc>
        <w:tc>
          <w:tcPr/>
          <w:p>
            <w:pPr>
              <w:pStyle w:val="Compact"/>
            </w:pPr>
            <w:r>
              <w:t xml:space="preserve">GET</w:t>
            </w:r>
          </w:p>
        </w:tc>
        <w:tc>
          <w:tcPr/>
          <w:p>
            <w:pPr>
              <w:pStyle w:val="Compact"/>
            </w:pPr>
            <w:r>
              <w:t xml:space="preserve">/api/stock-detail/{ticker}</w:t>
            </w:r>
          </w:p>
        </w:tc>
        <w:tc>
          <w:tcPr/>
          <w:p>
            <w:pPr>
              <w:pStyle w:val="Compact"/>
            </w:pPr>
            <w:r>
              <w:t xml:space="preserve">Individual stock price history, indicators, and sentiment</w:t>
            </w:r>
          </w:p>
        </w:tc>
      </w:tr>
      <w:tr>
        <w:tc>
          <w:tcPr/>
          <w:p>
            <w:pPr>
              <w:pStyle w:val="Compact"/>
            </w:pPr>
            <w:r>
              <w:t xml:space="preserve">18</w:t>
            </w:r>
          </w:p>
        </w:tc>
        <w:tc>
          <w:tcPr/>
          <w:p>
            <w:pPr>
              <w:pStyle w:val="Compact"/>
            </w:pPr>
            <w:r>
              <w:t xml:space="preserve">GET</w:t>
            </w:r>
          </w:p>
        </w:tc>
        <w:tc>
          <w:tcPr/>
          <w:p>
            <w:pPr>
              <w:pStyle w:val="Compact"/>
            </w:pPr>
            <w:r>
              <w:t xml:space="preserve">/api/stocks</w:t>
            </w:r>
          </w:p>
        </w:tc>
        <w:tc>
          <w:tcPr/>
          <w:p>
            <w:pPr>
              <w:pStyle w:val="Compact"/>
            </w:pPr>
            <w:r>
              <w:t xml:space="preserve">Full list of all 44 NIFTY 50 constituent stocks with sector labels</w:t>
            </w:r>
          </w:p>
        </w:tc>
      </w:tr>
      <w:tr>
        <w:tc>
          <w:tcPr/>
          <w:p>
            <w:pPr>
              <w:pStyle w:val="Compact"/>
            </w:pPr>
            <w:r>
              <w:t xml:space="preserve">19</w:t>
            </w:r>
          </w:p>
        </w:tc>
        <w:tc>
          <w:tcPr/>
          <w:p>
            <w:pPr>
              <w:pStyle w:val="Compact"/>
            </w:pPr>
            <w:r>
              <w:t xml:space="preserve">GET</w:t>
            </w:r>
          </w:p>
        </w:tc>
        <w:tc>
          <w:tcPr/>
          <w:p>
            <w:pPr>
              <w:pStyle w:val="Compact"/>
            </w:pPr>
            <w:r>
              <w:t xml:space="preserve">/api/config</w:t>
            </w:r>
          </w:p>
        </w:tc>
        <w:tc>
          <w:tcPr/>
          <w:p>
            <w:pPr>
              <w:pStyle w:val="Compact"/>
            </w:pPr>
            <w:r>
              <w:t xml:space="preserve">Active system configuration values from configs/base.yaml</w:t>
            </w:r>
          </w:p>
        </w:tc>
      </w:tr>
      <w:tr>
        <w:tc>
          <w:tcPr/>
          <w:p>
            <w:pPr>
              <w:pStyle w:val="Compact"/>
            </w:pPr>
            <w:r>
              <w:t xml:space="preserve">20</w:t>
            </w:r>
          </w:p>
        </w:tc>
        <w:tc>
          <w:tcPr/>
          <w:p>
            <w:pPr>
              <w:pStyle w:val="Compact"/>
            </w:pPr>
            <w:r>
              <w:t xml:space="preserve">POST</w:t>
            </w:r>
          </w:p>
        </w:tc>
        <w:tc>
          <w:tcPr/>
          <w:p>
            <w:pPr>
              <w:pStyle w:val="Compact"/>
            </w:pPr>
            <w:r>
              <w:t xml:space="preserve">/api/sentiment</w:t>
            </w:r>
          </w:p>
        </w:tc>
        <w:tc>
          <w:tcPr/>
          <w:p>
            <w:pPr>
              <w:pStyle w:val="Compact"/>
            </w:pPr>
            <w:r>
              <w:t xml:space="preserve">Score a single news headline on demand with FinBERT</w:t>
            </w:r>
          </w:p>
        </w:tc>
      </w:tr>
      <w:tr>
        <w:tc>
          <w:tcPr/>
          <w:p>
            <w:pPr>
              <w:pStyle w:val="Compact"/>
            </w:pPr>
            <w:r>
              <w:t xml:space="preserve">21</w:t>
            </w:r>
          </w:p>
        </w:tc>
        <w:tc>
          <w:tcPr/>
          <w:p>
            <w:pPr>
              <w:pStyle w:val="Compact"/>
            </w:pPr>
            <w:r>
              <w:t xml:space="preserve">POST</w:t>
            </w:r>
          </w:p>
        </w:tc>
        <w:tc>
          <w:tcPr/>
          <w:p>
            <w:pPr>
              <w:pStyle w:val="Compact"/>
            </w:pPr>
            <w:r>
              <w:t xml:space="preserve">/api/stress-test</w:t>
            </w:r>
          </w:p>
        </w:tc>
        <w:tc>
          <w:tcPr/>
          <w:p>
            <w:pPr>
              <w:pStyle w:val="Compact"/>
            </w:pPr>
            <w:r>
              <w:t xml:space="preserve">Run Monte Carlo stress test with custom scenario parameters</w:t>
            </w:r>
          </w:p>
        </w:tc>
      </w:tr>
      <w:tr>
        <w:tc>
          <w:tcPr/>
          <w:p>
            <w:pPr>
              <w:pStyle w:val="Compact"/>
            </w:pPr>
            <w:r>
              <w:t xml:space="preserve">22</w:t>
            </w:r>
          </w:p>
        </w:tc>
        <w:tc>
          <w:tcPr/>
          <w:p>
            <w:pPr>
              <w:pStyle w:val="Compact"/>
            </w:pPr>
            <w:r>
              <w:t xml:space="preserve">GET</w:t>
            </w:r>
          </w:p>
        </w:tc>
        <w:tc>
          <w:tcPr/>
          <w:p>
            <w:pPr>
              <w:pStyle w:val="Compact"/>
            </w:pPr>
            <w:r>
              <w:t xml:space="preserve">/api/refresh-data</w:t>
            </w:r>
          </w:p>
        </w:tc>
        <w:tc>
          <w:tcPr/>
          <w:p>
            <w:pPr>
              <w:pStyle w:val="Compact"/>
            </w:pPr>
            <w:r>
              <w:t xml:space="preserve">Trigger fresh OHLCV price download from Yahoo Finance</w:t>
            </w:r>
          </w:p>
        </w:tc>
      </w:tr>
      <w:tr>
        <w:tc>
          <w:tcPr/>
          <w:p>
            <w:pPr>
              <w:pStyle w:val="Compact"/>
            </w:pPr>
            <w:r>
              <w:t xml:space="preserve">23</w:t>
            </w:r>
          </w:p>
        </w:tc>
        <w:tc>
          <w:tcPr/>
          <w:p>
            <w:pPr>
              <w:pStyle w:val="Compact"/>
            </w:pPr>
            <w:r>
              <w:t xml:space="preserve">POST</w:t>
            </w:r>
          </w:p>
        </w:tc>
        <w:tc>
          <w:tcPr/>
          <w:p>
            <w:pPr>
              <w:pStyle w:val="Compact"/>
            </w:pPr>
            <w:r>
              <w:t xml:space="preserve">/api/cache/refresh</w:t>
            </w:r>
          </w:p>
        </w:tc>
        <w:tc>
          <w:tcPr/>
          <w:p>
            <w:pPr>
              <w:pStyle w:val="Compact"/>
            </w:pPr>
            <w:r>
              <w:t xml:space="preserve">Force-invalidate and rebuild the news sentiment SQLite cache</w:t>
            </w:r>
          </w:p>
        </w:tc>
      </w:tr>
      <w:tr>
        <w:tc>
          <w:tcPr/>
          <w:p>
            <w:pPr>
              <w:pStyle w:val="Compact"/>
            </w:pPr>
            <w:r>
              <w:t xml:space="preserve">24</w:t>
            </w:r>
          </w:p>
        </w:tc>
        <w:tc>
          <w:tcPr/>
          <w:p>
            <w:pPr>
              <w:pStyle w:val="Compact"/>
            </w:pPr>
            <w:r>
              <w:t xml:space="preserve">GET</w:t>
            </w:r>
          </w:p>
        </w:tc>
        <w:tc>
          <w:tcPr/>
          <w:p>
            <w:pPr>
              <w:pStyle w:val="Compact"/>
            </w:pPr>
            <w:r>
              <w:t xml:space="preserve">/docs</w:t>
            </w:r>
          </w:p>
        </w:tc>
        <w:tc>
          <w:tcPr/>
          <w:p>
            <w:pPr>
              <w:pStyle w:val="Compact"/>
            </w:pPr>
            <w:r>
              <w:t xml:space="preserve">Swagger UI interactive API documentation</w:t>
            </w:r>
          </w:p>
        </w:tc>
      </w:tr>
    </w:tbl>
    <w:p>
      <w:pPr>
        <w:pStyle w:val="BodyText"/>
      </w:pPr>
      <w:r>
        <w:t xml:space="preserve">All endpoints return HTTP 200 with JSON on success. Standard HTTP error codes (400, 404, 500) are returned on failure with a JSON error message body. GET and POST endpoints share the same error handling convention. CORS is configured for http://localhost:3000 to allow the React dashboard to communicate with the backend running on port 8000. Endpoints marked POST accept a JSON request body, and parameter schemas are defined in the Swagger documentation at /docs.</w:t>
      </w:r>
    </w:p>
    <w:p>
      <w:r>
        <w:pict>
          <v:rect style="width:0;height:1.5pt" o:hralign="center" o:hrstd="t" o:hr="t"/>
        </w:pict>
      </w:r>
    </w:p>
    <w:bookmarkEnd w:id="89"/>
    <w:bookmarkStart w:id="91" w:name="appendix-d-test-results-summary"/>
    <w:p>
      <w:pPr>
        <w:pStyle w:val="Heading2"/>
      </w:pPr>
      <w:r>
        <w:t xml:space="preserve">Appendix D — Test Results Summary</w:t>
      </w:r>
    </w:p>
    <w:p>
      <w:pPr>
        <w:pStyle w:val="FirstParagraph"/>
      </w:pPr>
      <w:r>
        <w:t xml:space="preserve">The pytest test suite for FINQUANT-NEXUS was run on the local development machine described in Chapter 4, Section 4.1. Table D.1 shows the results by test file.</w:t>
      </w:r>
    </w:p>
    <w:p>
      <w:pPr>
        <w:pStyle w:val="BodyText"/>
      </w:pPr>
      <w:r>
        <w:rPr>
          <w:b/>
          <w:bCs/>
        </w:rPr>
        <w:t xml:space="preserve">Table D.1: Test Suite Results by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 File</w:t>
            </w:r>
          </w:p>
        </w:tc>
        <w:tc>
          <w:tcPr/>
          <w:p>
            <w:pPr>
              <w:pStyle w:val="Compact"/>
            </w:pPr>
            <w:r>
              <w:t xml:space="preserve">Module Tested</w:t>
            </w:r>
          </w:p>
        </w:tc>
        <w:tc>
          <w:tcPr/>
          <w:p>
            <w:pPr>
              <w:pStyle w:val="Compact"/>
            </w:pPr>
            <w:r>
              <w:t xml:space="preserve">Result</w:t>
            </w:r>
          </w:p>
        </w:tc>
      </w:tr>
      <w:tr>
        <w:tc>
          <w:tcPr/>
          <w:p>
            <w:pPr>
              <w:pStyle w:val="Compact"/>
            </w:pPr>
            <w:r>
              <w:t xml:space="preserve">1</w:t>
            </w:r>
          </w:p>
        </w:tc>
        <w:tc>
          <w:tcPr/>
          <w:p>
            <w:pPr>
              <w:pStyle w:val="Compact"/>
            </w:pPr>
            <w:r>
              <w:t xml:space="preserve">test_phase0.py</w:t>
            </w:r>
          </w:p>
        </w:tc>
        <w:tc>
          <w:tcPr/>
          <w:p>
            <w:pPr>
              <w:pStyle w:val="Compact"/>
            </w:pPr>
            <w:r>
              <w:t xml:space="preserve">Config validation, logging setup, random seed</w:t>
            </w:r>
          </w:p>
        </w:tc>
        <w:tc>
          <w:tcPr/>
          <w:p>
            <w:pPr>
              <w:pStyle w:val="Compact"/>
            </w:pPr>
            <w:r>
              <w:t xml:space="preserve">PASS</w:t>
            </w:r>
          </w:p>
        </w:tc>
      </w:tr>
      <w:tr>
        <w:tc>
          <w:tcPr/>
          <w:p>
            <w:pPr>
              <w:pStyle w:val="Compact"/>
            </w:pPr>
            <w:r>
              <w:t xml:space="preserve">2</w:t>
            </w:r>
          </w:p>
        </w:tc>
        <w:tc>
          <w:tcPr/>
          <w:p>
            <w:pPr>
              <w:pStyle w:val="Compact"/>
            </w:pPr>
            <w:r>
              <w:t xml:space="preserve">test_data.py</w:t>
            </w:r>
          </w:p>
        </w:tc>
        <w:tc>
          <w:tcPr/>
          <w:p>
            <w:pPr>
              <w:pStyle w:val="Compact"/>
            </w:pPr>
            <w:r>
              <w:t xml:space="preserve">Data download, cleaning, forward-fill</w:t>
            </w:r>
          </w:p>
        </w:tc>
        <w:tc>
          <w:tcPr/>
          <w:p>
            <w:pPr>
              <w:pStyle w:val="Compact"/>
            </w:pPr>
            <w:r>
              <w:t xml:space="preserve">PASS</w:t>
            </w:r>
          </w:p>
        </w:tc>
      </w:tr>
      <w:tr>
        <w:tc>
          <w:tcPr/>
          <w:p>
            <w:pPr>
              <w:pStyle w:val="Compact"/>
            </w:pPr>
            <w:r>
              <w:t xml:space="preserve">3</w:t>
            </w:r>
          </w:p>
        </w:tc>
        <w:tc>
          <w:tcPr/>
          <w:p>
            <w:pPr>
              <w:pStyle w:val="Compact"/>
            </w:pPr>
            <w:r>
              <w:t xml:space="preserve">test_features.py</w:t>
            </w:r>
          </w:p>
        </w:tc>
        <w:tc>
          <w:tcPr/>
          <w:p>
            <w:pPr>
              <w:pStyle w:val="Compact"/>
            </w:pPr>
            <w:r>
              <w:t xml:space="preserve">21 technical indicators computation</w:t>
            </w:r>
          </w:p>
        </w:tc>
        <w:tc>
          <w:tcPr/>
          <w:p>
            <w:pPr>
              <w:pStyle w:val="Compact"/>
            </w:pPr>
            <w:r>
              <w:t xml:space="preserve">PASS</w:t>
            </w:r>
          </w:p>
        </w:tc>
      </w:tr>
      <w:tr>
        <w:tc>
          <w:tcPr/>
          <w:p>
            <w:pPr>
              <w:pStyle w:val="Compact"/>
            </w:pPr>
            <w:r>
              <w:t xml:space="preserve">4</w:t>
            </w:r>
          </w:p>
        </w:tc>
        <w:tc>
          <w:tcPr/>
          <w:p>
            <w:pPr>
              <w:pStyle w:val="Compact"/>
            </w:pPr>
            <w:r>
              <w:t xml:space="preserve">test_sentiment.py</w:t>
            </w:r>
          </w:p>
        </w:tc>
        <w:tc>
          <w:tcPr/>
          <w:p>
            <w:pPr>
              <w:pStyle w:val="Compact"/>
            </w:pPr>
            <w:r>
              <w:t xml:space="preserve">FinBERT inference, news fetching, SQLite caching</w:t>
            </w:r>
          </w:p>
        </w:tc>
        <w:tc>
          <w:tcPr/>
          <w:p>
            <w:pPr>
              <w:pStyle w:val="Compact"/>
            </w:pPr>
            <w:r>
              <w:t xml:space="preserve">PASS</w:t>
            </w:r>
          </w:p>
        </w:tc>
      </w:tr>
      <w:tr>
        <w:tc>
          <w:tcPr/>
          <w:p>
            <w:pPr>
              <w:pStyle w:val="Compact"/>
            </w:pPr>
            <w:r>
              <w:t xml:space="preserve">5</w:t>
            </w:r>
          </w:p>
        </w:tc>
        <w:tc>
          <w:tcPr/>
          <w:p>
            <w:pPr>
              <w:pStyle w:val="Compact"/>
            </w:pPr>
            <w:r>
              <w:t xml:space="preserve">test_graph.py</w:t>
            </w:r>
          </w:p>
        </w:tc>
        <w:tc>
          <w:tcPr/>
          <w:p>
            <w:pPr>
              <w:pStyle w:val="Compact"/>
            </w:pPr>
            <w:r>
              <w:t xml:space="preserve">Graph construction, three edge types, density</w:t>
            </w:r>
          </w:p>
        </w:tc>
        <w:tc>
          <w:tcPr/>
          <w:p>
            <w:pPr>
              <w:pStyle w:val="Compact"/>
            </w:pPr>
            <w:r>
              <w:t xml:space="preserve">PASS</w:t>
            </w:r>
          </w:p>
        </w:tc>
      </w:tr>
      <w:tr>
        <w:tc>
          <w:tcPr/>
          <w:p>
            <w:pPr>
              <w:pStyle w:val="Compact"/>
            </w:pPr>
            <w:r>
              <w:t xml:space="preserve">6</w:t>
            </w:r>
          </w:p>
        </w:tc>
        <w:tc>
          <w:tcPr/>
          <w:p>
            <w:pPr>
              <w:pStyle w:val="Compact"/>
            </w:pPr>
            <w:r>
              <w:t xml:space="preserve">test_tgat.py</w:t>
            </w:r>
          </w:p>
        </w:tc>
        <w:tc>
          <w:tcPr/>
          <w:p>
            <w:pPr>
              <w:pStyle w:val="Compact"/>
            </w:pPr>
            <w:r>
              <w:t xml:space="preserve">T-GAT model forward pass and training loop</w:t>
            </w:r>
          </w:p>
        </w:tc>
        <w:tc>
          <w:tcPr/>
          <w:p>
            <w:pPr>
              <w:pStyle w:val="Compact"/>
            </w:pPr>
            <w:r>
              <w:t xml:space="preserve">PASS</w:t>
            </w:r>
          </w:p>
        </w:tc>
      </w:tr>
      <w:tr>
        <w:tc>
          <w:tcPr/>
          <w:p>
            <w:pPr>
              <w:pStyle w:val="Compact"/>
            </w:pPr>
            <w:r>
              <w:t xml:space="preserve">7</w:t>
            </w:r>
          </w:p>
        </w:tc>
        <w:tc>
          <w:tcPr/>
          <w:p>
            <w:pPr>
              <w:pStyle w:val="Compact"/>
            </w:pPr>
            <w:r>
              <w:t xml:space="preserve">test_env.py</w:t>
            </w:r>
          </w:p>
        </w:tc>
        <w:tc>
          <w:tcPr/>
          <w:p>
            <w:pPr>
              <w:pStyle w:val="Compact"/>
            </w:pPr>
            <w:r>
              <w:t xml:space="preserve">RL environment, reward function, risk constraints</w:t>
            </w:r>
          </w:p>
        </w:tc>
        <w:tc>
          <w:tcPr/>
          <w:p>
            <w:pPr>
              <w:pStyle w:val="Compact"/>
            </w:pPr>
            <w:r>
              <w:t xml:space="preserve">PASS</w:t>
            </w:r>
          </w:p>
        </w:tc>
      </w:tr>
      <w:tr>
        <w:tc>
          <w:tcPr/>
          <w:p>
            <w:pPr>
              <w:pStyle w:val="Compact"/>
            </w:pPr>
            <w:r>
              <w:t xml:space="preserve">8</w:t>
            </w:r>
          </w:p>
        </w:tc>
        <w:tc>
          <w:tcPr/>
          <w:p>
            <w:pPr>
              <w:pStyle w:val="Compact"/>
            </w:pPr>
            <w:r>
              <w:t xml:space="preserve">test_agent.py</w:t>
            </w:r>
          </w:p>
        </w:tc>
        <w:tc>
          <w:tcPr/>
          <w:p>
            <w:pPr>
              <w:pStyle w:val="Compact"/>
            </w:pPr>
            <w:r>
              <w:t xml:space="preserve">Six RL algorithms: training and inference</w:t>
            </w:r>
          </w:p>
        </w:tc>
        <w:tc>
          <w:tcPr/>
          <w:p>
            <w:pPr>
              <w:pStyle w:val="Compact"/>
            </w:pPr>
            <w:r>
              <w:t xml:space="preserve">PASS</w:t>
            </w:r>
          </w:p>
        </w:tc>
      </w:tr>
      <w:tr>
        <w:tc>
          <w:tcPr/>
          <w:p>
            <w:pPr>
              <w:pStyle w:val="Compact"/>
            </w:pPr>
            <w:r>
              <w:t xml:space="preserve">9</w:t>
            </w:r>
          </w:p>
        </w:tc>
        <w:tc>
          <w:tcPr/>
          <w:p>
            <w:pPr>
              <w:pStyle w:val="Compact"/>
            </w:pPr>
            <w:r>
              <w:t xml:space="preserve">test_gan.py</w:t>
            </w:r>
          </w:p>
        </w:tc>
        <w:tc>
          <w:tcPr/>
          <w:p>
            <w:pPr>
              <w:pStyle w:val="Compact"/>
            </w:pPr>
            <w:r>
              <w:t xml:space="preserve">Monte Carlo stress testing, VaR computation</w:t>
            </w:r>
          </w:p>
        </w:tc>
        <w:tc>
          <w:tcPr/>
          <w:p>
            <w:pPr>
              <w:pStyle w:val="Compact"/>
            </w:pPr>
            <w:r>
              <w:t xml:space="preserve">PASS</w:t>
            </w:r>
          </w:p>
        </w:tc>
      </w:tr>
      <w:tr>
        <w:tc>
          <w:tcPr/>
          <w:p>
            <w:pPr>
              <w:pStyle w:val="Compact"/>
            </w:pPr>
            <w:r>
              <w:t xml:space="preserve">10</w:t>
            </w:r>
          </w:p>
        </w:tc>
        <w:tc>
          <w:tcPr/>
          <w:p>
            <w:pPr>
              <w:pStyle w:val="Compact"/>
            </w:pPr>
            <w:r>
              <w:t xml:space="preserve">test_fl.py</w:t>
            </w:r>
          </w:p>
        </w:tc>
        <w:tc>
          <w:tcPr/>
          <w:p>
            <w:pPr>
              <w:pStyle w:val="Compact"/>
            </w:pPr>
            <w:r>
              <w:t xml:space="preserve">Federated learning, FedProx, DP-SGD privacy</w:t>
            </w:r>
          </w:p>
        </w:tc>
        <w:tc>
          <w:tcPr/>
          <w:p>
            <w:pPr>
              <w:pStyle w:val="Compact"/>
            </w:pPr>
            <w:r>
              <w:t xml:space="preserve">PASS</w:t>
            </w:r>
          </w:p>
        </w:tc>
      </w:tr>
      <w:tr>
        <w:tc>
          <w:tcPr/>
          <w:p>
            <w:pPr>
              <w:pStyle w:val="Compact"/>
            </w:pPr>
            <w:r>
              <w:t xml:space="preserve">11</w:t>
            </w:r>
          </w:p>
        </w:tc>
        <w:tc>
          <w:tcPr/>
          <w:p>
            <w:pPr>
              <w:pStyle w:val="Compact"/>
            </w:pPr>
            <w:r>
              <w:t xml:space="preserve">test_api.py</w:t>
            </w:r>
          </w:p>
        </w:tc>
        <w:tc>
          <w:tcPr/>
          <w:p>
            <w:pPr>
              <w:pStyle w:val="Compact"/>
            </w:pPr>
            <w:r>
              <w:t xml:space="preserve">FastAPI endpoints, response schema validation</w:t>
            </w:r>
          </w:p>
        </w:tc>
        <w:tc>
          <w:tcPr/>
          <w:p>
            <w:pPr>
              <w:pStyle w:val="Compact"/>
            </w:pPr>
            <w:r>
              <w:t xml:space="preserve">PASS</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245 passed, 0 failed (245 total)</w:t>
            </w:r>
          </w:p>
        </w:tc>
      </w:tr>
    </w:tbl>
    <w:p>
      <w:pPr>
        <w:pStyle w:val="BlockText"/>
      </w:pPr>
      <w:r>
        <w:t xml:space="preserve">Two assertions in test_phase0.py initially carried outdated values (0.07 for risk-free rate, 0.20 for max position) from an earlier configuration. After updating these to 0.05 and 0.12 respectively to match the active configs/base.yaml, the full suite passed cleanly. All calculations in the dissertation use 0.05 for the risk-free rate and 0.12 for the maximum single-stock position.</w:t>
      </w:r>
    </w:p>
    <w:p>
      <w:pPr>
        <w:pStyle w:val="FirstParagraph"/>
      </w:pPr>
      <w:r>
        <w:rPr>
          <w:b/>
          <w:bCs/>
        </w:rPr>
        <w:t xml:space="preserve">Pytest run command used:</w:t>
      </w:r>
    </w:p>
    <w:p>
      <w:pPr>
        <w:pStyle w:val="SourceCode"/>
      </w:pPr>
      <w:r>
        <w:rPr>
          <w:rStyle w:val="VerbatimChar"/>
        </w:rPr>
        <w:t xml:space="preserve">cd fqn1</w:t>
      </w:r>
      <w:r>
        <w:br/>
      </w:r>
      <w:r>
        <w:rPr>
          <w:rStyle w:val="VerbatimChar"/>
        </w:rPr>
        <w:t xml:space="preserve">pytest tests/ -v --tb=short</w:t>
      </w:r>
    </w:p>
    <w:p>
      <w:r>
        <w:pict>
          <v:rect style="width:0;height:1.5pt" o:hralign="center" o:hrstd="t" o:hr="t"/>
        </w:pict>
      </w:r>
    </w:p>
    <w:bookmarkEnd w:id="90"/>
    <w:bookmarkStart w:id="92" w:name="appendix-e-list-of-abbreviations"/>
    <w:p>
      <w:pPr>
        <w:pStyle w:val="Heading2"/>
      </w:pPr>
      <w:r>
        <w:t xml:space="preserve">Appendix E — 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A2C</w:t>
            </w:r>
          </w:p>
        </w:tc>
        <w:tc>
          <w:tcPr/>
          <w:p>
            <w:pPr>
              <w:pStyle w:val="Compact"/>
            </w:pPr>
            <w:r>
              <w:t xml:space="preserve">Advantage Actor-Critic</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ATR</w:t>
            </w:r>
          </w:p>
        </w:tc>
        <w:tc>
          <w:tcPr/>
          <w:p>
            <w:pPr>
              <w:pStyle w:val="Compact"/>
            </w:pPr>
            <w:r>
              <w:t xml:space="preserve">Average True Range</w:t>
            </w:r>
          </w:p>
        </w:tc>
      </w:tr>
      <w:tr>
        <w:tc>
          <w:tcPr/>
          <w:p>
            <w:pPr>
              <w:pStyle w:val="Compact"/>
            </w:pPr>
            <w:r>
              <w:t xml:space="preserve">CVaR</w:t>
            </w:r>
          </w:p>
        </w:tc>
        <w:tc>
          <w:tcPr/>
          <w:p>
            <w:pPr>
              <w:pStyle w:val="Compact"/>
            </w:pPr>
            <w:r>
              <w:t xml:space="preserve">Conditional Value at Risk</w:t>
            </w:r>
          </w:p>
        </w:tc>
      </w:tr>
      <w:tr>
        <w:tc>
          <w:tcPr/>
          <w:p>
            <w:pPr>
              <w:pStyle w:val="Compact"/>
            </w:pPr>
            <w:r>
              <w:t xml:space="preserve">DDPG</w:t>
            </w:r>
          </w:p>
        </w:tc>
        <w:tc>
          <w:tcPr/>
          <w:p>
            <w:pPr>
              <w:pStyle w:val="Compact"/>
            </w:pPr>
            <w:r>
              <w:t xml:space="preserve">Deep Deterministic Policy Gradient</w:t>
            </w:r>
          </w:p>
        </w:tc>
      </w:tr>
      <w:tr>
        <w:tc>
          <w:tcPr/>
          <w:p>
            <w:pPr>
              <w:pStyle w:val="Compact"/>
            </w:pPr>
            <w:r>
              <w:t xml:space="preserve">DP-SGD</w:t>
            </w:r>
          </w:p>
        </w:tc>
        <w:tc>
          <w:tcPr/>
          <w:p>
            <w:pPr>
              <w:pStyle w:val="Compact"/>
            </w:pPr>
            <w:r>
              <w:t xml:space="preserve">Differentially Private Stochastic Gradient Descent</w:t>
            </w:r>
          </w:p>
        </w:tc>
      </w:tr>
      <w:tr>
        <w:tc>
          <w:tcPr/>
          <w:p>
            <w:pPr>
              <w:pStyle w:val="Compact"/>
            </w:pPr>
            <w:r>
              <w:t xml:space="preserve">DRL</w:t>
            </w:r>
          </w:p>
        </w:tc>
        <w:tc>
          <w:tcPr/>
          <w:p>
            <w:pPr>
              <w:pStyle w:val="Compact"/>
            </w:pPr>
            <w:r>
              <w:t xml:space="preserve">Deep Reinforcement Learning</w:t>
            </w:r>
          </w:p>
        </w:tc>
      </w:tr>
      <w:tr>
        <w:tc>
          <w:tcPr/>
          <w:p>
            <w:pPr>
              <w:pStyle w:val="Compact"/>
            </w:pPr>
            <w:r>
              <w:t xml:space="preserve">EMA</w:t>
            </w:r>
          </w:p>
        </w:tc>
        <w:tc>
          <w:tcPr/>
          <w:p>
            <w:pPr>
              <w:pStyle w:val="Compact"/>
            </w:pPr>
            <w:r>
              <w:t xml:space="preserve">Exponential Moving Average</w:t>
            </w:r>
          </w:p>
        </w:tc>
      </w:tr>
      <w:tr>
        <w:tc>
          <w:tcPr/>
          <w:p>
            <w:pPr>
              <w:pStyle w:val="Compact"/>
            </w:pPr>
            <w:r>
              <w:t xml:space="preserve">FedAvg</w:t>
            </w:r>
          </w:p>
        </w:tc>
        <w:tc>
          <w:tcPr/>
          <w:p>
            <w:pPr>
              <w:pStyle w:val="Compact"/>
            </w:pPr>
            <w:r>
              <w:t xml:space="preserve">Federated Averaging</w:t>
            </w:r>
          </w:p>
        </w:tc>
      </w:tr>
      <w:tr>
        <w:tc>
          <w:tcPr/>
          <w:p>
            <w:pPr>
              <w:pStyle w:val="Compact"/>
            </w:pPr>
            <w:r>
              <w:t xml:space="preserve">FedProx</w:t>
            </w:r>
          </w:p>
        </w:tc>
        <w:tc>
          <w:tcPr/>
          <w:p>
            <w:pPr>
              <w:pStyle w:val="Compact"/>
            </w:pPr>
            <w:r>
              <w:t xml:space="preserve">Federated Proximal Optimisation</w:t>
            </w:r>
          </w:p>
        </w:tc>
      </w:tr>
      <w:tr>
        <w:tc>
          <w:tcPr/>
          <w:p>
            <w:pPr>
              <w:pStyle w:val="Compact"/>
            </w:pPr>
            <w:r>
              <w:t xml:space="preserve">FinBERT</w:t>
            </w:r>
          </w:p>
        </w:tc>
        <w:tc>
          <w:tcPr/>
          <w:p>
            <w:pPr>
              <w:pStyle w:val="Compact"/>
            </w:pPr>
            <w:r>
              <w:t xml:space="preserve">Financial Bidirectional Encoder Representations from Transformers</w:t>
            </w:r>
          </w:p>
        </w:tc>
      </w:tr>
      <w:tr>
        <w:tc>
          <w:tcPr/>
          <w:p>
            <w:pPr>
              <w:pStyle w:val="Compact"/>
            </w:pPr>
            <w:r>
              <w:t xml:space="preserve">FL</w:t>
            </w:r>
          </w:p>
        </w:tc>
        <w:tc>
          <w:tcPr/>
          <w:p>
            <w:pPr>
              <w:pStyle w:val="Compact"/>
            </w:pPr>
            <w:r>
              <w:t xml:space="preserve">Federated Learning</w:t>
            </w:r>
          </w:p>
        </w:tc>
      </w:tr>
      <w:tr>
        <w:tc>
          <w:tcPr/>
          <w:p>
            <w:pPr>
              <w:pStyle w:val="Compact"/>
            </w:pPr>
            <w:r>
              <w:t xml:space="preserve">FMCG</w:t>
            </w:r>
          </w:p>
        </w:tc>
        <w:tc>
          <w:tcPr/>
          <w:p>
            <w:pPr>
              <w:pStyle w:val="Compact"/>
            </w:pPr>
            <w:r>
              <w:t xml:space="preserve">Fast-Moving Consumer Goods</w:t>
            </w:r>
          </w:p>
        </w:tc>
      </w:tr>
      <w:tr>
        <w:tc>
          <w:tcPr/>
          <w:p>
            <w:pPr>
              <w:pStyle w:val="Compact"/>
            </w:pPr>
            <w:r>
              <w:t xml:space="preserve">GAT</w:t>
            </w:r>
          </w:p>
        </w:tc>
        <w:tc>
          <w:tcPr/>
          <w:p>
            <w:pPr>
              <w:pStyle w:val="Compact"/>
            </w:pPr>
            <w:r>
              <w:t xml:space="preserve">Graph Attention Network</w:t>
            </w:r>
          </w:p>
        </w:tc>
      </w:tr>
      <w:tr>
        <w:tc>
          <w:tcPr/>
          <w:p>
            <w:pPr>
              <w:pStyle w:val="Compact"/>
            </w:pPr>
            <w:r>
              <w:t xml:space="preserve">GNN</w:t>
            </w:r>
          </w:p>
        </w:tc>
        <w:tc>
          <w:tcPr/>
          <w:p>
            <w:pPr>
              <w:pStyle w:val="Compact"/>
            </w:pPr>
            <w:r>
              <w:t xml:space="preserve">Graph Neural Network</w:t>
            </w:r>
          </w:p>
        </w:tc>
      </w:tr>
      <w:tr>
        <w:tc>
          <w:tcPr/>
          <w:p>
            <w:pPr>
              <w:pStyle w:val="Compact"/>
            </w:pPr>
            <w:r>
              <w:t xml:space="preserve">GRU</w:t>
            </w:r>
          </w:p>
        </w:tc>
        <w:tc>
          <w:tcPr/>
          <w:p>
            <w:pPr>
              <w:pStyle w:val="Compact"/>
            </w:pPr>
            <w:r>
              <w:t xml:space="preserve">Gated Recurrent Unit</w:t>
            </w:r>
          </w:p>
        </w:tc>
      </w:tr>
      <w:tr>
        <w:tc>
          <w:tcPr/>
          <w:p>
            <w:pPr>
              <w:pStyle w:val="Compact"/>
            </w:pPr>
            <w:r>
              <w:t xml:space="preserve">MACD</w:t>
            </w:r>
          </w:p>
        </w:tc>
        <w:tc>
          <w:tcPr/>
          <w:p>
            <w:pPr>
              <w:pStyle w:val="Compact"/>
            </w:pPr>
            <w:r>
              <w:t xml:space="preserve">Moving Average Convergence Divergence</w:t>
            </w:r>
          </w:p>
        </w:tc>
      </w:tr>
      <w:tr>
        <w:tc>
          <w:tcPr/>
          <w:p>
            <w:pPr>
              <w:pStyle w:val="Compact"/>
            </w:pPr>
            <w:r>
              <w:t xml:space="preserve">ML</w:t>
            </w:r>
          </w:p>
        </w:tc>
        <w:tc>
          <w:tcPr/>
          <w:p>
            <w:pPr>
              <w:pStyle w:val="Compact"/>
            </w:pPr>
            <w:r>
              <w:t xml:space="preserve">Machine Learning</w:t>
            </w:r>
          </w:p>
        </w:tc>
      </w:tr>
      <w:tr>
        <w:tc>
          <w:tcPr/>
          <w:p>
            <w:pPr>
              <w:pStyle w:val="Compact"/>
            </w:pPr>
            <w:r>
              <w:t xml:space="preserve">MPT</w:t>
            </w:r>
          </w:p>
        </w:tc>
        <w:tc>
          <w:tcPr/>
          <w:p>
            <w:pPr>
              <w:pStyle w:val="Compact"/>
            </w:pPr>
            <w:r>
              <w:t xml:space="preserve">Modern Portfolio Theory</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NSE</w:t>
            </w:r>
          </w:p>
        </w:tc>
        <w:tc>
          <w:tcPr/>
          <w:p>
            <w:pPr>
              <w:pStyle w:val="Compact"/>
            </w:pPr>
            <w:r>
              <w:t xml:space="preserve">National Stock Exchange of India</w:t>
            </w:r>
          </w:p>
        </w:tc>
      </w:tr>
      <w:tr>
        <w:tc>
          <w:tcPr/>
          <w:p>
            <w:pPr>
              <w:pStyle w:val="Compact"/>
            </w:pPr>
            <w:r>
              <w:t xml:space="preserve">NIFTY</w:t>
            </w:r>
          </w:p>
        </w:tc>
        <w:tc>
          <w:tcPr/>
          <w:p>
            <w:pPr>
              <w:pStyle w:val="Compact"/>
            </w:pPr>
            <w:r>
              <w:t xml:space="preserve">National Fifty</w:t>
            </w:r>
          </w:p>
        </w:tc>
      </w:tr>
      <w:tr>
        <w:tc>
          <w:tcPr/>
          <w:p>
            <w:pPr>
              <w:pStyle w:val="Compact"/>
            </w:pPr>
            <w:r>
              <w:t xml:space="preserve">OBV</w:t>
            </w:r>
          </w:p>
        </w:tc>
        <w:tc>
          <w:tcPr/>
          <w:p>
            <w:pPr>
              <w:pStyle w:val="Compact"/>
            </w:pPr>
            <w:r>
              <w:t xml:space="preserve">On-Balance Volume</w:t>
            </w:r>
          </w:p>
        </w:tc>
      </w:tr>
      <w:tr>
        <w:tc>
          <w:tcPr/>
          <w:p>
            <w:pPr>
              <w:pStyle w:val="Compact"/>
            </w:pPr>
            <w:r>
              <w:t xml:space="preserve">OHLCV</w:t>
            </w:r>
          </w:p>
        </w:tc>
        <w:tc>
          <w:tcPr/>
          <w:p>
            <w:pPr>
              <w:pStyle w:val="Compact"/>
            </w:pPr>
            <w:r>
              <w:t xml:space="preserve">Open, High, Low, Close, Volume</w:t>
            </w:r>
          </w:p>
        </w:tc>
      </w:tr>
      <w:tr>
        <w:tc>
          <w:tcPr/>
          <w:p>
            <w:pPr>
              <w:pStyle w:val="Compact"/>
            </w:pPr>
            <w:r>
              <w:t xml:space="preserve">PPO</w:t>
            </w:r>
          </w:p>
        </w:tc>
        <w:tc>
          <w:tcPr/>
          <w:p>
            <w:pPr>
              <w:pStyle w:val="Compact"/>
            </w:pPr>
            <w:r>
              <w:t xml:space="preserve">Proximal Policy Optimisation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RL</w:t>
            </w:r>
          </w:p>
        </w:tc>
        <w:tc>
          <w:tcPr/>
          <w:p>
            <w:pPr>
              <w:pStyle w:val="Compact"/>
            </w:pPr>
            <w:r>
              <w:t xml:space="preserve">Reinforcement Learning</w:t>
            </w:r>
          </w:p>
        </w:tc>
      </w:tr>
      <w:tr>
        <w:tc>
          <w:tcPr/>
          <w:p>
            <w:pPr>
              <w:pStyle w:val="Compact"/>
            </w:pPr>
            <w:r>
              <w:t xml:space="preserve">RSI</w:t>
            </w:r>
          </w:p>
        </w:tc>
        <w:tc>
          <w:tcPr/>
          <w:p>
            <w:pPr>
              <w:pStyle w:val="Compact"/>
            </w:pPr>
            <w:r>
              <w:t xml:space="preserve">Relative Strength Index</w:t>
            </w:r>
          </w:p>
        </w:tc>
      </w:tr>
      <w:tr>
        <w:tc>
          <w:tcPr/>
          <w:p>
            <w:pPr>
              <w:pStyle w:val="Compact"/>
            </w:pPr>
            <w:r>
              <w:t xml:space="preserve">RRU</w:t>
            </w:r>
          </w:p>
        </w:tc>
        <w:tc>
          <w:tcPr/>
          <w:p>
            <w:pPr>
              <w:pStyle w:val="Compact"/>
            </w:pPr>
            <w:r>
              <w:t xml:space="preserve">Rashtriya Raksha University</w:t>
            </w:r>
          </w:p>
        </w:tc>
      </w:tr>
      <w:tr>
        <w:tc>
          <w:tcPr/>
          <w:p>
            <w:pPr>
              <w:pStyle w:val="Compact"/>
            </w:pPr>
            <w:r>
              <w:t xml:space="preserve">SAC</w:t>
            </w:r>
          </w:p>
        </w:tc>
        <w:tc>
          <w:tcPr/>
          <w:p>
            <w:pPr>
              <w:pStyle w:val="Compact"/>
            </w:pPr>
            <w:r>
              <w:t xml:space="preserve">Soft Actor-Critic</w:t>
            </w:r>
          </w:p>
        </w:tc>
      </w:tr>
      <w:tr>
        <w:tc>
          <w:tcPr/>
          <w:p>
            <w:pPr>
              <w:pStyle w:val="Compact"/>
            </w:pPr>
            <w:r>
              <w:t xml:space="preserve">SEBI</w:t>
            </w:r>
          </w:p>
        </w:tc>
        <w:tc>
          <w:tcPr/>
          <w:p>
            <w:pPr>
              <w:pStyle w:val="Compact"/>
            </w:pPr>
            <w:r>
              <w:t xml:space="preserve">Securities and Exchange Board of India</w:t>
            </w:r>
          </w:p>
        </w:tc>
      </w:tr>
      <w:tr>
        <w:tc>
          <w:tcPr/>
          <w:p>
            <w:pPr>
              <w:pStyle w:val="Compact"/>
            </w:pPr>
            <w:r>
              <w:t xml:space="preserve">SMA</w:t>
            </w:r>
          </w:p>
        </w:tc>
        <w:tc>
          <w:tcPr/>
          <w:p>
            <w:pPr>
              <w:pStyle w:val="Compact"/>
            </w:pPr>
            <w:r>
              <w:t xml:space="preserve">Simple Moving Average</w:t>
            </w:r>
          </w:p>
        </w:tc>
      </w:tr>
      <w:tr>
        <w:tc>
          <w:tcPr/>
          <w:p>
            <w:pPr>
              <w:pStyle w:val="Compact"/>
            </w:pPr>
            <w:r>
              <w:t xml:space="preserve">T-GAT</w:t>
            </w:r>
          </w:p>
        </w:tc>
        <w:tc>
          <w:tcPr/>
          <w:p>
            <w:pPr>
              <w:pStyle w:val="Compact"/>
            </w:pPr>
            <w:r>
              <w:t xml:space="preserve">Temporal Graph Attention Network</w:t>
            </w:r>
          </w:p>
        </w:tc>
      </w:tr>
      <w:tr>
        <w:tc>
          <w:tcPr/>
          <w:p>
            <w:pPr>
              <w:pStyle w:val="Compact"/>
            </w:pPr>
            <w:r>
              <w:t xml:space="preserve">TD3</w:t>
            </w:r>
          </w:p>
        </w:tc>
        <w:tc>
          <w:tcPr/>
          <w:p>
            <w:pPr>
              <w:pStyle w:val="Compact"/>
            </w:pPr>
            <w:r>
              <w:t xml:space="preserve">Twin Delayed Deep Deterministic Policy Gradient</w:t>
            </w:r>
          </w:p>
        </w:tc>
      </w:tr>
      <w:tr>
        <w:tc>
          <w:tcPr/>
          <w:p>
            <w:pPr>
              <w:pStyle w:val="Compact"/>
            </w:pPr>
            <w:r>
              <w:t xml:space="preserve">VaR</w:t>
            </w:r>
          </w:p>
        </w:tc>
        <w:tc>
          <w:tcPr/>
          <w:p>
            <w:pPr>
              <w:pStyle w:val="Compact"/>
            </w:pPr>
            <w:r>
              <w:t xml:space="preserve">Value at Risk</w:t>
            </w:r>
          </w:p>
        </w:tc>
      </w:tr>
      <w:tr>
        <w:tc>
          <w:tcPr/>
          <w:p>
            <w:pPr>
              <w:pStyle w:val="Compact"/>
            </w:pPr>
            <w:r>
              <w:t xml:space="preserve">VWAP</w:t>
            </w:r>
          </w:p>
        </w:tc>
        <w:tc>
          <w:tcPr/>
          <w:p>
            <w:pPr>
              <w:pStyle w:val="Compact"/>
            </w:pPr>
            <w:r>
              <w:t xml:space="preserve">Volume Weighted Average Price</w:t>
            </w:r>
          </w:p>
        </w:tc>
      </w:tr>
    </w:tbl>
    <w:p>
      <w:r>
        <w:pict>
          <v:rect style="width:0;height:1.5pt" o:hralign="center" o:hrstd="t" o:hr="t"/>
        </w:pict>
      </w:r>
    </w:p>
    <w:bookmarkEnd w:id="91"/>
    <w:bookmarkEnd w:id="92"/>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1711BCC"/>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5291E47"/>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1068CB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
    <w:nsid w:val="007C61A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
    <w:nsid w:val="02C1DB5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9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3"/>
  </w:num>
  <w:num w:numId="1004">
    <w:abstractNumId w:val="994"/>
  </w:num>
  <w:num w:numId="1005">
    <w:abstractNumId w:val="99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2026-05-01T13:38:25Z</dcterms:created>
  <dcterms:modified xsi:type="dcterms:W3CDTF">2026-05-01T13:38:25Z</dcterms:modified>
</cp:coreProperties>
</file>

<file path=docProps/custom.xml><?xml version="1.0" encoding="utf-8"?>
<Properties xmlns="http://schemas.openxmlformats.org/officeDocument/2006/custom-properties" xmlns:vt="http://schemas.openxmlformats.org/officeDocument/2006/docPropsVTypes"/>
</file>