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Calibri" w:cs="Calibri" w:eastAsia="Calibri" w:hAnsi="Calibri"/>
          <w:b/>
          <w:bCs/>
          <w:color w:val="1B3A5C"/>
          <w:sz w:val="56"/>
          <w:szCs w:val="56"/>
        </w:rPr>
        <w:t xml:space="preserve">FINQUANT-NEXUS</w:t>
      </w:r>
    </w:p>
    <w:p>
      <w:pPr>
        <w:pBdr>
          <w:bottom w:val="single" w:color="E8A838" w:sz="4" w:space="8"/>
        </w:pBdr>
        <w:spacing w:after="200"/>
        <w:jc w:val="center"/>
      </w:pPr>
      <w:r>
        <w:rPr>
          <w:rFonts w:ascii="Calibri" w:cs="Calibri" w:eastAsia="Calibri" w:hAnsi="Calibri"/>
          <w:color w:val="0D1B2A"/>
          <w:sz w:val="28"/>
          <w:szCs w:val="28"/>
        </w:rPr>
        <w:t xml:space="preserve">Federated Multi-Agent Deep RL for Adaptive Portfolio Optimization
with Graph Neural Network Market Intelligence</w:t>
      </w:r>
    </w:p>
    <w:p>
      <w:pPr>
        <w:spacing w:before="400"/>
      </w:pPr>
    </w:p>
    <w:p>
      <w:pPr>
        <w:spacing w:after="80"/>
        <w:jc w:val="center"/>
      </w:pPr>
      <w:r>
        <w:rPr>
          <w:rFonts w:ascii="Calibri" w:cs="Calibri" w:eastAsia="Calibri" w:hAnsi="Calibri"/>
          <w:b/>
          <w:bCs/>
          <w:color w:val="E8A838"/>
          <w:sz w:val="26"/>
          <w:szCs w:val="26"/>
        </w:rPr>
        <w:t xml:space="preserve">M.Tech Major Project &amp; Thesis Blueprint</w:t>
      </w:r>
    </w:p>
    <w:p>
      <w:pPr>
        <w:spacing w:after="80"/>
        <w:jc w:val="center"/>
      </w:pPr>
      <w:r>
        <w:rPr>
          <w:rFonts w:ascii="Calibri" w:cs="Calibri" w:eastAsia="Calibri" w:hAnsi="Calibri"/>
          <w:color w:val="7F8C8D"/>
          <w:sz w:val="24"/>
          <w:szCs w:val="24"/>
        </w:rPr>
        <w:t xml:space="preserve">Data Science &amp; Machine Learning</w:t>
      </w:r>
    </w:p>
    <w:p>
      <w:pPr>
        <w:spacing w:after="400"/>
        <w:jc w:val="center"/>
      </w:pPr>
      <w:r>
        <w:rPr>
          <w:rFonts w:ascii="Calibri" w:cs="Calibri" w:eastAsia="Calibri" w:hAnsi="Calibri"/>
          <w:color w:val="7F8C8D"/>
          <w:sz w:val="22"/>
          <w:szCs w:val="22"/>
        </w:rPr>
        <w:t xml:space="preserve">Duration: 8 Weeks  |  GPU: RTX 3050 (4GB VRAM)</w:t>
      </w:r>
    </w:p>
    <w:p>
      <w:pPr>
        <w:spacing w:after="200" w:before="200"/>
        <w:jc w:val="center"/>
      </w:pPr>
      <w:r>
        <w:rPr>
          <w:rFonts w:ascii="Calibri" w:cs="Calibri" w:eastAsia="Calibri" w:hAnsi="Calibri"/>
          <w:b/>
          <w:bCs/>
          <w:color w:val="1B3A5C"/>
          <w:sz w:val="24"/>
          <w:szCs w:val="24"/>
        </w:rPr>
        <w:t xml:space="preserve">TOPICS INTEGRATED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Topic</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Role in Project</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Integration Depth</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Deep RL (PPO/SAC)</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Core trading agent - portfolio allocation engine</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PRIMARY (30%)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Neural Networks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Inter-asset relationship modeling &amp; market graph</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PRIMARY (20%)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GANs (TimeGAN)</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Synthetic market data + black swan simulation</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SECONDARY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Federated Learning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Multi-institution privacy-preserving training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PRIMARY (15%)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Neural Architecture Search</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Auto-optimize RL policy network via ENAS/DARTS</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SECONDARY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GPT-4 / LLM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Sentiment extraction + event-driven signals (API)</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SECONDARY (5%)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Quantum ML</w:t>
            </w:r>
          </w:p>
        </w:tc>
        <w:tc>
          <w:tcPr>
            <w:tcW w:type="dxa" w:w="4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QAOA portfolio optimization benchmark (Qiskit sim)</w:t>
            </w:r>
          </w:p>
        </w:tc>
        <w:tc>
          <w:tcPr>
            <w:tcW w:type="dxa" w:w="2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TERTIARY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Reinforcement Learning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Foundation - subsumed by Deep RL above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INCLUDED</w:t>
            </w:r>
          </w:p>
        </w:tc>
      </w:tr>
    </w:tbl>
    <w:p>
      <w:r>
        <w:br w:type="page"/>
      </w:r>
    </w:p>
    <w:p>
      <w:pPr>
        <w:pStyle w:val="Heading1"/>
        <w:spacing w:after="150" w:before="300"/>
      </w:pPr>
      <w:r>
        <w:rPr>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Calibri" w:cs="Calibri" w:eastAsia="Calibri" w:hAnsi="Calibri"/>
        </w:rPr>
        <w:t xml:space="preserve">1. Problem Statement &amp; Motivation</w:t>
      </w:r>
    </w:p>
    <w:p>
      <w:pPr>
        <w:spacing w:after="120" w:line="276"/>
      </w:pPr>
      <w:r>
        <w:rPr>
          <w:rFonts w:ascii="Calibri" w:cs="Calibri" w:eastAsia="Calibri" w:hAnsi="Calibri"/>
          <w:color w:val="2C3E50"/>
          <w:sz w:val="22"/>
          <w:szCs w:val="22"/>
        </w:rPr>
        <w:t xml:space="preserve">Modern portfolio optimization faces several critical unsolved challenges that no single existing system adequately addresses. Institutional investors and hedge funds struggle with three fundamental problems: (a) static portfolio models fail to adapt to rapidly changing market regimes, (b) inter-asset dependencies and contagion effects are modeled simplistically via correlation matrices, and (c) individual institutions cannot collaborate on model improvement without exposing proprietary trading data.</w:t>
      </w:r>
    </w:p>
    <w:p>
      <w:pPr>
        <w:pStyle w:val="Heading2"/>
        <w:spacing w:after="150" w:before="300"/>
      </w:pPr>
      <w:r>
        <w:rPr>
          <w:rFonts w:ascii="Calibri" w:cs="Calibri" w:eastAsia="Calibri" w:hAnsi="Calibri"/>
        </w:rPr>
        <w:t xml:space="preserve">1.1 The Core Problem</w:t>
      </w:r>
    </w:p>
    <w:p>
      <w:pPr>
        <w:spacing w:after="120" w:line="276"/>
      </w:pPr>
      <w:r>
        <w:rPr>
          <w:rFonts w:ascii="Calibri" w:cs="Calibri" w:eastAsia="Calibri" w:hAnsi="Calibri"/>
          <w:color w:val="2C3E50"/>
          <w:sz w:val="22"/>
          <w:szCs w:val="22"/>
        </w:rPr>
        <w:t xml:space="preserve">Traditional portfolio optimization (Markowitz Mean-Variance, Black-Litterman) assumes static asset correlations and normal return distributions. In reality, financial markets exhibit regime-switching behavior, fat-tailed distributions, and dynamic inter-asset relationships that change during crises. The 2008 financial crisis and COVID-19 crash demonstrated that correlations spike during market stress precisely when diversification is needed most.</w:t>
      </w:r>
    </w:p>
    <w:p>
      <w:pPr>
        <w:pStyle w:val="Heading2"/>
        <w:spacing w:after="150" w:before="300"/>
      </w:pPr>
      <w:r>
        <w:rPr>
          <w:rFonts w:ascii="Calibri" w:cs="Calibri" w:eastAsia="Calibri" w:hAnsi="Calibri"/>
        </w:rPr>
        <w:t xml:space="preserve">1.2 Why Existing Solutions Fail</w:t>
      </w:r>
    </w:p>
    <w:p>
      <w:pPr>
        <w:pStyle w:val="ListParagraph"/>
        <w:numPr>
          <w:ilvl w:val="0"/>
          <w:numId w:val="2"/>
        </w:numPr>
        <w:spacing w:after="60" w:line="276"/>
      </w:pPr>
      <w:r>
        <w:rPr>
          <w:rFonts w:ascii="Calibri" w:cs="Calibri" w:eastAsia="Calibri" w:hAnsi="Calibri"/>
          <w:color w:val="2C3E50"/>
          <w:sz w:val="22"/>
          <w:szCs w:val="22"/>
        </w:rPr>
        <w:t xml:space="preserve">Static models (Markowitz, Risk Parity) cannot adapt to regime changes in real-time</w:t>
      </w:r>
    </w:p>
    <w:p>
      <w:pPr>
        <w:pStyle w:val="ListParagraph"/>
        <w:numPr>
          <w:ilvl w:val="0"/>
          <w:numId w:val="2"/>
        </w:numPr>
        <w:spacing w:after="60" w:line="276"/>
      </w:pPr>
      <w:r>
        <w:rPr>
          <w:rFonts w:ascii="Calibri" w:cs="Calibri" w:eastAsia="Calibri" w:hAnsi="Calibri"/>
          <w:color w:val="2C3E50"/>
          <w:sz w:val="22"/>
          <w:szCs w:val="22"/>
        </w:rPr>
        <w:t xml:space="preserve">Traditional RL approaches treat assets independently, ignoring graph structure of markets</w:t>
      </w:r>
    </w:p>
    <w:p>
      <w:pPr>
        <w:pStyle w:val="ListParagraph"/>
        <w:numPr>
          <w:ilvl w:val="0"/>
          <w:numId w:val="2"/>
        </w:numPr>
        <w:spacing w:after="60" w:line="276"/>
      </w:pPr>
      <w:r>
        <w:rPr>
          <w:rFonts w:ascii="Calibri" w:cs="Calibri" w:eastAsia="Calibri" w:hAnsi="Calibri"/>
          <w:color w:val="2C3E50"/>
          <w:sz w:val="22"/>
          <w:szCs w:val="22"/>
        </w:rPr>
        <w:t xml:space="preserve">Single-institution models suffer from limited data diversity and overfitting to local patterns</w:t>
      </w:r>
    </w:p>
    <w:p>
      <w:pPr>
        <w:pStyle w:val="ListParagraph"/>
        <w:numPr>
          <w:ilvl w:val="0"/>
          <w:numId w:val="2"/>
        </w:numPr>
        <w:spacing w:after="60" w:line="276"/>
      </w:pPr>
      <w:r>
        <w:rPr>
          <w:rFonts w:ascii="Calibri" w:cs="Calibri" w:eastAsia="Calibri" w:hAnsi="Calibri"/>
          <w:color w:val="2C3E50"/>
          <w:sz w:val="22"/>
          <w:szCs w:val="22"/>
        </w:rPr>
        <w:t xml:space="preserve">No existing system combines graph-aware market modeling with privacy-preserving multi-institutional learning</w:t>
      </w:r>
    </w:p>
    <w:p>
      <w:pPr>
        <w:pStyle w:val="ListParagraph"/>
        <w:numPr>
          <w:ilvl w:val="0"/>
          <w:numId w:val="2"/>
        </w:numPr>
        <w:spacing w:after="60" w:line="276"/>
      </w:pPr>
      <w:r>
        <w:rPr>
          <w:rFonts w:ascii="Calibri" w:cs="Calibri" w:eastAsia="Calibri" w:hAnsi="Calibri"/>
          <w:color w:val="2C3E50"/>
          <w:sz w:val="22"/>
          <w:szCs w:val="22"/>
        </w:rPr>
        <w:t xml:space="preserve">Synthetic data generation for rare market events (black swans) remains crude and unrealistic</w:t>
      </w:r>
    </w:p>
    <w:p>
      <w:pPr>
        <w:pStyle w:val="Heading2"/>
        <w:spacing w:after="150" w:before="300"/>
      </w:pPr>
      <w:r>
        <w:rPr>
          <w:rFonts w:ascii="Calibri" w:cs="Calibri" w:eastAsia="Calibri" w:hAnsi="Calibri"/>
        </w:rPr>
        <w:t xml:space="preserve">1.3 Our Solution: FINQUANT-NEXUS</w:t>
      </w:r>
    </w:p>
    <w:p>
      <w:pPr>
        <w:spacing w:after="120" w:line="276"/>
      </w:pPr>
      <w:r>
        <w:rPr>
          <w:rFonts w:ascii="Calibri" w:cs="Calibri" w:eastAsia="Calibri" w:hAnsi="Calibri"/>
          <w:color w:val="2C3E50"/>
          <w:sz w:val="22"/>
          <w:szCs w:val="22"/>
        </w:rPr>
        <w:t xml:space="preserve">FINQUANT-NEXUS is a federated, graph-aware, deep reinforcement learning system that treats portfolio optimization as a multi-agent problem over a dynamic market graph. It introduces four key innovations: (1) a Temporal Graph Attention Network (T-GAT) that captures evolving inter-asset relationships, (2) a Deep RL agent (PPO/SAC) whose policy network architecture is auto-optimized via Neural Architecture Search, (3) a TimeGAN-based synthetic market generator for stress-testing and data augmentation, and (4) a federated learning framework enabling multi-institutional model improvement without data sharing.</w:t>
      </w:r>
    </w:p>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2. Research Contributions &amp; Novelty</w:t>
      </w:r>
    </w:p>
    <w:p>
      <w:pPr>
        <w:spacing w:after="120" w:line="276"/>
      </w:pPr>
      <w:r>
        <w:rPr>
          <w:rFonts w:ascii="Calibri" w:cs="Calibri" w:eastAsia="Calibri" w:hAnsi="Calibri"/>
          <w:color w:val="2C3E50"/>
          <w:sz w:val="22"/>
          <w:szCs w:val="22"/>
        </w:rPr>
        <w:t xml:space="preserve">This project makes five distinct research contributions, each publishable independently:</w:t>
      </w:r>
    </w:p>
    <w:p>
      <w:pPr>
        <w:pStyle w:val="Heading2"/>
        <w:spacing w:after="150" w:before="300"/>
      </w:pPr>
      <w:r>
        <w:rPr>
          <w:rFonts w:ascii="Calibri" w:cs="Calibri" w:eastAsia="Calibri" w:hAnsi="Calibri"/>
        </w:rPr>
        <w:t xml:space="preserve">2.1 Contribution 1: T-GAT Market Graph</w:t>
      </w:r>
    </w:p>
    <w:p>
      <w:pPr>
        <w:spacing w:after="120" w:line="276"/>
      </w:pPr>
      <w:r>
        <w:rPr>
          <w:rFonts w:ascii="Calibri" w:cs="Calibri" w:eastAsia="Calibri" w:hAnsi="Calibri"/>
          <w:b/>
          <w:bCs/>
          <w:color w:val="1B3A5C"/>
          <w:sz w:val="22"/>
          <w:szCs w:val="22"/>
        </w:rPr>
        <w:t xml:space="preserve">Temporal Graph Attention Network for Dynamic Market Modeling. </w:t>
      </w:r>
      <w:r>
        <w:rPr>
          <w:rFonts w:ascii="Calibri" w:cs="Calibri" w:eastAsia="Calibri" w:hAnsi="Calibri"/>
          <w:color w:val="2C3E50"/>
          <w:sz w:val="22"/>
          <w:szCs w:val="22"/>
        </w:rPr>
        <w:t xml:space="preserve">Unlike static correlation matrices, T-GAT learns time-varying attention weights between assets using sector relationships, supply-chain dependencies, and co-movement patterns. The graph structure adapts daily, capturing regime shifts that static models miss. This provides the RL agent with a rich, structure-aware state representation.</w:t>
      </w:r>
    </w:p>
    <w:p>
      <w:pPr>
        <w:pStyle w:val="Heading2"/>
        <w:spacing w:after="150" w:before="300"/>
      </w:pPr>
      <w:r>
        <w:rPr>
          <w:rFonts w:ascii="Calibri" w:cs="Calibri" w:eastAsia="Calibri" w:hAnsi="Calibri"/>
        </w:rPr>
        <w:t xml:space="preserve">2.2 Contribution 2: NAS-Optimized RL Policy</w:t>
      </w:r>
    </w:p>
    <w:p>
      <w:pPr>
        <w:spacing w:after="120" w:line="276"/>
      </w:pPr>
      <w:r>
        <w:rPr>
          <w:rFonts w:ascii="Calibri" w:cs="Calibri" w:eastAsia="Calibri" w:hAnsi="Calibri"/>
          <w:b/>
          <w:bCs/>
          <w:color w:val="1B3A5C"/>
          <w:sz w:val="22"/>
          <w:szCs w:val="22"/>
        </w:rPr>
        <w:t xml:space="preserve">Neural Architecture Search for RL Policy Networks. </w:t>
      </w:r>
      <w:r>
        <w:rPr>
          <w:rFonts w:ascii="Calibri" w:cs="Calibri" w:eastAsia="Calibri" w:hAnsi="Calibri"/>
          <w:color w:val="2C3E50"/>
          <w:sz w:val="22"/>
          <w:szCs w:val="22"/>
        </w:rPr>
        <w:t xml:space="preserve">Instead of hand-designing the RL agent's neural network, we use Differentiable Architecture Search (DARTS) to automatically discover the optimal policy network architecture. This is novel in the financial RL domain where policy architectures are typically fixed. The search space includes attention layers, skip connections, and graph convolution layers.</w:t>
      </w:r>
    </w:p>
    <w:p>
      <w:pPr>
        <w:pStyle w:val="Heading2"/>
        <w:spacing w:after="150" w:before="300"/>
      </w:pPr>
      <w:r>
        <w:rPr>
          <w:rFonts w:ascii="Calibri" w:cs="Calibri" w:eastAsia="Calibri" w:hAnsi="Calibri"/>
        </w:rPr>
        <w:t xml:space="preserve">2.3 Contribution 3: TimeGAN Black Swan Simulator</w:t>
      </w:r>
    </w:p>
    <w:p>
      <w:pPr>
        <w:spacing w:after="120" w:line="276"/>
      </w:pPr>
      <w:r>
        <w:rPr>
          <w:rFonts w:ascii="Calibri" w:cs="Calibri" w:eastAsia="Calibri" w:hAnsi="Calibri"/>
          <w:b/>
          <w:bCs/>
          <w:color w:val="1B3A5C"/>
          <w:sz w:val="22"/>
          <w:szCs w:val="22"/>
        </w:rPr>
        <w:t xml:space="preserve">Conditional TimeGAN for Rare Event Synthesis. </w:t>
      </w:r>
      <w:r>
        <w:rPr>
          <w:rFonts w:ascii="Calibri" w:cs="Calibri" w:eastAsia="Calibri" w:hAnsi="Calibri"/>
          <w:color w:val="2C3E50"/>
          <w:sz w:val="22"/>
          <w:szCs w:val="22"/>
        </w:rPr>
        <w:t xml:space="preserve">We extend TimeGAN with conditional generation to synthesize realistic market crash scenarios (2008-like, COVID-like, flash crashes). The RL agent is stress-tested against these synthetic events during training, producing a more robust portfolio strategy. The GAN quality is validated via discriminative and predictive scores.</w:t>
      </w:r>
    </w:p>
    <w:p>
      <w:pPr>
        <w:pStyle w:val="Heading2"/>
        <w:spacing w:after="150" w:before="300"/>
      </w:pPr>
      <w:r>
        <w:rPr>
          <w:rFonts w:ascii="Calibri" w:cs="Calibri" w:eastAsia="Calibri" w:hAnsi="Calibri"/>
        </w:rPr>
        <w:t xml:space="preserve">2.4 Contribution 4: FedRL for Finance</w:t>
      </w:r>
    </w:p>
    <w:p>
      <w:pPr>
        <w:spacing w:after="120" w:line="276"/>
      </w:pPr>
      <w:r>
        <w:rPr>
          <w:rFonts w:ascii="Calibri" w:cs="Calibri" w:eastAsia="Calibri" w:hAnsi="Calibri"/>
          <w:b/>
          <w:bCs/>
          <w:color w:val="1B3A5C"/>
          <w:sz w:val="22"/>
          <w:szCs w:val="22"/>
        </w:rPr>
        <w:t xml:space="preserve">Federated Deep RL Across Simulated Institutions. </w:t>
      </w:r>
      <w:r>
        <w:rPr>
          <w:rFonts w:ascii="Calibri" w:cs="Calibri" w:eastAsia="Calibri" w:hAnsi="Calibri"/>
          <w:color w:val="2C3E50"/>
          <w:sz w:val="22"/>
          <w:szCs w:val="22"/>
        </w:rPr>
        <w:t xml:space="preserve">We implement FedAvg and FedProx for aggregating RL policy networks across multiple simulated institutional traders, each with different asset universes and risk profiles. This demonstrates that collaborative learning improves individual performance by 15-25% without sharing raw trading data.</w:t>
      </w:r>
    </w:p>
    <w:p>
      <w:pPr>
        <w:pStyle w:val="Heading2"/>
        <w:spacing w:after="150" w:before="300"/>
      </w:pPr>
      <w:r>
        <w:rPr>
          <w:rFonts w:ascii="Calibri" w:cs="Calibri" w:eastAsia="Calibri" w:hAnsi="Calibri"/>
        </w:rPr>
        <w:t xml:space="preserve">2.5 Contribution 5: Quantum Benchmark</w:t>
      </w:r>
    </w:p>
    <w:p>
      <w:pPr>
        <w:spacing w:after="120" w:line="276"/>
      </w:pPr>
      <w:r>
        <w:rPr>
          <w:rFonts w:ascii="Calibri" w:cs="Calibri" w:eastAsia="Calibri" w:hAnsi="Calibri"/>
          <w:b/>
          <w:bCs/>
          <w:color w:val="1B3A5C"/>
          <w:sz w:val="22"/>
          <w:szCs w:val="22"/>
        </w:rPr>
        <w:t xml:space="preserve">Quantum vs Classical Portfolio Optimization Benchmark. </w:t>
      </w:r>
      <w:r>
        <w:rPr>
          <w:rFonts w:ascii="Calibri" w:cs="Calibri" w:eastAsia="Calibri" w:hAnsi="Calibri"/>
          <w:color w:val="2C3E50"/>
          <w:sz w:val="22"/>
          <w:szCs w:val="22"/>
        </w:rPr>
        <w:t xml:space="preserve">Using Qiskit's QAOA simulator, we benchmark quantum-enhanced portfolio optimization against our RL agent for the asset selection sub-problem, providing one of the first direct comparisons in literature for realistic portfolio sizes.</w:t>
      </w:r>
    </w:p>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3. System Architecture</w:t>
      </w:r>
    </w:p>
    <w:p>
      <w:pPr>
        <w:spacing w:after="120" w:line="276"/>
      </w:pPr>
      <w:r>
        <w:rPr>
          <w:rFonts w:ascii="Calibri" w:cs="Calibri" w:eastAsia="Calibri" w:hAnsi="Calibri"/>
          <w:color w:val="2C3E50"/>
          <w:sz w:val="22"/>
          <w:szCs w:val="22"/>
        </w:rPr>
        <w:t xml:space="preserve">FINQUANT-NEXUS consists of six interconnected modules, each addressing a specific technical challenge. The system follows a modular, plugin-based architecture allowing independent development and testing of each component.</w:t>
      </w:r>
    </w:p>
    <w:p>
      <w:pPr>
        <w:pStyle w:val="Heading2"/>
        <w:spacing w:after="150" w:before="300"/>
      </w:pPr>
      <w:r>
        <w:rPr>
          <w:rFonts w:ascii="Calibri" w:cs="Calibri" w:eastAsia="Calibri" w:hAnsi="Calibri"/>
        </w:rPr>
        <w:t xml:space="preserve">3.1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Module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Input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Data Pipeline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FastAPI + yfinance + NewsAPI</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Raw market data, news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Clean OHLCV, sentiment scores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PyTorch Geometric (T-GAT)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Asset features, relationships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embeddings per asset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Synthetic Engine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TimeGAN (PyTorch)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Historical market sequences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Synthetic scenarios + black swans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RL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PPO/SAC (Stable-Baselines3)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embeddings + features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Portfolio weights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NAS Module</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DARTS (PyTorch)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RL search space config</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Optimal policy architecture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Federated Layer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Flower (FL framework)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Local model updates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Global aggregated model</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Quantum Bench</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Qiskit (simulation)</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Asset covariance matrix</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Optimal asset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Next.js 14 + Recharts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All module outputs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Interactive visualizations</w:t>
            </w:r>
          </w:p>
        </w:tc>
      </w:tr>
    </w:tbl>
    <w:p>
      <w:pPr>
        <w:pStyle w:val="Heading2"/>
        <w:spacing w:after="150" w:before="300"/>
      </w:pPr>
      <w:r>
        <w:rPr>
          <w:rFonts w:ascii="Calibri" w:cs="Calibri" w:eastAsia="Calibri" w:hAnsi="Calibri"/>
        </w:rPr>
        <w:t xml:space="preserve">3.2 Data Flow</w:t>
      </w:r>
    </w:p>
    <w:p>
      <w:pPr>
        <w:spacing w:after="120" w:line="276"/>
      </w:pPr>
      <w:r>
        <w:rPr>
          <w:rFonts w:ascii="Calibri" w:cs="Calibri" w:eastAsia="Calibri" w:hAnsi="Calibri"/>
          <w:color w:val="2C3E50"/>
          <w:sz w:val="22"/>
          <w:szCs w:val="22"/>
        </w:rPr>
        <w:t xml:space="preserve">The data flows through the system in the following pipeline: Raw market data is fetched via yfinance API for 50-100 assets (S&amp;P 500 subset). News data is processed through GPT-4 API for sentiment scores. The Graph Engine constructs a dynamic asset graph where nodes are stocks and edges represent sector membership, supply-chain links, and rolling correlation above threshold. T-GAT produces per-asset graph embeddings that are concatenated with technical indicators and sentiment scores to form the RL state vector. The RL agent outputs portfolio weight allocations. TimeGAN generates additional training scenarios for robustness. Federated Learning aggregates across 4-6 simulated institutional clients.</w:t>
      </w:r>
    </w:p>
    <w:p>
      <w:pPr>
        <w:pStyle w:val="Heading2"/>
        <w:spacing w:after="150" w:before="300"/>
      </w:pPr>
      <w:r>
        <w:rPr>
          <w:rFonts w:ascii="Calibri" w:cs="Calibri" w:eastAsia="Calibri" w:hAnsi="Calibri"/>
        </w:rPr>
        <w:t xml:space="preserve">3.3 RTX 3050 Optimization Strategy</w:t>
      </w:r>
    </w:p>
    <w:p>
      <w:pPr>
        <w:spacing w:after="120" w:line="276"/>
      </w:pPr>
      <w:r>
        <w:rPr>
          <w:rFonts w:ascii="Calibri" w:cs="Calibri" w:eastAsia="Calibri" w:hAnsi="Calibri"/>
          <w:color w:val="2C3E50"/>
          <w:sz w:val="22"/>
          <w:szCs w:val="22"/>
        </w:rPr>
        <w:t xml:space="preserve">With 4GB VRAM, we implement the following memory optimizations:</w:t>
      </w:r>
    </w:p>
    <w:p>
      <w:pPr>
        <w:pStyle w:val="ListParagraph"/>
        <w:numPr>
          <w:ilvl w:val="0"/>
          <w:numId w:val="3"/>
        </w:numPr>
        <w:spacing w:after="60" w:line="276"/>
      </w:pPr>
      <w:r>
        <w:rPr>
          <w:rFonts w:ascii="Calibri" w:cs="Calibri" w:eastAsia="Calibri" w:hAnsi="Calibri"/>
          <w:color w:val="2C3E50"/>
          <w:sz w:val="22"/>
          <w:szCs w:val="22"/>
        </w:rPr>
        <w:t xml:space="preserve">Mixed precision training (FP16) for all neural networks - reduces VRAM by ~40%</w:t>
      </w:r>
    </w:p>
    <w:p>
      <w:pPr>
        <w:pStyle w:val="ListParagraph"/>
        <w:numPr>
          <w:ilvl w:val="0"/>
          <w:numId w:val="3"/>
        </w:numPr>
        <w:spacing w:after="60" w:line="276"/>
      </w:pPr>
      <w:r>
        <w:rPr>
          <w:rFonts w:ascii="Calibri" w:cs="Calibri" w:eastAsia="Calibri" w:hAnsi="Calibri"/>
          <w:color w:val="2C3E50"/>
          <w:sz w:val="22"/>
          <w:szCs w:val="22"/>
        </w:rPr>
        <w:t xml:space="preserve">Gradient accumulation with micro-batches of 16-32 for effective batch sizes of 128-256</w:t>
      </w:r>
    </w:p>
    <w:p>
      <w:pPr>
        <w:pStyle w:val="ListParagraph"/>
        <w:numPr>
          <w:ilvl w:val="0"/>
          <w:numId w:val="3"/>
        </w:numPr>
        <w:spacing w:after="60" w:line="276"/>
      </w:pPr>
      <w:r>
        <w:rPr>
          <w:rFonts w:ascii="Calibri" w:cs="Calibri" w:eastAsia="Calibri" w:hAnsi="Calibri"/>
          <w:color w:val="2C3E50"/>
          <w:sz w:val="22"/>
          <w:szCs w:val="22"/>
        </w:rPr>
        <w:t xml:space="preserve">Graph mini-batching via NeighborSampler in PyTorch Geometric (2-hop, 15 neighbors)</w:t>
      </w:r>
    </w:p>
    <w:p>
      <w:pPr>
        <w:pStyle w:val="ListParagraph"/>
        <w:numPr>
          <w:ilvl w:val="0"/>
          <w:numId w:val="3"/>
        </w:numPr>
        <w:spacing w:after="60" w:line="276"/>
      </w:pPr>
      <w:r>
        <w:rPr>
          <w:rFonts w:ascii="Calibri" w:cs="Calibri" w:eastAsia="Calibri" w:hAnsi="Calibri"/>
          <w:color w:val="2C3E50"/>
          <w:sz w:val="22"/>
          <w:szCs w:val="22"/>
        </w:rPr>
        <w:t xml:space="preserve">TimeGAN trained on 128-length sequences with 64-dim latent space</w:t>
      </w:r>
    </w:p>
    <w:p>
      <w:pPr>
        <w:pStyle w:val="ListParagraph"/>
        <w:numPr>
          <w:ilvl w:val="0"/>
          <w:numId w:val="3"/>
        </w:numPr>
        <w:spacing w:after="60" w:line="276"/>
      </w:pPr>
      <w:r>
        <w:rPr>
          <w:rFonts w:ascii="Calibri" w:cs="Calibri" w:eastAsia="Calibri" w:hAnsi="Calibri"/>
          <w:color w:val="2C3E50"/>
          <w:sz w:val="22"/>
          <w:szCs w:val="22"/>
        </w:rPr>
        <w:t xml:space="preserve">DARTS supernet uses shared weights with progressive shrinking</w:t>
      </w:r>
    </w:p>
    <w:p>
      <w:pPr>
        <w:pStyle w:val="ListParagraph"/>
        <w:numPr>
          <w:ilvl w:val="0"/>
          <w:numId w:val="3"/>
        </w:numPr>
        <w:spacing w:after="60" w:line="276"/>
      </w:pPr>
      <w:r>
        <w:rPr>
          <w:rFonts w:ascii="Calibri" w:cs="Calibri" w:eastAsia="Calibri" w:hAnsi="Calibri"/>
          <w:color w:val="2C3E50"/>
          <w:sz w:val="22"/>
          <w:szCs w:val="22"/>
        </w:rPr>
        <w:t xml:space="preserve">GPT-4 calls via API (no local LLM) - zero VRAM overhead for NLP</w:t>
      </w:r>
    </w:p>
    <w:p>
      <w:pPr>
        <w:pStyle w:val="ListParagraph"/>
        <w:numPr>
          <w:ilvl w:val="0"/>
          <w:numId w:val="3"/>
        </w:numPr>
        <w:spacing w:after="60" w:line="276"/>
      </w:pPr>
      <w:r>
        <w:rPr>
          <w:rFonts w:ascii="Calibri" w:cs="Calibri" w:eastAsia="Calibri" w:hAnsi="Calibri"/>
          <w:color w:val="2C3E50"/>
          <w:sz w:val="22"/>
          <w:szCs w:val="22"/>
        </w:rPr>
        <w:t xml:space="preserve">Qiskit runs on CPU (quantum simulation is CPU-bound, not GPU)</w:t>
      </w:r>
    </w:p>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Language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Python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3.10+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Primary development language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Deep Learning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PyTorch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Neural network framework</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ML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PyTorch Geometric</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2.4+</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T-GAT implementation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RL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Stable-Baselines3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PPO/SAC agents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RL Environment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Gymnasium</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0.29+</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Custom trading environment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Custom TimeGAN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PyTorch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Synthetic data generation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NAS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DARTS (nni)</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3.0+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Architecture search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Federated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Flower (flwr)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 orchestration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Quantum</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Qiskit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QAOA simulation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LLM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OpenAI API (GPT-4)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Sentiment extraction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Data</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yfinance + pandas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Latest</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Market data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FastAPI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0.104+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API server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Frontend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Next.js 14</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14.x</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Dashboard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Visualization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Recharts + Plotly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Latest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Interactive charts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Experiment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MLflow + W&amp;B</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Latest</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Experiment tracking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PostgreSQL 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16.x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Results storage</w:t>
            </w:r>
          </w:p>
        </w:tc>
      </w:tr>
    </w:tbl>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5. Detailed 8-Week Execution Plan</w:t>
      </w:r>
    </w:p>
    <w:p>
      <w:pPr>
        <w:spacing w:after="120" w:line="276"/>
      </w:pPr>
      <w:r>
        <w:rPr>
          <w:rFonts w:ascii="Calibri" w:cs="Calibri" w:eastAsia="Calibri" w:hAnsi="Calibri"/>
          <w:color w:val="2C3E50"/>
          <w:sz w:val="22"/>
          <w:szCs w:val="22"/>
        </w:rPr>
        <w:t xml:space="preserve">This timeline is designed for intensive part-time work (4-6 hours/day). Each week has clear deliverables that build on the previous week.</w:t>
      </w:r>
    </w:p>
    <w:p>
      <w:pPr>
        <w:pStyle w:val="Heading2"/>
        <w:spacing w:after="150" w:before="300"/>
      </w:pPr>
      <w:r>
        <w:rPr>
          <w:rFonts w:ascii="Calibri" w:cs="Calibri" w:eastAsia="Calibri" w:hAnsi="Calibri"/>
        </w:rPr>
        <w:t xml:space="preserve">Week 1-2: Foundation &amp;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D1-D2</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Project setup: repo structure, Docker, environment, dependencies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Working dev environment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D3-D4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Data pipeline: yfinance for 50 S&amp;P 500 stocks, feature engineering (RSI, MACD, Bollinger, Volume)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Clean dataset with 20+ features per stock</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D5-D6</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GPT-4 sentiment pipeline: NewsAPI integration, prompt engineering for financial sentiment</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Sentiment scores per stock per day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D7-D8</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Custom Gymnasium trading environment: state space, action space (portfolio weights), reward (Sharpe ratio)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Working RL environment with baseline random agent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D9-D10</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construction: sector graph, correlation graph, supply-chain edges (manual for top sectors)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NetworkX graph with 50 nodes, ~200 edges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D11-D14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T-GAT v1: 2-layer Graph Attention Network in PyG, node classification sanity check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T-GAT producing 64-dim embeddings per stock</w:t>
            </w:r>
          </w:p>
        </w:tc>
      </w:tr>
    </w:tbl>
    <w:p>
      <w:pPr>
        <w:pStyle w:val="Heading2"/>
        <w:spacing w:after="150" w:before="300"/>
      </w:pPr>
      <w:r>
        <w:rPr>
          <w:rFonts w:ascii="Calibri" w:cs="Calibri" w:eastAsia="Calibri" w:hAnsi="Calibri"/>
        </w:rPr>
        <w:t xml:space="preserve">Week 3-4: Core RL Agent + GANs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D15-D17</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PPO agent: integrate T-GAT embeddings as state, train on 5 years of data</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PPO agent beating buy-and-hold by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D18-D20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SAC agent: implement as alternative, compare PPO vs SAC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Comparison report: PPO vs SAC Sharpe ratios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D21-D23</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TimeGAN implementation: train on historical sequences, validate with discriminative score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TimeGAN generating realistic 128-step market sequences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D24-D26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Conditional TimeGAN: crash scenario generation, stress testing RL agent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3 synthetic crash types, RL tested against each</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D27-D28</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Ablation study 1: RL with graph embeddings vs RL without (flat features only)</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Quantitative proof that GNN improves RL performance</w:t>
            </w:r>
          </w:p>
        </w:tc>
      </w:tr>
    </w:tbl>
    <w:p>
      <w:pPr>
        <w:pStyle w:val="Heading2"/>
        <w:spacing w:after="150" w:before="300"/>
      </w:pPr>
      <w:r>
        <w:rPr>
          <w:rFonts w:ascii="Calibri" w:cs="Calibri" w:eastAsia="Calibri" w:hAnsi="Calibri"/>
        </w:rPr>
        <w:t xml:space="preserve">Week 5-6: NAS + Federated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D29-D31</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DARTS implementation: define search space (layers, units, skip connections)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DARTS supernet training on trading task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D32-D34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NAS evaluation: extract top-3 architectures, retrain from scratch, compare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NAS-optimized policy vs hand-designed policy comparison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D35-D37</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Flower FL setup: 4 clients with different stock subsets, FedAvg implementation</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Working federated training loop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D38-D40</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FedProx + experiments: compare FedAvg vs FedProx, measure convergence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 improves individual performance by 15-25%</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D41-D42</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Privacy analysis: differential privacy noise injection, privacy-utility tradeoff</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Privacy budget (epsilon) vs Sharpe ratio curve</w:t>
            </w:r>
          </w:p>
        </w:tc>
      </w:tr>
    </w:tbl>
    <w:p>
      <w:pPr>
        <w:pStyle w:val="Heading2"/>
        <w:spacing w:after="150" w:before="300"/>
      </w:pPr>
      <w:r>
        <w:rPr>
          <w:rFonts w:ascii="Calibri" w:cs="Calibri" w:eastAsia="Calibri" w:hAnsi="Calibri"/>
        </w:rPr>
        <w:t xml:space="preserve">Week 7: Quantum + Integration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D43-D44</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Qiskit QAOA: implement for 8-15 asset selection sub-problem</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Quantum vs classical comparison on small portfolios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D45-D46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Full pipeline integration: all modules connected end-to-end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Single command runs entire pipeline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D47-D49</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Next.js dashboard: portfolio visualization, performance metrics, graph view, FL convergence</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Interactive web dashboard with 6+ views</w:t>
            </w:r>
          </w:p>
        </w:tc>
      </w:tr>
    </w:tbl>
    <w:p>
      <w:pPr>
        <w:pStyle w:val="Heading2"/>
        <w:spacing w:after="150" w:before="300"/>
      </w:pPr>
      <w:r>
        <w:rPr>
          <w:rFonts w:ascii="Calibri" w:cs="Calibri" w:eastAsia="Calibri" w:hAnsi="Calibri"/>
        </w:rPr>
        <w:t xml:space="preserve">Week 8: Thesis Writing + Final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5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Task</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D50-D51</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Final benchmarks: compare against Markowitz, Risk Parity, Equal Weight, DJIA</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Comprehensive results table across 6+ baselines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D52-D53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Thesis Chapters 1-3: Introduction, Literature Review, Methodology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Draft chapters with citations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D54-D55</w:t>
            </w:r>
          </w:p>
        </w:tc>
        <w:tc>
          <w:tcPr>
            <w:tcW w:type="dxa" w:w="5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Thesis Chapters 4-5: Implementation, Results &amp; Analysis</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Full results with ablation studies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D56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Thesis Chapter 6: Conclusion, Future Work, References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Complete thesis draft</w:t>
            </w:r>
          </w:p>
        </w:tc>
      </w:tr>
    </w:tbl>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6. Evaluation Framework</w:t>
      </w:r>
    </w:p>
    <w:p>
      <w:pPr>
        <w:spacing w:after="120" w:line="276"/>
      </w:pPr>
      <w:r>
        <w:rPr>
          <w:rFonts w:ascii="Calibri" w:cs="Calibri" w:eastAsia="Calibri" w:hAnsi="Calibri"/>
          <w:color w:val="2C3E50"/>
          <w:sz w:val="22"/>
          <w:szCs w:val="22"/>
        </w:rPr>
        <w:t xml:space="preserve">The project will be evaluated across multiple dimensions to demonstrate comprehensive rigor:</w:t>
      </w:r>
    </w:p>
    <w:p>
      <w:pPr>
        <w:pStyle w:val="Heading2"/>
        <w:spacing w:after="150" w:before="300"/>
      </w:pPr>
      <w:r>
        <w:rPr>
          <w:rFonts w:ascii="Calibri" w:cs="Calibri" w:eastAsia="Calibri" w:hAnsi="Calibri"/>
        </w:rPr>
        <w:t xml:space="preserve">6.1 Financial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Formula/Description</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Sharpe Ratio</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Mean excess return / Std deviation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&gt; 1.5 (annualized)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Maximum Drawdown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Largest peak-to-trough decline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&lt; 15%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Sortino Ratio</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Return / Downside deviation only</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&gt;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Calmar Ratio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Annual return / Max drawdown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&gt; 1.0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Annual Return</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Compounded portfolio return</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&gt;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Turnover Rate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Daily portfolio change magnitude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&lt; 20%</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Win Rate</w:t>
            </w:r>
          </w:p>
        </w:tc>
        <w:tc>
          <w:tcPr>
            <w:tcW w:type="dxa" w:w="4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 of profitable trading days</w:t>
            </w:r>
          </w:p>
        </w:tc>
        <w:tc>
          <w:tcPr>
            <w:tcW w:type="dxa" w:w="2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&gt; 55%</w:t>
            </w:r>
          </w:p>
        </w:tc>
      </w:tr>
    </w:tbl>
    <w:p>
      <w:pPr>
        <w:pStyle w:val="Heading2"/>
        <w:spacing w:after="150" w:before="300"/>
      </w:pPr>
      <w:r>
        <w:rPr>
          <w:rFonts w:ascii="Calibri" w:cs="Calibri" w:eastAsia="Calibri" w:hAnsi="Calibri"/>
        </w:rPr>
        <w:t xml:space="preserve">6.2 Baseline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Baseline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Equal Weight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Naive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1/N allocation across all assets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Markowitz MVO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Classical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Mean-variance optimization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Risk Parity</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Classical</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Equal risk contribution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Black-Litterman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Classical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Bayesian estimation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DRL (no graph)</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Ablation</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Our agent without GNN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DRL (no NAS)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Ablation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Our agent with fixed architecture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DRL (no FL)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Ablation</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Single institution training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DRL (no GAN)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Ablation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No synthetic data augmentation</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S&amp;P 500 Index</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Benchmark</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Buy and hold SPY</w:t>
            </w:r>
          </w:p>
        </w:tc>
      </w:tr>
    </w:tbl>
    <w:p>
      <w:pPr>
        <w:pStyle w:val="Heading2"/>
        <w:spacing w:after="150" w:before="300"/>
      </w:pPr>
      <w:r>
        <w:rPr>
          <w:rFonts w:ascii="Calibri" w:cs="Calibri" w:eastAsia="Calibri" w:hAnsi="Calibri"/>
        </w:rPr>
        <w:t xml:space="preserve">6.3 ML-Specific Metrics</w:t>
      </w:r>
    </w:p>
    <w:p>
      <w:pPr>
        <w:pStyle w:val="ListParagraph"/>
        <w:numPr>
          <w:ilvl w:val="0"/>
          <w:numId w:val="4"/>
        </w:numPr>
        <w:spacing w:after="60" w:line="276"/>
      </w:pPr>
      <w:r>
        <w:rPr>
          <w:rFonts w:ascii="Calibri" w:cs="Calibri" w:eastAsia="Calibri" w:hAnsi="Calibri"/>
          <w:color w:val="2C3E50"/>
          <w:sz w:val="22"/>
          <w:szCs w:val="22"/>
        </w:rPr>
        <w:t xml:space="preserve">GAN Quality: Discriminative Score (&lt; 0.3), Predictive Score (&lt; 0.15), t-SNE visual comparison</w:t>
      </w:r>
    </w:p>
    <w:p>
      <w:pPr>
        <w:pStyle w:val="ListParagraph"/>
        <w:numPr>
          <w:ilvl w:val="0"/>
          <w:numId w:val="4"/>
        </w:numPr>
        <w:spacing w:after="60" w:line="276"/>
      </w:pPr>
      <w:r>
        <w:rPr>
          <w:rFonts w:ascii="Calibri" w:cs="Calibri" w:eastAsia="Calibri" w:hAnsi="Calibri"/>
          <w:color w:val="2C3E50"/>
          <w:sz w:val="22"/>
          <w:szCs w:val="22"/>
        </w:rPr>
        <w:t xml:space="preserve">GNN Effectiveness: Ablation (with/without graph), attention weight visualization, graph embedding quality</w:t>
      </w:r>
    </w:p>
    <w:p>
      <w:pPr>
        <w:pStyle w:val="ListParagraph"/>
        <w:numPr>
          <w:ilvl w:val="0"/>
          <w:numId w:val="4"/>
        </w:numPr>
        <w:spacing w:after="60" w:line="276"/>
      </w:pPr>
      <w:r>
        <w:rPr>
          <w:rFonts w:ascii="Calibri" w:cs="Calibri" w:eastAsia="Calibri" w:hAnsi="Calibri"/>
          <w:color w:val="2C3E50"/>
          <w:sz w:val="22"/>
          <w:szCs w:val="22"/>
        </w:rPr>
        <w:t xml:space="preserve">NAS: Architecture search cost vs manual design, final architecture topology diagram</w:t>
      </w:r>
    </w:p>
    <w:p>
      <w:pPr>
        <w:pStyle w:val="ListParagraph"/>
        <w:numPr>
          <w:ilvl w:val="0"/>
          <w:numId w:val="4"/>
        </w:numPr>
        <w:spacing w:after="60" w:line="276"/>
      </w:pPr>
      <w:r>
        <w:rPr>
          <w:rFonts w:ascii="Calibri" w:cs="Calibri" w:eastAsia="Calibri" w:hAnsi="Calibri"/>
          <w:color w:val="2C3E50"/>
          <w:sz w:val="22"/>
          <w:szCs w:val="22"/>
        </w:rPr>
        <w:t xml:space="preserve">FL: Convergence speed (rounds to converge), privacy-utility tradeoff (epsilon vs Sharpe)</w:t>
      </w:r>
    </w:p>
    <w:p>
      <w:pPr>
        <w:pStyle w:val="ListParagraph"/>
        <w:numPr>
          <w:ilvl w:val="0"/>
          <w:numId w:val="4"/>
        </w:numPr>
        <w:spacing w:after="60" w:line="276"/>
      </w:pPr>
      <w:r>
        <w:rPr>
          <w:rFonts w:ascii="Calibri" w:cs="Calibri" w:eastAsia="Calibri" w:hAnsi="Calibri"/>
          <w:color w:val="2C3E50"/>
          <w:sz w:val="22"/>
          <w:szCs w:val="22"/>
        </w:rPr>
        <w:t xml:space="preserve">Quantum: Approximation ratio (QAOA vs brute-force), runtime scaling with asset count</w:t>
      </w:r>
    </w:p>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7. Thesis Structure</w:t>
      </w:r>
    </w:p>
    <w:p>
      <w:pPr>
        <w:spacing w:after="120" w:line="276"/>
      </w:pPr>
      <w:r>
        <w:rPr>
          <w:rFonts w:ascii="Calibri" w:cs="Calibri" w:eastAsia="Calibri" w:hAnsi="Calibri"/>
          <w:color w:val="2C3E50"/>
          <w:sz w:val="22"/>
          <w:szCs w:val="22"/>
        </w:rPr>
        <w:t xml:space="preserve">The thesis follows a standard ML research thesis format with emphasis on experimental rigor: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000"/>
        <w:gridCol w:w="51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Chapter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Pages</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Content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Introduction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8-10</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Problem statement, motivation, objectives, contributions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Literature 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15-18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Deep RL in finance, GNNs for markets, FL, NAS, GANs, Quantum ML</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Proposed Methodology</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20-25</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T-GAT architecture, RL formulation, NAS search space, FL protocol, TimeGAN design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Implementation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12-15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Tech stack, data pipeline, system architecture, RTX 3050 optimizations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Results &amp; Analysis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18-22</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Performance comparison, ablation studies, visualization, statistical tests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Conclusion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Summary, limitations, future work (real-time trading, larger asset universe)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References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5-8</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60-80 papers across all 7 topic areas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Appendices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Code snippets, hyperparameter tables, additional charts</w:t>
            </w:r>
          </w:p>
        </w:tc>
      </w:tr>
    </w:tbl>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8.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Source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Size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S&amp;P 500 OHLCV</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yfinance API</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50 stocks x 10 years daily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Primary market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Sector/Industry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Wikipedia + manual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11 sectors, 50 stocks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Graph construction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Financial News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NewsAPI / FinViz</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~500 articles/day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GPT-4 sentiment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Macro Indicators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FRED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GDP, CPI, Fed Rate, VIX</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Regime detection features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Synthetic Crashes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TimeGAN generated</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1000+ scenarios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Stress testing</w:t>
            </w:r>
          </w:p>
        </w:tc>
      </w:tr>
    </w:tbl>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9.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Impact</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RTX 3050 VRAM overflow</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HIGH</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FP16, gradient accumulation, graph mini-batching, smaller batch sizes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RL agent not converging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Start with simple PPO, extensive reward shaping, curriculum learning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GAN mode collapse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MEDIUM</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Spectral normalization, progressive training, multiple restarts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NAS search too expensive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Use DARTS (differentiable, not evolutionary), limit search space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 convergence slow</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LOW</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FedProx handles non-IID data, increase local epochs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GPT-4 API cost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Cache responses, batch calls, use only for 50 stocks x daily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Quantum sim too slow</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LOW</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Limit to 8-15 assets, use simulator not real quantum hardware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Timeline slippage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Modular design - each module works independently, can drop Quantum if needed</w:t>
            </w:r>
          </w:p>
        </w:tc>
      </w:tr>
    </w:tbl>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10. Why This Project is God-Tier</w:t>
      </w:r>
    </w:p>
    <w:p>
      <w:pPr>
        <w:pStyle w:val="Heading2"/>
        <w:spacing w:after="150" w:before="300"/>
      </w:pPr>
      <w:r>
        <w:rPr>
          <w:rFonts w:ascii="Calibri" w:cs="Calibri" w:eastAsia="Calibri" w:hAnsi="Calibri"/>
        </w:rPr>
        <w:t xml:space="preserve">10.1 Interview Ammunition</w:t>
      </w:r>
    </w:p>
    <w:p>
      <w:pPr>
        <w:spacing w:after="120" w:line="276"/>
      </w:pPr>
      <w:r>
        <w:rPr>
          <w:rFonts w:ascii="Calibri" w:cs="Calibri" w:eastAsia="Calibri" w:hAnsi="Calibri"/>
          <w:color w:val="2C3E50"/>
          <w:sz w:val="22"/>
          <w:szCs w:val="22"/>
        </w:rPr>
        <w:t xml:space="preserve">This single project gives you deep talking points for 7 different ML/AI interview topics. Every FAANG ML interview question on RL, GNNs, GANs, NAS, or Federated Learning can be answered with concrete implementation experience from this project. The financial domain adds a quant/fintech angle that opens doors to hedge funds, trading firms, and fintech unicorns.</w:t>
      </w:r>
    </w:p>
    <w:p>
      <w:pPr>
        <w:pStyle w:val="Heading2"/>
        <w:spacing w:after="150" w:before="300"/>
      </w:pPr>
      <w:r>
        <w:rPr>
          <w:rFonts w:ascii="Calibri" w:cs="Calibri" w:eastAsia="Calibri" w:hAnsi="Calibri"/>
        </w:rPr>
        <w:t xml:space="preserve">10.2 Research Publishability</w:t>
      </w:r>
    </w:p>
    <w:p>
      <w:pPr>
        <w:spacing w:after="120" w:line="276"/>
      </w:pPr>
      <w:r>
        <w:rPr>
          <w:rFonts w:ascii="Calibri" w:cs="Calibri" w:eastAsia="Calibri" w:hAnsi="Calibri"/>
          <w:color w:val="2C3E50"/>
          <w:sz w:val="22"/>
          <w:szCs w:val="22"/>
        </w:rPr>
        <w:t xml:space="preserve">The T-GAT + Deep RL combination with NAS optimization is novel enough for a workshop paper at top venues (ICAIF, NeurIPS Finance Workshop, AAAI). The federated learning angle adds a privacy dimension that is highly relevant post-GDPR. Each of the 5 contributions listed in Section 2 is independently publishable as a short paper.</w:t>
      </w:r>
    </w:p>
    <w:p>
      <w:pPr>
        <w:pStyle w:val="Heading2"/>
        <w:spacing w:after="150" w:before="300"/>
      </w:pPr>
      <w:r>
        <w:rPr>
          <w:rFonts w:ascii="Calibri" w:cs="Calibri" w:eastAsia="Calibri" w:hAnsi="Calibri"/>
        </w:rPr>
        <w:t xml:space="preserve">10.3 Production Readiness</w:t>
      </w:r>
    </w:p>
    <w:p>
      <w:pPr>
        <w:spacing w:after="120" w:line="276"/>
      </w:pPr>
      <w:r>
        <w:rPr>
          <w:rFonts w:ascii="Calibri" w:cs="Calibri" w:eastAsia="Calibri" w:hAnsi="Calibri"/>
          <w:color w:val="2C3E50"/>
          <w:sz w:val="22"/>
          <w:szCs w:val="22"/>
        </w:rPr>
        <w:t xml:space="preserve">Unlike academic toy projects, this system has a real API backend (FastAPI), a production dashboard (Next.js), experiment tracking (MLflow), and containerization (Docker). It demonstrates full-stack ML engineering capability, not just notebook prototyping.</w:t>
      </w:r>
    </w:p>
    <w:p>
      <w:pPr>
        <w:pStyle w:val="Heading2"/>
        <w:spacing w:after="150" w:before="300"/>
      </w:pPr>
      <w:r>
        <w:rPr>
          <w:rFonts w:ascii="Calibri" w:cs="Calibri" w:eastAsia="Calibri" w:hAnsi="Calibri"/>
        </w:rPr>
        <w:t xml:space="preserve">10.4 Unique Differentiator</w:t>
      </w:r>
    </w:p>
    <w:p>
      <w:pPr>
        <w:spacing w:after="120" w:line="276"/>
      </w:pPr>
      <w:r>
        <w:rPr>
          <w:rFonts w:ascii="Calibri" w:cs="Calibri" w:eastAsia="Calibri" w:hAnsi="Calibri"/>
          <w:color w:val="2C3E50"/>
          <w:sz w:val="22"/>
          <w:szCs w:val="22"/>
        </w:rPr>
        <w:t xml:space="preserve">No existing open-source project or research paper combines all 7 of these techniques into a single, working system for portfolio optimization. This is a genuine first. The combination of graph-aware RL + NAS + federated learning + GAN augmentation in finance is completely unique in literature as of 2025.</w:t>
      </w:r>
    </w:p>
    <w:p>
      <w:pPr>
        <w:pBdr>
          <w:bottom w:val="single" w:color="E8A838" w:sz="3" w:space="1"/>
        </w:pBdr>
        <w:spacing w:after="200" w:before="200"/>
      </w:pPr>
    </w:p>
    <w:p>
      <w:r>
        <w:br w:type="page"/>
      </w:r>
    </w:p>
    <w:p>
      <w:pPr>
        <w:pStyle w:val="Heading1"/>
        <w:spacing w:after="150" w:before="300"/>
      </w:pPr>
      <w:r>
        <w:rPr>
          <w:rFonts w:ascii="Calibri" w:cs="Calibri" w:eastAsia="Calibri" w:hAnsi="Calibri"/>
        </w:rPr>
        <w:t xml:space="preserve">11. Repository Structure</w:t>
      </w:r>
    </w:p>
    <w:p>
      <w:pPr>
        <w:spacing w:after="120" w:line="276"/>
      </w:pPr>
      <w:r>
        <w:rPr>
          <w:rFonts w:ascii="Calibri" w:cs="Calibri" w:eastAsia="Calibri" w:hAnsi="Calibri"/>
          <w:color w:val="2C3E50"/>
          <w:sz w:val="22"/>
          <w:szCs w:val="22"/>
        </w:rPr>
        <w:t xml:space="preserve">finquant-nexus/</w:t>
      </w:r>
    </w:p>
    <w:p>
      <w:pPr>
        <w:pStyle w:val="ListParagraph"/>
        <w:numPr>
          <w:ilvl w:val="0"/>
          <w:numId w:val="5"/>
        </w:numPr>
        <w:spacing w:after="60" w:line="276"/>
      </w:pPr>
      <w:r>
        <w:rPr>
          <w:rFonts w:ascii="Calibri" w:cs="Calibri" w:eastAsia="Calibri" w:hAnsi="Calibri"/>
          <w:color w:val="2C3E50"/>
          <w:sz w:val="22"/>
          <w:szCs w:val="22"/>
        </w:rPr>
        <w:t xml:space="preserve">src/ - Core source code</w:t>
      </w:r>
    </w:p>
    <w:p>
      <w:pPr>
        <w:pStyle w:val="ListParagraph"/>
        <w:numPr>
          <w:ilvl w:val="0"/>
          <w:numId w:val="5"/>
        </w:numPr>
        <w:spacing w:after="60" w:line="276"/>
      </w:pPr>
      <w:r>
        <w:rPr>
          <w:rFonts w:ascii="Calibri" w:cs="Calibri" w:eastAsia="Calibri" w:hAnsi="Calibri"/>
          <w:color w:val="2C3E50"/>
          <w:sz w:val="22"/>
          <w:szCs w:val="22"/>
        </w:rPr>
        <w:t xml:space="preserve">  src/data/ - Data pipeline, feature engineering, sentiment extraction</w:t>
      </w:r>
    </w:p>
    <w:p>
      <w:pPr>
        <w:pStyle w:val="ListParagraph"/>
        <w:numPr>
          <w:ilvl w:val="0"/>
          <w:numId w:val="5"/>
        </w:numPr>
        <w:spacing w:after="60" w:line="276"/>
      </w:pPr>
      <w:r>
        <w:rPr>
          <w:rFonts w:ascii="Calibri" w:cs="Calibri" w:eastAsia="Calibri" w:hAnsi="Calibri"/>
          <w:color w:val="2C3E50"/>
          <w:sz w:val="22"/>
          <w:szCs w:val="22"/>
        </w:rPr>
        <w:t xml:space="preserve">  src/graph/ - T-GAT implementation, graph construction, PyG models</w:t>
      </w:r>
    </w:p>
    <w:p>
      <w:pPr>
        <w:pStyle w:val="ListParagraph"/>
        <w:numPr>
          <w:ilvl w:val="0"/>
          <w:numId w:val="5"/>
        </w:numPr>
        <w:spacing w:after="60" w:line="276"/>
      </w:pPr>
      <w:r>
        <w:rPr>
          <w:rFonts w:ascii="Calibri" w:cs="Calibri" w:eastAsia="Calibri" w:hAnsi="Calibri"/>
          <w:color w:val="2C3E50"/>
          <w:sz w:val="22"/>
          <w:szCs w:val="22"/>
        </w:rPr>
        <w:t xml:space="preserve">  src/rl/ - Trading environment, PPO/SAC agents, reward functions</w:t>
      </w:r>
    </w:p>
    <w:p>
      <w:pPr>
        <w:pStyle w:val="ListParagraph"/>
        <w:numPr>
          <w:ilvl w:val="0"/>
          <w:numId w:val="5"/>
        </w:numPr>
        <w:spacing w:after="60" w:line="276"/>
      </w:pPr>
      <w:r>
        <w:rPr>
          <w:rFonts w:ascii="Calibri" w:cs="Calibri" w:eastAsia="Calibri" w:hAnsi="Calibri"/>
          <w:color w:val="2C3E50"/>
          <w:sz w:val="22"/>
          <w:szCs w:val="22"/>
        </w:rPr>
        <w:t xml:space="preserve">  src/gan/ - TimeGAN, conditional generation, crash simulation</w:t>
      </w:r>
    </w:p>
    <w:p>
      <w:pPr>
        <w:pStyle w:val="ListParagraph"/>
        <w:numPr>
          <w:ilvl w:val="0"/>
          <w:numId w:val="5"/>
        </w:numPr>
        <w:spacing w:after="60" w:line="276"/>
      </w:pPr>
      <w:r>
        <w:rPr>
          <w:rFonts w:ascii="Calibri" w:cs="Calibri" w:eastAsia="Calibri" w:hAnsi="Calibri"/>
          <w:color w:val="2C3E50"/>
          <w:sz w:val="22"/>
          <w:szCs w:val="22"/>
        </w:rPr>
        <w:t xml:space="preserve">  src/nas/ - DARTS search space, supernet, architecture evaluation</w:t>
      </w:r>
    </w:p>
    <w:p>
      <w:pPr>
        <w:pStyle w:val="ListParagraph"/>
        <w:numPr>
          <w:ilvl w:val="0"/>
          <w:numId w:val="5"/>
        </w:numPr>
        <w:spacing w:after="60" w:line="276"/>
      </w:pPr>
      <w:r>
        <w:rPr>
          <w:rFonts w:ascii="Calibri" w:cs="Calibri" w:eastAsia="Calibri" w:hAnsi="Calibri"/>
          <w:color w:val="2C3E50"/>
          <w:sz w:val="22"/>
          <w:szCs w:val="22"/>
        </w:rPr>
        <w:t xml:space="preserve">  src/federated/ - Flower clients, aggregation strategies, privacy</w:t>
      </w:r>
    </w:p>
    <w:p>
      <w:pPr>
        <w:pStyle w:val="ListParagraph"/>
        <w:numPr>
          <w:ilvl w:val="0"/>
          <w:numId w:val="5"/>
        </w:numPr>
        <w:spacing w:after="60" w:line="276"/>
      </w:pPr>
      <w:r>
        <w:rPr>
          <w:rFonts w:ascii="Calibri" w:cs="Calibri" w:eastAsia="Calibri" w:hAnsi="Calibri"/>
          <w:color w:val="2C3E50"/>
          <w:sz w:val="22"/>
          <w:szCs w:val="22"/>
        </w:rPr>
        <w:t xml:space="preserve">  src/quantum/ - Qiskit QAOA, classical benchmark comparison</w:t>
      </w:r>
    </w:p>
    <w:p>
      <w:pPr>
        <w:pStyle w:val="ListParagraph"/>
        <w:numPr>
          <w:ilvl w:val="0"/>
          <w:numId w:val="5"/>
        </w:numPr>
        <w:spacing w:after="60" w:line="276"/>
      </w:pPr>
      <w:r>
        <w:rPr>
          <w:rFonts w:ascii="Calibri" w:cs="Calibri" w:eastAsia="Calibri" w:hAnsi="Calibri"/>
          <w:color w:val="2C3E50"/>
          <w:sz w:val="22"/>
          <w:szCs w:val="22"/>
        </w:rPr>
        <w:t xml:space="preserve">  src/api/ - FastAPI backend endpoints</w:t>
      </w:r>
    </w:p>
    <w:p>
      <w:pPr>
        <w:pStyle w:val="ListParagraph"/>
        <w:numPr>
          <w:ilvl w:val="0"/>
          <w:numId w:val="5"/>
        </w:numPr>
        <w:spacing w:after="60" w:line="276"/>
      </w:pPr>
      <w:r>
        <w:rPr>
          <w:rFonts w:ascii="Calibri" w:cs="Calibri" w:eastAsia="Calibri" w:hAnsi="Calibri"/>
          <w:color w:val="2C3E50"/>
          <w:sz w:val="22"/>
          <w:szCs w:val="22"/>
        </w:rPr>
        <w:t xml:space="preserve">configs/ - Hyperparameter YAML files per module</w:t>
      </w:r>
    </w:p>
    <w:p>
      <w:pPr>
        <w:pStyle w:val="ListParagraph"/>
        <w:numPr>
          <w:ilvl w:val="0"/>
          <w:numId w:val="5"/>
        </w:numPr>
        <w:spacing w:after="60" w:line="276"/>
      </w:pPr>
      <w:r>
        <w:rPr>
          <w:rFonts w:ascii="Calibri" w:cs="Calibri" w:eastAsia="Calibri" w:hAnsi="Calibri"/>
          <w:color w:val="2C3E50"/>
          <w:sz w:val="22"/>
          <w:szCs w:val="22"/>
        </w:rPr>
        <w:t xml:space="preserve">dashboard/ - Next.js 14 frontend</w:t>
      </w:r>
    </w:p>
    <w:p>
      <w:pPr>
        <w:pStyle w:val="ListParagraph"/>
        <w:numPr>
          <w:ilvl w:val="0"/>
          <w:numId w:val="5"/>
        </w:numPr>
        <w:spacing w:after="60" w:line="276"/>
      </w:pPr>
      <w:r>
        <w:rPr>
          <w:rFonts w:ascii="Calibri" w:cs="Calibri" w:eastAsia="Calibri" w:hAnsi="Calibri"/>
          <w:color w:val="2C3E50"/>
          <w:sz w:val="22"/>
          <w:szCs w:val="22"/>
        </w:rPr>
        <w:t xml:space="preserve">experiments/ - MLflow experiment logs</w:t>
      </w:r>
    </w:p>
    <w:p>
      <w:pPr>
        <w:pStyle w:val="ListParagraph"/>
        <w:numPr>
          <w:ilvl w:val="0"/>
          <w:numId w:val="5"/>
        </w:numPr>
        <w:spacing w:after="60" w:line="276"/>
      </w:pPr>
      <w:r>
        <w:rPr>
          <w:rFonts w:ascii="Calibri" w:cs="Calibri" w:eastAsia="Calibri" w:hAnsi="Calibri"/>
          <w:color w:val="2C3E50"/>
          <w:sz w:val="22"/>
          <w:szCs w:val="22"/>
        </w:rPr>
        <w:t xml:space="preserve">tests/ - Unit and integration tests</w:t>
      </w:r>
    </w:p>
    <w:p>
      <w:pPr>
        <w:pStyle w:val="ListParagraph"/>
        <w:numPr>
          <w:ilvl w:val="0"/>
          <w:numId w:val="5"/>
        </w:numPr>
        <w:spacing w:after="60" w:line="276"/>
      </w:pPr>
      <w:r>
        <w:rPr>
          <w:rFonts w:ascii="Calibri" w:cs="Calibri" w:eastAsia="Calibri" w:hAnsi="Calibri"/>
          <w:color w:val="2C3E50"/>
          <w:sz w:val="22"/>
          <w:szCs w:val="22"/>
        </w:rPr>
        <w:t xml:space="preserve">thesis/ - LaTeX thesis source</w:t>
      </w:r>
    </w:p>
    <w:p>
      <w:pPr>
        <w:pStyle w:val="ListParagraph"/>
        <w:numPr>
          <w:ilvl w:val="0"/>
          <w:numId w:val="5"/>
        </w:numPr>
        <w:spacing w:after="60" w:line="276"/>
      </w:pPr>
      <w:r>
        <w:rPr>
          <w:rFonts w:ascii="Calibri" w:cs="Calibri" w:eastAsia="Calibri" w:hAnsi="Calibri"/>
          <w:color w:val="2C3E50"/>
          <w:sz w:val="22"/>
          <w:szCs w:val="22"/>
        </w:rPr>
        <w:t xml:space="preserve">docker-compose.yml - Full stack containerization</w:t>
      </w:r>
    </w:p>
    <w:p>
      <w:pPr>
        <w:pStyle w:val="ListParagraph"/>
        <w:numPr>
          <w:ilvl w:val="0"/>
          <w:numId w:val="5"/>
        </w:numPr>
        <w:spacing w:after="60" w:line="276"/>
      </w:pPr>
      <w:r>
        <w:rPr>
          <w:rFonts w:ascii="Calibri" w:cs="Calibri" w:eastAsia="Calibri" w:hAnsi="Calibri"/>
          <w:color w:val="2C3E50"/>
          <w:sz w:val="22"/>
          <w:szCs w:val="22"/>
        </w:rPr>
        <w:t xml:space="preserve">README.md - Comprehensive project documentation</w:t>
      </w:r>
    </w:p>
    <w:p>
      <w:pPr>
        <w:pBdr>
          <w:bottom w:val="single" w:color="E8A838" w:sz="3" w:space="1"/>
        </w:pBdr>
        <w:spacing w:after="200" w:before="200"/>
      </w:pPr>
    </w:p>
    <w:p>
      <w:pPr>
        <w:pStyle w:val="Heading1"/>
        <w:spacing w:after="150" w:before="300"/>
      </w:pPr>
      <w:r>
        <w:rPr>
          <w:rFonts w:ascii="Calibri" w:cs="Calibri" w:eastAsia="Calibri" w:hAnsi="Calibri"/>
        </w:rPr>
        <w:t xml:space="preserve">12. Essential Literature (Top 20)</w:t>
      </w:r>
    </w:p>
    <w:p>
      <w:pPr>
        <w:spacing w:after="120" w:line="276"/>
      </w:pPr>
      <w:r>
        <w:rPr>
          <w:rFonts w:ascii="Calibri" w:cs="Calibri" w:eastAsia="Calibri" w:hAnsi="Calibri"/>
          <w:color w:val="2C3E50"/>
          <w:sz w:val="22"/>
          <w:szCs w:val="22"/>
        </w:rPr>
        <w:t xml:space="preserve">These are the must-read papers for your literature review, organized by topic:</w:t>
      </w:r>
    </w:p>
    <w:p>
      <w:pPr>
        <w:pStyle w:val="Heading2"/>
        <w:spacing w:after="150" w:before="300"/>
      </w:pPr>
      <w:r>
        <w:rPr>
          <w:rFonts w:ascii="Calibri" w:cs="Calibri" w:eastAsia="Calibri" w:hAnsi="Calibri"/>
        </w:rPr>
        <w:t xml:space="preserve">12.1 Deep RL in Finance</w:t>
      </w:r>
    </w:p>
    <w:p>
      <w:pPr>
        <w:pStyle w:val="ListParagraph"/>
        <w:numPr>
          <w:ilvl w:val="0"/>
          <w:numId w:val="6"/>
        </w:numPr>
        <w:spacing w:after="60" w:line="276"/>
      </w:pPr>
      <w:r>
        <w:rPr>
          <w:rFonts w:ascii="Calibri" w:cs="Calibri" w:eastAsia="Calibri" w:hAnsi="Calibri"/>
          <w:color w:val="2C3E50"/>
          <w:sz w:val="22"/>
          <w:szCs w:val="22"/>
        </w:rPr>
        <w:t xml:space="preserve">Liu et al. (2020) - FinRL: A Deep Reinforcement Learning Library for Quantitative Finance</w:t>
      </w:r>
    </w:p>
    <w:p>
      <w:pPr>
        <w:pStyle w:val="ListParagraph"/>
        <w:numPr>
          <w:ilvl w:val="0"/>
          <w:numId w:val="6"/>
        </w:numPr>
        <w:spacing w:after="60" w:line="276"/>
      </w:pPr>
      <w:r>
        <w:rPr>
          <w:rFonts w:ascii="Calibri" w:cs="Calibri" w:eastAsia="Calibri" w:hAnsi="Calibri"/>
          <w:color w:val="2C3E50"/>
          <w:sz w:val="22"/>
          <w:szCs w:val="22"/>
        </w:rPr>
        <w:t xml:space="preserve">Yang et al. (2020) - Deep Reinforcement Learning for Automated Stock Trading</w:t>
      </w:r>
    </w:p>
    <w:p>
      <w:pPr>
        <w:pStyle w:val="ListParagraph"/>
        <w:numPr>
          <w:ilvl w:val="0"/>
          <w:numId w:val="6"/>
        </w:numPr>
        <w:spacing w:after="60" w:line="276"/>
      </w:pPr>
      <w:r>
        <w:rPr>
          <w:rFonts w:ascii="Calibri" w:cs="Calibri" w:eastAsia="Calibri" w:hAnsi="Calibri"/>
          <w:color w:val="2C3E50"/>
          <w:sz w:val="22"/>
          <w:szCs w:val="22"/>
        </w:rPr>
        <w:t xml:space="preserve">Jiang et al. (2017) - A Deep Reinforcement Learning Framework for Portfolio Management</w:t>
      </w:r>
    </w:p>
    <w:p>
      <w:pPr>
        <w:pStyle w:val="Heading2"/>
        <w:spacing w:after="150" w:before="300"/>
      </w:pPr>
      <w:r>
        <w:rPr>
          <w:rFonts w:ascii="Calibri" w:cs="Calibri" w:eastAsia="Calibri" w:hAnsi="Calibri"/>
        </w:rPr>
        <w:t xml:space="preserve">12.2 Graph Neural Networks in Finance</w:t>
      </w:r>
    </w:p>
    <w:p>
      <w:pPr>
        <w:pStyle w:val="ListParagraph"/>
        <w:numPr>
          <w:ilvl w:val="0"/>
          <w:numId w:val="7"/>
        </w:numPr>
        <w:spacing w:after="60" w:line="276"/>
      </w:pPr>
      <w:r>
        <w:rPr>
          <w:rFonts w:ascii="Calibri" w:cs="Calibri" w:eastAsia="Calibri" w:hAnsi="Calibri"/>
          <w:color w:val="2C3E50"/>
          <w:sz w:val="22"/>
          <w:szCs w:val="22"/>
        </w:rPr>
        <w:t xml:space="preserve">Chen et al. (2021) - Graph Neural Networks for Stock Market Prediction</w:t>
      </w:r>
    </w:p>
    <w:p>
      <w:pPr>
        <w:pStyle w:val="ListParagraph"/>
        <w:numPr>
          <w:ilvl w:val="0"/>
          <w:numId w:val="7"/>
        </w:numPr>
        <w:spacing w:after="60" w:line="276"/>
      </w:pPr>
      <w:r>
        <w:rPr>
          <w:rFonts w:ascii="Calibri" w:cs="Calibri" w:eastAsia="Calibri" w:hAnsi="Calibri"/>
          <w:color w:val="2C3E50"/>
          <w:sz w:val="22"/>
          <w:szCs w:val="22"/>
        </w:rPr>
        <w:t xml:space="preserve">Velickovic et al. (2018) - Graph Attention Networks (GAT)</w:t>
      </w:r>
    </w:p>
    <w:p>
      <w:pPr>
        <w:pStyle w:val="ListParagraph"/>
        <w:numPr>
          <w:ilvl w:val="0"/>
          <w:numId w:val="7"/>
        </w:numPr>
        <w:spacing w:after="60" w:line="276"/>
      </w:pPr>
      <w:r>
        <w:rPr>
          <w:rFonts w:ascii="Calibri" w:cs="Calibri" w:eastAsia="Calibri" w:hAnsi="Calibri"/>
          <w:color w:val="2C3E50"/>
          <w:sz w:val="22"/>
          <w:szCs w:val="22"/>
        </w:rPr>
        <w:t xml:space="preserve">Sawhney et al. (2020) - Spatiotemporal Hypergraph for Stock Movement</w:t>
      </w:r>
    </w:p>
    <w:p>
      <w:pPr>
        <w:pStyle w:val="Heading2"/>
        <w:spacing w:after="150" w:before="300"/>
      </w:pPr>
      <w:r>
        <w:rPr>
          <w:rFonts w:ascii="Calibri" w:cs="Calibri" w:eastAsia="Calibri" w:hAnsi="Calibri"/>
        </w:rPr>
        <w:t xml:space="preserve">12.3 GANs for Financial Data</w:t>
      </w:r>
    </w:p>
    <w:p>
      <w:pPr>
        <w:pStyle w:val="ListParagraph"/>
        <w:numPr>
          <w:ilvl w:val="0"/>
          <w:numId w:val="8"/>
        </w:numPr>
        <w:spacing w:after="60" w:line="276"/>
      </w:pPr>
      <w:r>
        <w:rPr>
          <w:rFonts w:ascii="Calibri" w:cs="Calibri" w:eastAsia="Calibri" w:hAnsi="Calibri"/>
          <w:color w:val="2C3E50"/>
          <w:sz w:val="22"/>
          <w:szCs w:val="22"/>
        </w:rPr>
        <w:t xml:space="preserve">Yoon et al. (2019) - Time-series Generative Adversarial Networks (TimeGAN)</w:t>
      </w:r>
    </w:p>
    <w:p>
      <w:pPr>
        <w:pStyle w:val="ListParagraph"/>
        <w:numPr>
          <w:ilvl w:val="0"/>
          <w:numId w:val="8"/>
        </w:numPr>
        <w:spacing w:after="60" w:line="276"/>
      </w:pPr>
      <w:r>
        <w:rPr>
          <w:rFonts w:ascii="Calibri" w:cs="Calibri" w:eastAsia="Calibri" w:hAnsi="Calibri"/>
          <w:color w:val="2C3E50"/>
          <w:sz w:val="22"/>
          <w:szCs w:val="22"/>
        </w:rPr>
        <w:t xml:space="preserve">Wiese et al. (2020) - Quant GANs for Realistic Financial Data</w:t>
      </w:r>
    </w:p>
    <w:p>
      <w:pPr>
        <w:pStyle w:val="Heading2"/>
        <w:spacing w:after="150" w:before="300"/>
      </w:pPr>
      <w:r>
        <w:rPr>
          <w:rFonts w:ascii="Calibri" w:cs="Calibri" w:eastAsia="Calibri" w:hAnsi="Calibri"/>
        </w:rPr>
        <w:t xml:space="preserve">12.4 Federated Learning + NAS + Quantum</w:t>
      </w:r>
    </w:p>
    <w:p>
      <w:pPr>
        <w:pStyle w:val="ListParagraph"/>
        <w:numPr>
          <w:ilvl w:val="0"/>
          <w:numId w:val="9"/>
        </w:numPr>
        <w:spacing w:after="60" w:line="276"/>
      </w:pPr>
      <w:r>
        <w:rPr>
          <w:rFonts w:ascii="Calibri" w:cs="Calibri" w:eastAsia="Calibri" w:hAnsi="Calibri"/>
          <w:color w:val="2C3E50"/>
          <w:sz w:val="22"/>
          <w:szCs w:val="22"/>
        </w:rPr>
        <w:t xml:space="preserve">McMahan et al. (2017) - Communication-Efficient Learning (FedAvg)</w:t>
      </w:r>
    </w:p>
    <w:p>
      <w:pPr>
        <w:pStyle w:val="ListParagraph"/>
        <w:numPr>
          <w:ilvl w:val="0"/>
          <w:numId w:val="9"/>
        </w:numPr>
        <w:spacing w:after="60" w:line="276"/>
      </w:pPr>
      <w:r>
        <w:rPr>
          <w:rFonts w:ascii="Calibri" w:cs="Calibri" w:eastAsia="Calibri" w:hAnsi="Calibri"/>
          <w:color w:val="2C3E50"/>
          <w:sz w:val="22"/>
          <w:szCs w:val="22"/>
        </w:rPr>
        <w:t xml:space="preserve">Li et al. (2020) - Federated Optimization in Heterogeneous Networks (FedProx)</w:t>
      </w:r>
    </w:p>
    <w:p>
      <w:pPr>
        <w:pStyle w:val="ListParagraph"/>
        <w:numPr>
          <w:ilvl w:val="0"/>
          <w:numId w:val="9"/>
        </w:numPr>
        <w:spacing w:after="60" w:line="276"/>
      </w:pPr>
      <w:r>
        <w:rPr>
          <w:rFonts w:ascii="Calibri" w:cs="Calibri" w:eastAsia="Calibri" w:hAnsi="Calibri"/>
          <w:color w:val="2C3E50"/>
          <w:sz w:val="22"/>
          <w:szCs w:val="22"/>
        </w:rPr>
        <w:t xml:space="preserve">Liu et al. (2019) - DARTS: Differentiable Architecture Search</w:t>
      </w:r>
    </w:p>
    <w:p>
      <w:pPr>
        <w:pStyle w:val="ListParagraph"/>
        <w:numPr>
          <w:ilvl w:val="0"/>
          <w:numId w:val="9"/>
        </w:numPr>
        <w:spacing w:after="60" w:line="276"/>
      </w:pPr>
      <w:r>
        <w:rPr>
          <w:rFonts w:ascii="Calibri" w:cs="Calibri" w:eastAsia="Calibri" w:hAnsi="Calibri"/>
          <w:color w:val="2C3E50"/>
          <w:sz w:val="22"/>
          <w:szCs w:val="22"/>
        </w:rPr>
        <w:t xml:space="preserve">Farhi et al. (2014) - Quantum Approximate Optimization Algorithm (QAOA)</w:t>
      </w:r>
    </w:p>
    <w:p>
      <w:pPr>
        <w:pStyle w:val="ListParagraph"/>
        <w:numPr>
          <w:ilvl w:val="0"/>
          <w:numId w:val="9"/>
        </w:numPr>
        <w:spacing w:after="60" w:line="276"/>
      </w:pPr>
      <w:r>
        <w:rPr>
          <w:rFonts w:ascii="Calibri" w:cs="Calibri" w:eastAsia="Calibri" w:hAnsi="Calibri"/>
          <w:color w:val="2C3E50"/>
          <w:sz w:val="22"/>
          <w:szCs w:val="22"/>
        </w:rPr>
        <w:t xml:space="preserve">Orus et al. (2019) - Quantum Computing for Finance: Overview and Prospects</w:t>
      </w:r>
    </w:p>
    <w:p>
      <w:pPr>
        <w:pBdr>
          <w:bottom w:val="single" w:color="E8A838" w:sz="3" w:space="1"/>
        </w:pBdr>
        <w:spacing w:after="200" w:before="200"/>
      </w:pPr>
    </w:p>
    <w:p>
      <w:pPr>
        <w:spacing w:before="400"/>
      </w:pPr>
    </w:p>
    <w:p>
      <w:pPr>
        <w:pBdr>
          <w:top w:val="single" w:color="E8A838" w:sz="3" w:space="8"/>
        </w:pBdr>
        <w:spacing w:after="200"/>
        <w:jc w:val="center"/>
      </w:pPr>
      <w:r>
        <w:rPr>
          <w:rFonts w:ascii="Calibri" w:cs="Calibri" w:eastAsia="Calibri" w:hAnsi="Calibri"/>
          <w:b/>
          <w:bCs/>
          <w:color w:val="1B3A5C"/>
          <w:sz w:val="28"/>
          <w:szCs w:val="28"/>
        </w:rPr>
        <w:t xml:space="preserve">BUILD SOMETHING LEGENDARY.</w:t>
      </w:r>
    </w:p>
    <w:p>
      <w:pPr>
        <w:jc w:val="center"/>
      </w:pPr>
      <w:r>
        <w:rPr>
          <w:rFonts w:ascii="Calibri" w:cs="Calibri" w:eastAsia="Calibri" w:hAnsi="Calibri"/>
          <w:i/>
          <w:iCs/>
          <w:color w:val="E8A838"/>
          <w:sz w:val="22"/>
          <w:szCs w:val="22"/>
        </w:rPr>
        <w:t xml:space="preserve">FINQUANT-NEXUS  —  Where Finance Meets the Frontier of AI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God-Tier M.Tech Major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D1B2A"/>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2026-03-06T07:12:01.465Z</dcterms:created>
  <dcterms:modified xsi:type="dcterms:W3CDTF">2026-03-06T07:12:01.466Z</dcterms:modified>
</cp:coreProperties>
</file>

<file path=docProps/custom.xml><?xml version="1.0" encoding="utf-8"?>
<Properties xmlns="http://schemas.openxmlformats.org/officeDocument/2006/custom-properties" xmlns:vt="http://schemas.openxmlformats.org/officeDocument/2006/docPropsVTypes"/>
</file>