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04E1" w14:textId="6269F95F" w:rsidR="00705E7C" w:rsidRDefault="00B83F2E">
      <w:pPr>
        <w:rPr>
          <w:b/>
          <w:bCs/>
          <w:sz w:val="40"/>
          <w:szCs w:val="40"/>
          <w:u w:val="single"/>
        </w:rPr>
      </w:pPr>
      <w:r w:rsidRPr="00B83F2E">
        <w:rPr>
          <w:b/>
          <w:bCs/>
          <w:sz w:val="40"/>
          <w:szCs w:val="40"/>
          <w:u w:val="single"/>
        </w:rPr>
        <w:t>Tips :</w:t>
      </w:r>
    </w:p>
    <w:p w14:paraId="5725883A" w14:textId="2EAF0EB4" w:rsidR="00B83F2E" w:rsidRDefault="00B83F2E" w:rsidP="00B83F2E">
      <w:pPr>
        <w:pStyle w:val="ListParagraph"/>
        <w:numPr>
          <w:ilvl w:val="0"/>
          <w:numId w:val="1"/>
        </w:numPr>
      </w:pPr>
      <w:r>
        <w:t xml:space="preserve">Les transactions concernant les </w:t>
      </w:r>
      <w:r w:rsidR="007D230C">
        <w:t>cryptomonnaies</w:t>
      </w:r>
      <w:r>
        <w:t xml:space="preserve"> ne sont anonymes que si le contexte n’est pas connu </w:t>
      </w:r>
      <w:r w:rsidR="007D230C">
        <w:br/>
      </w:r>
    </w:p>
    <w:p w14:paraId="13037467" w14:textId="7C08FC77" w:rsidR="007D230C" w:rsidRPr="00787270" w:rsidRDefault="007D230C" w:rsidP="00B83F2E">
      <w:pPr>
        <w:pStyle w:val="ListParagraph"/>
        <w:numPr>
          <w:ilvl w:val="0"/>
          <w:numId w:val="1"/>
        </w:numPr>
        <w:rPr>
          <w:b/>
          <w:bCs/>
        </w:rPr>
      </w:pPr>
      <w:r w:rsidRPr="00787270">
        <w:rPr>
          <w:b/>
          <w:bCs/>
        </w:rPr>
        <w:t xml:space="preserve">Une bonne connaissance de la blockchain et du fonctionnement des cryptomonnaies est requise pour faire de l’OSINT sur une cible en passant par </w:t>
      </w:r>
      <w:r w:rsidR="00D84C25" w:rsidRPr="00787270">
        <w:rPr>
          <w:b/>
          <w:bCs/>
        </w:rPr>
        <w:t>la blockchain</w:t>
      </w:r>
      <w:r w:rsidR="00787270">
        <w:rPr>
          <w:b/>
          <w:bCs/>
        </w:rPr>
        <w:t xml:space="preserve"> – Point essentiel à appliquer selon SANS Institute ! </w:t>
      </w:r>
      <w:r w:rsidR="00D84C25" w:rsidRPr="00787270">
        <w:rPr>
          <w:b/>
          <w:bCs/>
        </w:rPr>
        <w:br/>
      </w:r>
    </w:p>
    <w:p w14:paraId="19FEE39B" w14:textId="5451FB51" w:rsidR="00D84C25" w:rsidRDefault="00D84C25" w:rsidP="00B83F2E">
      <w:pPr>
        <w:pStyle w:val="ListParagraph"/>
        <w:numPr>
          <w:ilvl w:val="0"/>
          <w:numId w:val="1"/>
        </w:numPr>
      </w:pPr>
      <w:r w:rsidRPr="00D84C25">
        <w:t>Le</w:t>
      </w:r>
      <w:r w:rsidRPr="00D84C25">
        <w:t xml:space="preserve"> numéro de portefeuille crypto est en fait </w:t>
      </w:r>
      <w:r w:rsidRPr="00D84C25">
        <w:t>une version encodée</w:t>
      </w:r>
      <w:r w:rsidRPr="00D84C25">
        <w:t xml:space="preserve"> de la clé </w:t>
      </w:r>
      <w:r w:rsidRPr="00D84C25">
        <w:t>publique</w:t>
      </w:r>
      <w:r w:rsidR="00354942">
        <w:t xml:space="preserve"> de ce même portefeuille</w:t>
      </w:r>
      <w:r w:rsidR="00264542">
        <w:t xml:space="preserve">, </w:t>
      </w:r>
      <w:r w:rsidR="00264542" w:rsidRPr="000E0497">
        <w:rPr>
          <w:b/>
          <w:bCs/>
        </w:rPr>
        <w:t xml:space="preserve">et le </w:t>
      </w:r>
      <w:r w:rsidR="000E0497" w:rsidRPr="000E0497">
        <w:rPr>
          <w:b/>
          <w:bCs/>
        </w:rPr>
        <w:t>portefeuille</w:t>
      </w:r>
      <w:r w:rsidR="00264542" w:rsidRPr="000E0497">
        <w:rPr>
          <w:b/>
          <w:bCs/>
        </w:rPr>
        <w:t xml:space="preserve"> </w:t>
      </w:r>
      <w:r w:rsidR="000E0497" w:rsidRPr="000E0497">
        <w:rPr>
          <w:b/>
          <w:bCs/>
        </w:rPr>
        <w:t>crypto contient la clé privé</w:t>
      </w:r>
      <w:r w:rsidR="000E0497">
        <w:t xml:space="preserve"> </w:t>
      </w:r>
      <w:r>
        <w:br/>
      </w:r>
    </w:p>
    <w:p w14:paraId="1CD68650" w14:textId="77777777" w:rsidR="000E7B24" w:rsidRDefault="00DE6BAA" w:rsidP="00B83F2E">
      <w:pPr>
        <w:pStyle w:val="ListParagraph"/>
        <w:numPr>
          <w:ilvl w:val="0"/>
          <w:numId w:val="1"/>
        </w:numPr>
      </w:pPr>
      <w:r w:rsidRPr="00DE6BAA">
        <w:t>En corrélant les entrées et les sorties sur la base de facteurs comme le montant des transactions, les horodatages, et les comportements de réseau, les attaquants peuvent parfois retrouver l'origine des fonds</w:t>
      </w:r>
      <w:r w:rsidR="000E7B24">
        <w:t>.</w:t>
      </w:r>
      <w:r w:rsidR="000E7B24">
        <w:br/>
      </w:r>
    </w:p>
    <w:p w14:paraId="2D8CF9D7" w14:textId="42B91BDD" w:rsidR="00221E82" w:rsidRDefault="00DE282C" w:rsidP="00B83F2E">
      <w:pPr>
        <w:pStyle w:val="ListParagraph"/>
        <w:numPr>
          <w:ilvl w:val="0"/>
          <w:numId w:val="1"/>
        </w:numPr>
      </w:pPr>
      <w:r>
        <w:t>Bien que les</w:t>
      </w:r>
      <w:r w:rsidR="000E7B24">
        <w:t xml:space="preserve"> mixers crypto sont vraiment efficaces pour anonymisé les transactions</w:t>
      </w:r>
      <w:r>
        <w:t xml:space="preserve">, il est nécessaire de stipuler qu’ils sont principalement </w:t>
      </w:r>
      <w:r w:rsidR="00D63BB6">
        <w:t>contrôlés</w:t>
      </w:r>
      <w:r>
        <w:t xml:space="preserve"> par des machines, et les machines sont déterministe, en faisant une rétro-ingénierie sur le mixer, il est possible de </w:t>
      </w:r>
      <w:r w:rsidR="00FF6A17">
        <w:t>casser</w:t>
      </w:r>
      <w:r>
        <w:t xml:space="preserve"> le processus d’anonymisation</w:t>
      </w:r>
      <w:r w:rsidR="00840FB9">
        <w:t xml:space="preserve"> et ainsi faire des suppositions logiques sur quelles transactions appartient à qui</w:t>
      </w:r>
      <w:r>
        <w:t>,</w:t>
      </w:r>
      <w:r w:rsidR="003C54D9">
        <w:t xml:space="preserve"> il</w:t>
      </w:r>
      <w:r>
        <w:t xml:space="preserve"> est à noter que les mixers</w:t>
      </w:r>
      <w:r w:rsidR="003C54D9">
        <w:t xml:space="preserve"> prennent un pourcentage sur les transactions </w:t>
      </w:r>
      <w:r w:rsidR="00221E82">
        <w:br/>
      </w:r>
    </w:p>
    <w:p w14:paraId="7378EDAB" w14:textId="6F9606C1" w:rsidR="00D84C25" w:rsidRDefault="00221E82" w:rsidP="00B83F2E">
      <w:pPr>
        <w:pStyle w:val="ListParagraph"/>
        <w:numPr>
          <w:ilvl w:val="0"/>
          <w:numId w:val="1"/>
        </w:numPr>
      </w:pPr>
      <w:r>
        <w:t xml:space="preserve">L’analyse temporelle est une bonne méthode pour </w:t>
      </w:r>
      <w:r w:rsidR="00CE53DA">
        <w:t>remonter</w:t>
      </w:r>
      <w:r>
        <w:t xml:space="preserve"> à la source des transactions (ex :</w:t>
      </w:r>
      <w:r w:rsidR="00646872">
        <w:t xml:space="preserve"> En fonction des heures où le portefeuille est actif, on peut en déduire le fuseau horaire</w:t>
      </w:r>
      <w:r>
        <w:t>)</w:t>
      </w:r>
      <w:r w:rsidR="0014528B">
        <w:br/>
      </w:r>
    </w:p>
    <w:p w14:paraId="539B9912" w14:textId="53472FFE" w:rsidR="0014528B" w:rsidRPr="00D25D8A" w:rsidRDefault="0014528B" w:rsidP="00B83F2E">
      <w:pPr>
        <w:pStyle w:val="ListParagraph"/>
        <w:numPr>
          <w:ilvl w:val="0"/>
          <w:numId w:val="1"/>
        </w:numPr>
      </w:pPr>
      <w:r>
        <w:t xml:space="preserve">Les transactions </w:t>
      </w:r>
      <w:r w:rsidR="00F77B15">
        <w:t xml:space="preserve">ayant été faite sur </w:t>
      </w:r>
      <w:r w:rsidR="00095D28">
        <w:t>la blockchain</w:t>
      </w:r>
      <w:r w:rsidR="00F77B15">
        <w:t xml:space="preserve"> sont </w:t>
      </w:r>
      <w:r w:rsidR="00F77B15" w:rsidRPr="00F77B15">
        <w:rPr>
          <w:b/>
          <w:bCs/>
        </w:rPr>
        <w:t>publique</w:t>
      </w:r>
      <w:r w:rsidR="00F77B15">
        <w:rPr>
          <w:b/>
          <w:bCs/>
        </w:rPr>
        <w:t xml:space="preserve"> </w:t>
      </w:r>
      <w:r w:rsidR="00D25D8A">
        <w:rPr>
          <w:b/>
          <w:bCs/>
        </w:rPr>
        <w:br/>
      </w:r>
    </w:p>
    <w:p w14:paraId="0F5E56A1" w14:textId="5E7019EA" w:rsidR="00D25D8A" w:rsidRDefault="00D25D8A" w:rsidP="00B83F2E">
      <w:pPr>
        <w:pStyle w:val="ListParagraph"/>
        <w:numPr>
          <w:ilvl w:val="0"/>
          <w:numId w:val="1"/>
        </w:numPr>
      </w:pPr>
      <w:r>
        <w:t>La blockchain n’est pas anonyme, mais pseudo anonyme</w:t>
      </w:r>
      <w:r w:rsidR="00701FD4">
        <w:br/>
      </w:r>
    </w:p>
    <w:p w14:paraId="2A6A9B3E" w14:textId="3F7EC592" w:rsidR="00701FD4" w:rsidRDefault="00701FD4" w:rsidP="00B83F2E">
      <w:pPr>
        <w:pStyle w:val="ListParagraph"/>
        <w:numPr>
          <w:ilvl w:val="0"/>
          <w:numId w:val="1"/>
        </w:numPr>
      </w:pPr>
      <w:r w:rsidRPr="00701FD4">
        <w:t>Pratiquement</w:t>
      </w:r>
      <w:r w:rsidRPr="00701FD4">
        <w:t xml:space="preserve"> tout courtier en cryptomonnaies légitime et réglementé dans l'Union Européenne aura un numéro d'enregistrement ou un agrément, comme l'exige la nouvelle réglementation </w:t>
      </w:r>
      <w:proofErr w:type="spellStart"/>
      <w:r w:rsidRPr="00701FD4">
        <w:t>MiCA</w:t>
      </w:r>
      <w:proofErr w:type="spellEnd"/>
      <w:r w:rsidRPr="00701FD4">
        <w:t> </w:t>
      </w:r>
      <w:r w:rsidR="00B0342F">
        <w:br/>
      </w:r>
    </w:p>
    <w:p w14:paraId="08F2047A" w14:textId="70B0D481" w:rsidR="00B0342F" w:rsidRDefault="00B0342F" w:rsidP="00B83F2E">
      <w:pPr>
        <w:pStyle w:val="ListParagraph"/>
        <w:numPr>
          <w:ilvl w:val="0"/>
          <w:numId w:val="1"/>
        </w:numPr>
      </w:pPr>
      <w:r>
        <w:t>Il est possible d’identifié la blockchain via l’encodage d’une adresse de portefeuille (un portefeuille bitcoin commence généralement par bc</w:t>
      </w:r>
      <w:r w:rsidR="00DD7E7D">
        <w:t>1)</w:t>
      </w:r>
      <w:r w:rsidR="00CE53DA">
        <w:br/>
      </w:r>
    </w:p>
    <w:p w14:paraId="221FBB40" w14:textId="341EE1CC" w:rsidR="00CE53DA" w:rsidRDefault="00CE53DA" w:rsidP="00B83F2E">
      <w:pPr>
        <w:pStyle w:val="ListParagraph"/>
        <w:numPr>
          <w:ilvl w:val="0"/>
          <w:numId w:val="1"/>
        </w:numPr>
      </w:pPr>
      <w:r w:rsidRPr="00CE53DA">
        <w:t>Les "</w:t>
      </w:r>
      <w:proofErr w:type="spellStart"/>
      <w:r w:rsidRPr="00CE53DA">
        <w:t>seed</w:t>
      </w:r>
      <w:proofErr w:type="spellEnd"/>
      <w:r w:rsidRPr="00CE53DA">
        <w:t xml:space="preserve"> </w:t>
      </w:r>
      <w:proofErr w:type="spellStart"/>
      <w:r w:rsidRPr="00CE53DA">
        <w:t>words</w:t>
      </w:r>
      <w:proofErr w:type="spellEnd"/>
      <w:r w:rsidRPr="00CE53DA">
        <w:t xml:space="preserve">" (ou phrases de récupération) sont une série de 12, 18 ou 24 mots qui constituent la clé de sauvegarde de votre portefeuille de cryptomonnaies. Elles servent à retrouver l'accès à vos fonds si vous perdez votre appareil ou votre mot de passe, car elles permettent de régénérer toutes vos clés privées. Il est essentiel de les garder en lieu sûr et de ne jamais les partager, car </w:t>
      </w:r>
      <w:r w:rsidRPr="00CE53DA">
        <w:rPr>
          <w:b/>
          <w:bCs/>
        </w:rPr>
        <w:t xml:space="preserve">quiconque les possède </w:t>
      </w:r>
      <w:r w:rsidRPr="00CE53DA">
        <w:rPr>
          <w:b/>
          <w:bCs/>
        </w:rPr>
        <w:t>à</w:t>
      </w:r>
      <w:r w:rsidRPr="00CE53DA">
        <w:rPr>
          <w:b/>
          <w:bCs/>
        </w:rPr>
        <w:t xml:space="preserve"> un accès complet à votre portefeuille et à vos actifs</w:t>
      </w:r>
      <w:r w:rsidRPr="00CE53DA">
        <w:t>. </w:t>
      </w:r>
      <w:r w:rsidR="00D56BD2">
        <w:br/>
      </w:r>
    </w:p>
    <w:p w14:paraId="6D7F72C5" w14:textId="4FD49396" w:rsidR="00B83F2E" w:rsidRDefault="00D56BD2" w:rsidP="006930DC">
      <w:pPr>
        <w:pStyle w:val="ListParagraph"/>
        <w:numPr>
          <w:ilvl w:val="0"/>
          <w:numId w:val="1"/>
        </w:numPr>
      </w:pPr>
      <w:r>
        <w:lastRenderedPageBreak/>
        <w:t>Une bonne technique pour retrouver quelqu’un à partir d’une adresse de portefeuille crypto est d’utiliser du google dorking</w:t>
      </w:r>
      <w:r w:rsidR="000E7B24">
        <w:br/>
      </w:r>
    </w:p>
    <w:p w14:paraId="0125F9EF" w14:textId="35A53E8D" w:rsidR="006930DC" w:rsidRDefault="00D63BB6" w:rsidP="006930DC">
      <w:pPr>
        <w:pStyle w:val="ListParagraph"/>
        <w:numPr>
          <w:ilvl w:val="0"/>
          <w:numId w:val="1"/>
        </w:numPr>
      </w:pPr>
      <w:r>
        <w:t xml:space="preserve">L’utilisation d’outils de visualisation aide beaucoup lors de l’investigation axé sur les cryptomonnaies </w:t>
      </w:r>
      <w:r w:rsidR="001940A5">
        <w:br/>
      </w:r>
    </w:p>
    <w:p w14:paraId="5D338244" w14:textId="24475A95" w:rsidR="001940A5" w:rsidRDefault="001940A5" w:rsidP="006930DC">
      <w:pPr>
        <w:pStyle w:val="ListParagraph"/>
        <w:numPr>
          <w:ilvl w:val="0"/>
          <w:numId w:val="1"/>
        </w:numPr>
      </w:pPr>
      <w:r>
        <w:t xml:space="preserve">Dans la plupart des pays, les organisations proposant des services de cryptomonnaies sont obligées de respecté le KYC (Know </w:t>
      </w:r>
      <w:proofErr w:type="spellStart"/>
      <w:r>
        <w:t>Your</w:t>
      </w:r>
      <w:proofErr w:type="spellEnd"/>
      <w:r>
        <w:t xml:space="preserve"> Customer), c’est-à-dire connaître l’identité de leurs clients, et d’avoir un moyen de la contrôler, en partant de ce principe, il est possible pour les forces de l’ordre de mettre en relation une transaction et l’identité d’une personne, du point de vue de l’anonymat, il est possible de se protégé de se principe en utilisant des mixers crypto, des cryptomonnaies axés sur la confidentialité (Ex : </w:t>
      </w:r>
      <w:proofErr w:type="spellStart"/>
      <w:r>
        <w:t>Monero</w:t>
      </w:r>
      <w:proofErr w:type="spellEnd"/>
      <w:r>
        <w:t>), d’effectué des échanges décentralisés (DEX), ou encore d’utiliser une plateforme étant sous une juridiction ne demandant pas le KYC</w:t>
      </w:r>
      <w:r>
        <w:br/>
      </w:r>
    </w:p>
    <w:p w14:paraId="4A55611E" w14:textId="5E2196EF" w:rsidR="001940A5" w:rsidRDefault="005B128A" w:rsidP="006930DC">
      <w:pPr>
        <w:pStyle w:val="ListParagraph"/>
        <w:numPr>
          <w:ilvl w:val="0"/>
          <w:numId w:val="1"/>
        </w:numPr>
      </w:pPr>
      <w:r>
        <w:t>Dans la blockchain Etherium, il existe le ENS (Etherium Name Service) qui permet d’associer un nom lisible par l’homme avec une adresse d’un portefeuille crypto</w:t>
      </w:r>
      <w:r w:rsidR="008142CF">
        <w:br/>
      </w:r>
    </w:p>
    <w:p w14:paraId="5748E418" w14:textId="1F6D9AA2" w:rsidR="008142CF" w:rsidRDefault="008142CF" w:rsidP="006930DC">
      <w:pPr>
        <w:pStyle w:val="ListParagraph"/>
        <w:numPr>
          <w:ilvl w:val="0"/>
          <w:numId w:val="1"/>
        </w:numPr>
      </w:pPr>
      <w:r>
        <w:t xml:space="preserve">Le moyen le plus simple de tracer quelqu’un, est de le laisser faire des erreurs dans son </w:t>
      </w:r>
      <w:proofErr w:type="spellStart"/>
      <w:r>
        <w:t>Opsec</w:t>
      </w:r>
      <w:proofErr w:type="spellEnd"/>
      <w:r w:rsidR="00FE07F3">
        <w:br/>
      </w:r>
    </w:p>
    <w:p w14:paraId="74276FE1" w14:textId="390E62E7" w:rsidR="00FE07F3" w:rsidRDefault="00FE07F3" w:rsidP="006930DC">
      <w:pPr>
        <w:pStyle w:val="ListParagraph"/>
        <w:numPr>
          <w:ilvl w:val="0"/>
          <w:numId w:val="1"/>
        </w:numPr>
      </w:pPr>
      <w:r>
        <w:t xml:space="preserve">Les transactions faites dans le but d’acheté quelque chose est facilement traçable, car il est possible de mettre en relation </w:t>
      </w:r>
      <w:r w:rsidR="00E86E5E">
        <w:t>les informations relatives</w:t>
      </w:r>
      <w:r>
        <w:t xml:space="preserve"> </w:t>
      </w:r>
      <w:r w:rsidR="00FF6A17">
        <w:t>à la blockchain</w:t>
      </w:r>
      <w:r>
        <w:t xml:space="preserve"> et les informations utilisé pour </w:t>
      </w:r>
      <w:r w:rsidR="00E86E5E">
        <w:t xml:space="preserve">l’achat en lui-même (ex : si un site web a été acheté via de la cryptomonnaies, alors la personne </w:t>
      </w:r>
      <w:r w:rsidR="00905F6D">
        <w:t>a</w:t>
      </w:r>
      <w:r w:rsidR="00E86E5E">
        <w:t xml:space="preserve"> du donné </w:t>
      </w:r>
      <w:r w:rsidR="00FF6A17">
        <w:t>des informations personnelles</w:t>
      </w:r>
      <w:r w:rsidR="00E86E5E">
        <w:t xml:space="preserve"> au registraire du site)</w:t>
      </w:r>
      <w:r w:rsidR="00FF6A17">
        <w:br/>
      </w:r>
    </w:p>
    <w:p w14:paraId="4462B1DC" w14:textId="5A8A1009" w:rsidR="00FF6A17" w:rsidRDefault="000E1BB5" w:rsidP="006930DC">
      <w:pPr>
        <w:pStyle w:val="ListParagraph"/>
        <w:numPr>
          <w:ilvl w:val="0"/>
          <w:numId w:val="1"/>
        </w:numPr>
      </w:pPr>
      <w:r>
        <w:t xml:space="preserve">Certains </w:t>
      </w:r>
      <w:proofErr w:type="spellStart"/>
      <w:r>
        <w:t>tips</w:t>
      </w:r>
      <w:proofErr w:type="spellEnd"/>
      <w:r>
        <w:t xml:space="preserve"> nécessite que l’analyste ait le </w:t>
      </w:r>
      <w:r w:rsidRPr="000E1BB5">
        <w:t>pouvoir d'assignation à comparaître</w:t>
      </w:r>
      <w:r>
        <w:t xml:space="preserve"> afin de les effectués </w:t>
      </w:r>
      <w:r w:rsidR="00CE3A3B">
        <w:t xml:space="preserve">ou au moins une collaboration avec quelqu’un qui à ce pouvoir </w:t>
      </w:r>
      <w:r w:rsidR="007F322C">
        <w:br/>
      </w:r>
    </w:p>
    <w:p w14:paraId="7FF38FFA" w14:textId="1BE7536A" w:rsidR="007F322C" w:rsidRPr="00E9095C" w:rsidRDefault="007F322C" w:rsidP="006930DC">
      <w:pPr>
        <w:pStyle w:val="ListParagraph"/>
        <w:numPr>
          <w:ilvl w:val="0"/>
          <w:numId w:val="1"/>
        </w:numPr>
        <w:rPr>
          <w:b/>
          <w:bCs/>
        </w:rPr>
      </w:pPr>
      <w:r w:rsidRPr="007F322C">
        <w:rPr>
          <w:b/>
          <w:bCs/>
        </w:rPr>
        <w:t xml:space="preserve">Partie Planification – technique </w:t>
      </w:r>
      <w:proofErr w:type="spellStart"/>
      <w:r w:rsidRPr="007F322C">
        <w:rPr>
          <w:b/>
          <w:bCs/>
        </w:rPr>
        <w:t>opsec</w:t>
      </w:r>
      <w:proofErr w:type="spellEnd"/>
      <w:r>
        <w:rPr>
          <w:b/>
          <w:bCs/>
        </w:rPr>
        <w:t xml:space="preserve"> : </w:t>
      </w:r>
      <w:r>
        <w:t xml:space="preserve"> Créé des </w:t>
      </w:r>
      <w:proofErr w:type="spellStart"/>
      <w:r>
        <w:t>personna</w:t>
      </w:r>
      <w:proofErr w:type="spellEnd"/>
      <w:r>
        <w:t xml:space="preserve"> afin de </w:t>
      </w:r>
      <w:r w:rsidR="00E9095C">
        <w:t>protéger</w:t>
      </w:r>
      <w:r>
        <w:t xml:space="preserve"> son identité véritable </w:t>
      </w:r>
      <w:r w:rsidR="00E9095C">
        <w:br/>
      </w:r>
    </w:p>
    <w:p w14:paraId="162EBD63" w14:textId="1AB6BCED" w:rsidR="00E9095C" w:rsidRPr="007F322C" w:rsidRDefault="00E9095C" w:rsidP="006930DC">
      <w:pPr>
        <w:pStyle w:val="ListParagraph"/>
        <w:numPr>
          <w:ilvl w:val="0"/>
          <w:numId w:val="1"/>
        </w:numPr>
        <w:rPr>
          <w:b/>
          <w:bCs/>
        </w:rPr>
      </w:pPr>
      <w:r>
        <w:t xml:space="preserve">C’est toujours possible de faire de l’OSINT complètement gratuitement, bien que les meilleurs outils soient généralement payant, il est toujours possible d’improvisé, (Ex : </w:t>
      </w:r>
      <w:r w:rsidR="00317E8F">
        <w:t>Utiliser</w:t>
      </w:r>
      <w:r>
        <w:t xml:space="preserve"> Excel ou draw.io à la place de Maltego)</w:t>
      </w:r>
    </w:p>
    <w:p w14:paraId="667B76FC" w14:textId="418E7C0E" w:rsidR="00B83F2E" w:rsidRDefault="00B83F2E">
      <w:pPr>
        <w:rPr>
          <w:b/>
          <w:bCs/>
          <w:sz w:val="40"/>
          <w:szCs w:val="40"/>
          <w:u w:val="single"/>
        </w:rPr>
      </w:pPr>
      <w:r w:rsidRPr="00B83F2E">
        <w:rPr>
          <w:b/>
          <w:bCs/>
          <w:sz w:val="40"/>
          <w:szCs w:val="40"/>
          <w:u w:val="single"/>
        </w:rPr>
        <w:t>Tools :</w:t>
      </w:r>
    </w:p>
    <w:p w14:paraId="4CB2E880" w14:textId="00E76523" w:rsidR="00B83F2E" w:rsidRPr="00B83F2E" w:rsidRDefault="00B11AB0" w:rsidP="00B83F2E">
      <w:pPr>
        <w:pStyle w:val="ListParagraph"/>
        <w:numPr>
          <w:ilvl w:val="0"/>
          <w:numId w:val="2"/>
        </w:numPr>
      </w:pPr>
      <w:r>
        <w:t xml:space="preserve">Etherscan.io </w:t>
      </w:r>
    </w:p>
    <w:sectPr w:rsidR="00B83F2E" w:rsidRPr="00B83F2E" w:rsidSect="0020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D906A9"/>
    <w:multiLevelType w:val="hybridMultilevel"/>
    <w:tmpl w:val="52E0E5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7985385E"/>
    <w:multiLevelType w:val="hybridMultilevel"/>
    <w:tmpl w:val="2E44494E"/>
    <w:lvl w:ilvl="0" w:tplc="9A9CFE52">
      <w:start w:val="1"/>
      <w:numFmt w:val="decimal"/>
      <w:lvlText w:val="%1."/>
      <w:lvlJc w:val="left"/>
      <w:pPr>
        <w:ind w:left="720" w:hanging="360"/>
      </w:pPr>
      <w:rPr>
        <w:b w:val="0"/>
        <w:bCs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471821426">
    <w:abstractNumId w:val="1"/>
  </w:num>
  <w:num w:numId="2" w16cid:durableId="19188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2E"/>
    <w:rsid w:val="00095D28"/>
    <w:rsid w:val="000E0497"/>
    <w:rsid w:val="000E1BB5"/>
    <w:rsid w:val="000E7B24"/>
    <w:rsid w:val="0014528B"/>
    <w:rsid w:val="001940A5"/>
    <w:rsid w:val="00206973"/>
    <w:rsid w:val="00221E82"/>
    <w:rsid w:val="00264542"/>
    <w:rsid w:val="00317E8F"/>
    <w:rsid w:val="00354942"/>
    <w:rsid w:val="003C54D9"/>
    <w:rsid w:val="005B128A"/>
    <w:rsid w:val="006277F1"/>
    <w:rsid w:val="00646872"/>
    <w:rsid w:val="006930DC"/>
    <w:rsid w:val="00701FD4"/>
    <w:rsid w:val="00705E7C"/>
    <w:rsid w:val="00787270"/>
    <w:rsid w:val="007D230C"/>
    <w:rsid w:val="007F322C"/>
    <w:rsid w:val="008142CF"/>
    <w:rsid w:val="00840FB9"/>
    <w:rsid w:val="00856555"/>
    <w:rsid w:val="00905F6D"/>
    <w:rsid w:val="00A436FF"/>
    <w:rsid w:val="00B0342F"/>
    <w:rsid w:val="00B11AB0"/>
    <w:rsid w:val="00B83F2E"/>
    <w:rsid w:val="00C826F0"/>
    <w:rsid w:val="00CE3A3B"/>
    <w:rsid w:val="00CE53DA"/>
    <w:rsid w:val="00D25D8A"/>
    <w:rsid w:val="00D56BD2"/>
    <w:rsid w:val="00D63BB6"/>
    <w:rsid w:val="00D76F91"/>
    <w:rsid w:val="00D84C25"/>
    <w:rsid w:val="00DD7E7D"/>
    <w:rsid w:val="00DE282C"/>
    <w:rsid w:val="00DE6BAA"/>
    <w:rsid w:val="00E86E5E"/>
    <w:rsid w:val="00E9095C"/>
    <w:rsid w:val="00F77B15"/>
    <w:rsid w:val="00FE07F3"/>
    <w:rsid w:val="00FF6A17"/>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7C86"/>
  <w15:chartTrackingRefBased/>
  <w15:docId w15:val="{A1AC31A6-3433-4F22-A120-9668370A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Heading1">
    <w:name w:val="heading 1"/>
    <w:basedOn w:val="Normal"/>
    <w:next w:val="Normal"/>
    <w:link w:val="Heading1Char"/>
    <w:uiPriority w:val="9"/>
    <w:qFormat/>
    <w:rsid w:val="00B83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F2E"/>
    <w:rPr>
      <w:rFonts w:asciiTheme="majorHAnsi" w:eastAsiaTheme="majorEastAsia" w:hAnsiTheme="majorHAnsi" w:cstheme="majorBidi"/>
      <w:color w:val="0F4761" w:themeColor="accent1" w:themeShade="BF"/>
      <w:sz w:val="40"/>
      <w:szCs w:val="40"/>
      <w:lang w:val="fr-BE"/>
    </w:rPr>
  </w:style>
  <w:style w:type="character" w:customStyle="1" w:styleId="Heading2Char">
    <w:name w:val="Heading 2 Char"/>
    <w:basedOn w:val="DefaultParagraphFont"/>
    <w:link w:val="Heading2"/>
    <w:uiPriority w:val="9"/>
    <w:semiHidden/>
    <w:rsid w:val="00B83F2E"/>
    <w:rPr>
      <w:rFonts w:asciiTheme="majorHAnsi" w:eastAsiaTheme="majorEastAsia" w:hAnsiTheme="majorHAnsi" w:cstheme="majorBidi"/>
      <w:color w:val="0F4761" w:themeColor="accent1" w:themeShade="BF"/>
      <w:sz w:val="32"/>
      <w:szCs w:val="32"/>
      <w:lang w:val="fr-BE"/>
    </w:rPr>
  </w:style>
  <w:style w:type="character" w:customStyle="1" w:styleId="Heading3Char">
    <w:name w:val="Heading 3 Char"/>
    <w:basedOn w:val="DefaultParagraphFont"/>
    <w:link w:val="Heading3"/>
    <w:uiPriority w:val="9"/>
    <w:semiHidden/>
    <w:rsid w:val="00B83F2E"/>
    <w:rPr>
      <w:rFonts w:eastAsiaTheme="majorEastAsia" w:cstheme="majorBidi"/>
      <w:color w:val="0F4761" w:themeColor="accent1" w:themeShade="BF"/>
      <w:sz w:val="28"/>
      <w:szCs w:val="28"/>
      <w:lang w:val="fr-BE"/>
    </w:rPr>
  </w:style>
  <w:style w:type="character" w:customStyle="1" w:styleId="Heading4Char">
    <w:name w:val="Heading 4 Char"/>
    <w:basedOn w:val="DefaultParagraphFont"/>
    <w:link w:val="Heading4"/>
    <w:uiPriority w:val="9"/>
    <w:semiHidden/>
    <w:rsid w:val="00B83F2E"/>
    <w:rPr>
      <w:rFonts w:eastAsiaTheme="majorEastAsia" w:cstheme="majorBidi"/>
      <w:i/>
      <w:iCs/>
      <w:color w:val="0F4761" w:themeColor="accent1" w:themeShade="BF"/>
      <w:lang w:val="fr-BE"/>
    </w:rPr>
  </w:style>
  <w:style w:type="character" w:customStyle="1" w:styleId="Heading5Char">
    <w:name w:val="Heading 5 Char"/>
    <w:basedOn w:val="DefaultParagraphFont"/>
    <w:link w:val="Heading5"/>
    <w:uiPriority w:val="9"/>
    <w:semiHidden/>
    <w:rsid w:val="00B83F2E"/>
    <w:rPr>
      <w:rFonts w:eastAsiaTheme="majorEastAsia" w:cstheme="majorBidi"/>
      <w:color w:val="0F4761" w:themeColor="accent1" w:themeShade="BF"/>
      <w:lang w:val="fr-BE"/>
    </w:rPr>
  </w:style>
  <w:style w:type="character" w:customStyle="1" w:styleId="Heading6Char">
    <w:name w:val="Heading 6 Char"/>
    <w:basedOn w:val="DefaultParagraphFont"/>
    <w:link w:val="Heading6"/>
    <w:uiPriority w:val="9"/>
    <w:semiHidden/>
    <w:rsid w:val="00B83F2E"/>
    <w:rPr>
      <w:rFonts w:eastAsiaTheme="majorEastAsia" w:cstheme="majorBidi"/>
      <w:i/>
      <w:iCs/>
      <w:color w:val="595959" w:themeColor="text1" w:themeTint="A6"/>
      <w:lang w:val="fr-BE"/>
    </w:rPr>
  </w:style>
  <w:style w:type="character" w:customStyle="1" w:styleId="Heading7Char">
    <w:name w:val="Heading 7 Char"/>
    <w:basedOn w:val="DefaultParagraphFont"/>
    <w:link w:val="Heading7"/>
    <w:uiPriority w:val="9"/>
    <w:semiHidden/>
    <w:rsid w:val="00B83F2E"/>
    <w:rPr>
      <w:rFonts w:eastAsiaTheme="majorEastAsia" w:cstheme="majorBidi"/>
      <w:color w:val="595959" w:themeColor="text1" w:themeTint="A6"/>
      <w:lang w:val="fr-BE"/>
    </w:rPr>
  </w:style>
  <w:style w:type="character" w:customStyle="1" w:styleId="Heading8Char">
    <w:name w:val="Heading 8 Char"/>
    <w:basedOn w:val="DefaultParagraphFont"/>
    <w:link w:val="Heading8"/>
    <w:uiPriority w:val="9"/>
    <w:semiHidden/>
    <w:rsid w:val="00B83F2E"/>
    <w:rPr>
      <w:rFonts w:eastAsiaTheme="majorEastAsia" w:cstheme="majorBidi"/>
      <w:i/>
      <w:iCs/>
      <w:color w:val="272727" w:themeColor="text1" w:themeTint="D8"/>
      <w:lang w:val="fr-BE"/>
    </w:rPr>
  </w:style>
  <w:style w:type="character" w:customStyle="1" w:styleId="Heading9Char">
    <w:name w:val="Heading 9 Char"/>
    <w:basedOn w:val="DefaultParagraphFont"/>
    <w:link w:val="Heading9"/>
    <w:uiPriority w:val="9"/>
    <w:semiHidden/>
    <w:rsid w:val="00B83F2E"/>
    <w:rPr>
      <w:rFonts w:eastAsiaTheme="majorEastAsia" w:cstheme="majorBidi"/>
      <w:color w:val="272727" w:themeColor="text1" w:themeTint="D8"/>
      <w:lang w:val="fr-BE"/>
    </w:rPr>
  </w:style>
  <w:style w:type="paragraph" w:styleId="Title">
    <w:name w:val="Title"/>
    <w:basedOn w:val="Normal"/>
    <w:next w:val="Normal"/>
    <w:link w:val="TitleChar"/>
    <w:uiPriority w:val="10"/>
    <w:qFormat/>
    <w:rsid w:val="00B83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F2E"/>
    <w:rPr>
      <w:rFonts w:asciiTheme="majorHAnsi" w:eastAsiaTheme="majorEastAsia" w:hAnsiTheme="majorHAnsi" w:cstheme="majorBidi"/>
      <w:spacing w:val="-10"/>
      <w:kern w:val="28"/>
      <w:sz w:val="56"/>
      <w:szCs w:val="56"/>
      <w:lang w:val="fr-BE"/>
    </w:rPr>
  </w:style>
  <w:style w:type="paragraph" w:styleId="Subtitle">
    <w:name w:val="Subtitle"/>
    <w:basedOn w:val="Normal"/>
    <w:next w:val="Normal"/>
    <w:link w:val="SubtitleChar"/>
    <w:uiPriority w:val="11"/>
    <w:qFormat/>
    <w:rsid w:val="00B83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F2E"/>
    <w:rPr>
      <w:rFonts w:eastAsiaTheme="majorEastAsia" w:cstheme="majorBidi"/>
      <w:color w:val="595959" w:themeColor="text1" w:themeTint="A6"/>
      <w:spacing w:val="15"/>
      <w:sz w:val="28"/>
      <w:szCs w:val="28"/>
      <w:lang w:val="fr-BE"/>
    </w:rPr>
  </w:style>
  <w:style w:type="paragraph" w:styleId="Quote">
    <w:name w:val="Quote"/>
    <w:basedOn w:val="Normal"/>
    <w:next w:val="Normal"/>
    <w:link w:val="QuoteChar"/>
    <w:uiPriority w:val="29"/>
    <w:qFormat/>
    <w:rsid w:val="00B83F2E"/>
    <w:pPr>
      <w:spacing w:before="160"/>
      <w:jc w:val="center"/>
    </w:pPr>
    <w:rPr>
      <w:i/>
      <w:iCs/>
      <w:color w:val="404040" w:themeColor="text1" w:themeTint="BF"/>
    </w:rPr>
  </w:style>
  <w:style w:type="character" w:customStyle="1" w:styleId="QuoteChar">
    <w:name w:val="Quote Char"/>
    <w:basedOn w:val="DefaultParagraphFont"/>
    <w:link w:val="Quote"/>
    <w:uiPriority w:val="29"/>
    <w:rsid w:val="00B83F2E"/>
    <w:rPr>
      <w:i/>
      <w:iCs/>
      <w:color w:val="404040" w:themeColor="text1" w:themeTint="BF"/>
      <w:lang w:val="fr-BE"/>
    </w:rPr>
  </w:style>
  <w:style w:type="paragraph" w:styleId="ListParagraph">
    <w:name w:val="List Paragraph"/>
    <w:basedOn w:val="Normal"/>
    <w:uiPriority w:val="34"/>
    <w:qFormat/>
    <w:rsid w:val="00B83F2E"/>
    <w:pPr>
      <w:ind w:left="720"/>
      <w:contextualSpacing/>
    </w:pPr>
  </w:style>
  <w:style w:type="character" w:styleId="IntenseEmphasis">
    <w:name w:val="Intense Emphasis"/>
    <w:basedOn w:val="DefaultParagraphFont"/>
    <w:uiPriority w:val="21"/>
    <w:qFormat/>
    <w:rsid w:val="00B83F2E"/>
    <w:rPr>
      <w:i/>
      <w:iCs/>
      <w:color w:val="0F4761" w:themeColor="accent1" w:themeShade="BF"/>
    </w:rPr>
  </w:style>
  <w:style w:type="paragraph" w:styleId="IntenseQuote">
    <w:name w:val="Intense Quote"/>
    <w:basedOn w:val="Normal"/>
    <w:next w:val="Normal"/>
    <w:link w:val="IntenseQuoteChar"/>
    <w:uiPriority w:val="30"/>
    <w:qFormat/>
    <w:rsid w:val="00B83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F2E"/>
    <w:rPr>
      <w:i/>
      <w:iCs/>
      <w:color w:val="0F4761" w:themeColor="accent1" w:themeShade="BF"/>
      <w:lang w:val="fr-BE"/>
    </w:rPr>
  </w:style>
  <w:style w:type="character" w:styleId="IntenseReference">
    <w:name w:val="Intense Reference"/>
    <w:basedOn w:val="DefaultParagraphFont"/>
    <w:uiPriority w:val="32"/>
    <w:qFormat/>
    <w:rsid w:val="00B83F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D8B19127A82146A7120BFA6046DAA8" ma:contentTypeVersion="4" ma:contentTypeDescription="Create a new document." ma:contentTypeScope="" ma:versionID="630839e95494b36d9c9c7a6e4e3a9bc6">
  <xsd:schema xmlns:xsd="http://www.w3.org/2001/XMLSchema" xmlns:xs="http://www.w3.org/2001/XMLSchema" xmlns:p="http://schemas.microsoft.com/office/2006/metadata/properties" xmlns:ns3="876f5075-4483-4b01-8be1-df521901397e" targetNamespace="http://schemas.microsoft.com/office/2006/metadata/properties" ma:root="true" ma:fieldsID="6943821be2d278c894c54bae5b9dc3da" ns3:_="">
    <xsd:import namespace="876f5075-4483-4b01-8be1-df521901397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f5075-4483-4b01-8be1-df5219013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289206-296A-4D15-B83A-194534F55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f5075-4483-4b01-8be1-df52190139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2F5C8B-FCD7-455E-A555-74D6BFD71B20}">
  <ds:schemaRefs>
    <ds:schemaRef ds:uri="http://schemas.microsoft.com/sharepoint/v3/contenttype/forms"/>
  </ds:schemaRefs>
</ds:datastoreItem>
</file>

<file path=customXml/itemProps3.xml><?xml version="1.0" encoding="utf-8"?>
<ds:datastoreItem xmlns:ds="http://schemas.openxmlformats.org/officeDocument/2006/customXml" ds:itemID="{EAE0C8AD-7227-45F2-AB3A-CFEB1DED20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663</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Lefevre Maxime</dc:creator>
  <cp:keywords/>
  <dc:description/>
  <cp:lastModifiedBy>Lefevre Maxime</cp:lastModifiedBy>
  <cp:revision>27</cp:revision>
  <dcterms:created xsi:type="dcterms:W3CDTF">2025-10-24T07:10:00Z</dcterms:created>
  <dcterms:modified xsi:type="dcterms:W3CDTF">2025-10-24T10:25:00Z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0x010100CAD8B19127A82146A7120BFA6046DAA8</vt:lpwstr>
  </property>
</Properties>
</file>