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COVID Risk Perceptions Effects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Does the person who has higher COVID Risk Perceptions within a pair also tend to perceive more support for vaccinations in their social environment and/or tend to support vaccination for themselves? Study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8"/>
        <w:gridCol w:w="1352"/>
        <w:gridCol w:w="1352"/>
        <w:gridCol w:w="1878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Odds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neighbors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city</w:t>
            </w:r>
          </w:p>
        </w:tc>
      </w:tr>
      <w:tr>
        <w:trPr>
          <w:cantSplit/>
          <w:trHeight w:val="5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state</w:t>
            </w:r>
          </w:p>
        </w:tc>
      </w:tr>
      <w:tr>
        <w:trPr>
          <w:cantSplit/>
          <w:trHeight w:val="59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own_intentions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Entries are odds of the person with higher COVID risk perceptions within a pair having the higher value on the variable (perceptions or intentions). Analysis restricted to pairs that differ on both COVID risk perceptions and value of the other-perceptions or own-intentions variable.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2021-09-24T09:25:21Z</dcterms:modified>
  <cp:category/>
</cp:coreProperties>
</file>