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Balance Table for Study 1 and Study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996"/>
        <w:gridCol w:w="1080"/>
        <w:gridCol w:w="1080"/>
      </w:tblGrid>
      <w:tr>
        <w:trPr>
          <w:cantSplit/>
          <w:trHeight w:val="47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Study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Study 2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 In Govt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 Subjective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4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 In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Lib/Con Ideology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Family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Religiosity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Covid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COVID Subjective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 Knowledge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Pair-adjusted standardized differences in means for continuous or ordinary covariates or proportions for binary covariates for both study 1 and study 2. Study 1 N = 890. Study 2 N = 996.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2021-09-20T09:27:43Z</dcterms:modified>
  <cp:category/>
</cp:coreProperties>
</file>