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COVID vaxrisk_inv Perceptions Effects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Does the person who has lower Vaccine Risk Perceptions within a pair also tend to perceive more support for vaccinations in their social environment and/or tend to support vaccination for themselves? Study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8"/>
        <w:gridCol w:w="1352"/>
        <w:gridCol w:w="1352"/>
        <w:gridCol w:w="1878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Odds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neighbors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city</w:t>
            </w:r>
          </w:p>
        </w:tc>
      </w:tr>
      <w:tr>
        <w:trPr>
          <w:cantSplit/>
          <w:trHeight w:val="5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state</w:t>
            </w:r>
          </w:p>
        </w:tc>
      </w:tr>
      <w:tr>
        <w:trPr>
          <w:cantSplit/>
          <w:trHeight w:val="59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own_intentions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Entries are odds of the person with lower Vaccination Risk perceptions within a pair having the higher value on the variable (perceptions or intentions). Analysis restricted to pairs that differ on both Vaccine Risk perceptions and value of the other-perceptions or own-intentions variable.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2022-03-19T16:28:53Z</dcterms:modified>
  <cp:category/>
</cp:coreProperties>
</file>