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 Perceptions Effects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Vaccine Risk Perceptions within a pair also tend to perceive more support for vaccinations in their social environment and/or tend to support vaccination for themselves?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2022-03-18T16:55:12Z</dcterms:modified>
  <cp:category/>
</cp:coreProperties>
</file>