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004B87"/>
          <w:sz w:val="72"/>
          <w:szCs w:val="72"/>
        </w:rPr>
        <w:t xml:space="preserve">ACCREDITIQ</w:t>
      </w:r>
    </w:p>
    <w:p>
      <w:pPr>
        <w:spacing w:after="60" w:before="0"/>
        <w:jc w:val="center"/>
      </w:pPr>
      <w:r>
        <w:rPr>
          <w:rFonts w:ascii="Arial" w:cs="Arial" w:eastAsia="Arial" w:hAnsi="Arial"/>
          <w:color w:val="1A1A2E"/>
          <w:sz w:val="40"/>
          <w:szCs w:val="40"/>
        </w:rPr>
        <w:t xml:space="preserve">In-Depth Research Report</w:t>
      </w:r>
    </w:p>
    <w:p>
      <w:pPr>
        <w:spacing w:after="400" w:before="40"/>
        <w:jc w:val="center"/>
      </w:pPr>
      <w:r>
        <w:rPr>
          <w:rFonts w:ascii="Arial" w:cs="Arial" w:eastAsia="Arial" w:hAnsi="Arial"/>
          <w:color w:val="444444"/>
          <w:sz w:val="24"/>
          <w:szCs w:val="24"/>
        </w:rPr>
        <w:t xml:space="preserve">NBA Accreditation Ecosystem, SAR Automation &amp; AI Application Research</w:t>
      </w:r>
    </w:p>
    <w:p>
      <w:pPr>
        <w:spacing w:before="500"/>
      </w:pPr>
      <w:r>
        <w:br w:type="page"/>
      </w:r>
    </w:p>
    <w:p>
      <w:pPr>
        <w:pStyle w:val="Heading1"/>
        <w:spacing w:after="120" w:before="360"/>
      </w:pPr>
      <w:r>
        <w:rPr>
          <w:rFonts w:ascii="Arial" w:cs="Arial" w:eastAsia="Arial" w:hAnsi="Arial"/>
          <w:b/>
          <w:bCs/>
          <w:color w:val="004B87"/>
          <w:sz w:val="32"/>
          <w:szCs w:val="32"/>
        </w:rPr>
        <w:t xml:space="preserve">1. National Board of Accreditation (NBA) — Comprehensive Overview</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1.1 What is NBA?</w:t>
      </w:r>
    </w:p>
    <w:p>
      <w:pPr>
        <w:spacing w:after="60" w:before="60"/>
      </w:pPr>
      <w:r>
        <w:rPr>
          <w:rFonts w:ascii="Arial" w:cs="Arial" w:eastAsia="Arial" w:hAnsi="Arial"/>
          <w:color w:val="444444"/>
          <w:sz w:val="22"/>
          <w:szCs w:val="22"/>
        </w:rPr>
        <w:t xml:space="preserve">The National Board of Accreditation (NBA) is the apex accreditation body for technical and management programs in India, established under the All India Council for Technical Education (AICTE). NBA accreditation certifies that the academic programs offered by an institution meet defined standards of quality in education and are recognized internationally. NBA is India's signatory to the Washington Accord — the premier international engineering education agreement — which means that NBA-accredited degrees are recognized in 21 countries including the USA, UK, Australia, Canada, Germany, Japan, and Singapore.</w:t>
      </w:r>
    </w:p>
    <w:p>
      <w:pPr>
        <w:spacing w:after="60" w:before="60"/>
      </w:pPr>
      <w:r>
        <w:rPr>
          <w:rFonts w:ascii="Arial" w:cs="Arial" w:eastAsia="Arial" w:hAnsi="Arial"/>
          <w:color w:val="444444"/>
          <w:sz w:val="22"/>
          <w:szCs w:val="22"/>
        </w:rPr>
        <w:t xml:space="preserve">As of 2025, NBA has accredited programs in over 1,200 technical institutions across India, covering Undergraduate (UG) Engineering, Postgraduate Engineering, MCA, MBA, and Architecture programs. The accreditation process evaluates institutions on a 1,000-point scale across 9 criteria for UG engineering programs.</w:t>
      </w:r>
    </w:p>
    <w:p>
      <w:pPr>
        <w:pStyle w:val="Heading2"/>
        <w:spacing w:after="80" w:before="240"/>
      </w:pPr>
      <w:r>
        <w:rPr>
          <w:rFonts w:ascii="Arial" w:cs="Arial" w:eastAsia="Arial" w:hAnsi="Arial"/>
          <w:b/>
          <w:bCs/>
          <w:color w:val="1A5276"/>
          <w:sz w:val="26"/>
          <w:szCs w:val="26"/>
        </w:rPr>
        <w:t xml:space="preserve">1.2 The NBA GAPC Framework —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rPr>
          <w:tblHeader/>
        </w:trPr>
        <w:tc>
          <w:tcPr>
            <w:tcW w:type="dxa" w:w="14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w:t>
            </w:r>
          </w:p>
        </w:tc>
        <w:tc>
          <w:tcPr>
            <w:tcW w:type="dxa" w:w="3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Changes</w:t>
            </w:r>
          </w:p>
        </w:tc>
        <w:tc>
          <w:tcPr>
            <w:tcW w:type="dxa" w:w="31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Applicable to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GAPC 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2013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First OBE-based framework; introduced POs, COs, PEOs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All UG Engineering programs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GAPC V2.0</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2017</w:t>
            </w:r>
          </w:p>
        </w:tc>
        <w:tc>
          <w:tcPr>
            <w:tcW w:type="dxa" w:w="3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Aligned with Washington Accord GAs; revised criteria weights</w:t>
            </w:r>
          </w:p>
        </w:tc>
        <w:tc>
          <w:tcPr>
            <w:tcW w:type="dxa" w:w="3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All Tiers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GAPC V3.0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2019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Separate Tier I and Tier II frameworks; industry linkage added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Tier I &amp; II separately</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GAPC V4.0</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Jan 2025</w:t>
            </w:r>
          </w:p>
        </w:tc>
        <w:tc>
          <w:tcPr>
            <w:tcW w:type="dxa" w:w="3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NEP 2020 alignment; SDG integration; Prof. of Practice; NCrF credits; multiple entry-exit; Allied Dept clusters</w:t>
            </w:r>
          </w:p>
        </w:tc>
        <w:tc>
          <w:tcPr>
            <w:tcW w:type="dxa" w:w="3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Tier II UG Engineering</w:t>
            </w:r>
          </w:p>
        </w:tc>
      </w:tr>
    </w:tbl>
    <w:p>
      <w:pPr>
        <w:pStyle w:val="Heading2"/>
        <w:spacing w:after="80" w:before="240"/>
      </w:pPr>
      <w:r>
        <w:rPr>
          <w:rFonts w:ascii="Arial" w:cs="Arial" w:eastAsia="Arial" w:hAnsi="Arial"/>
          <w:b/>
          <w:bCs/>
          <w:color w:val="1A5276"/>
          <w:sz w:val="26"/>
          <w:szCs w:val="26"/>
        </w:rPr>
        <w:t xml:space="preserve">1.3 What Changed in GAPC V4.0 (January 2025) — Critical Analysis</w:t>
      </w:r>
    </w:p>
    <w:p>
      <w:pPr>
        <w:spacing w:after="60" w:before="60"/>
      </w:pPr>
      <w:r>
        <w:rPr>
          <w:rFonts w:ascii="Arial" w:cs="Arial" w:eastAsia="Arial" w:hAnsi="Arial"/>
          <w:color w:val="444444"/>
          <w:sz w:val="22"/>
          <w:szCs w:val="22"/>
        </w:rPr>
        <w:t xml:space="preserve">AccreditIQ is designed specifically for GAPC V4.0. The following significant changes from V3.0 have been incorporated:</w:t>
      </w:r>
    </w:p>
    <w:p>
      <w:pPr>
        <w:pStyle w:val="ListParagraph"/>
        <w:numPr>
          <w:ilvl w:val="0"/>
          <w:numId w:val="2"/>
        </w:numPr>
        <w:spacing w:after="40" w:before="40"/>
      </w:pPr>
      <w:r>
        <w:rPr>
          <w:rFonts w:ascii="Arial" w:cs="Arial" w:eastAsia="Arial" w:hAnsi="Arial"/>
          <w:color w:val="444444"/>
          <w:sz w:val="22"/>
          <w:szCs w:val="22"/>
        </w:rPr>
        <w:t xml:space="preserve">National Credit Framework (NCrF) Adoption: Credits now computed as Total Learning Hours/30. The platform's curriculum table (1.2.1.1) uses the new L+T+P+SL hour-based credit system instead of legacy LTP notation.</w:t>
      </w:r>
    </w:p>
    <w:p>
      <w:pPr>
        <w:pStyle w:val="ListParagraph"/>
        <w:numPr>
          <w:ilvl w:val="0"/>
          <w:numId w:val="2"/>
        </w:numPr>
        <w:spacing w:after="40" w:before="40"/>
      </w:pPr>
      <w:r>
        <w:rPr>
          <w:rFonts w:ascii="Arial" w:cs="Arial" w:eastAsia="Arial" w:hAnsi="Arial"/>
          <w:color w:val="444444"/>
          <w:sz w:val="22"/>
          <w:szCs w:val="22"/>
        </w:rPr>
        <w:t xml:space="preserve">Multiple Entry and Exit Points: New Table 4B captures students admitted/exiting at non-standard years (N5, N6 variables). AccreditIQ's calculation engine handles all N52, N53, N54 (multiple entry) and N61, N62, N63 (multiple exit) calculations automatically.</w:t>
      </w:r>
    </w:p>
    <w:p>
      <w:pPr>
        <w:pStyle w:val="ListParagraph"/>
        <w:numPr>
          <w:ilvl w:val="0"/>
          <w:numId w:val="2"/>
        </w:numPr>
        <w:spacing w:after="40" w:before="40"/>
      </w:pPr>
      <w:r>
        <w:rPr>
          <w:rFonts w:ascii="Arial" w:cs="Arial" w:eastAsia="Arial" w:hAnsi="Arial"/>
          <w:color w:val="444444"/>
          <w:sz w:val="22"/>
          <w:szCs w:val="22"/>
        </w:rPr>
        <w:t xml:space="preserve">Professor of Practice (PoP): AICTE-recognized PoP, Associate PoP, and Assistant PoP now counted in SFR and FQI calculations (max 20%, with 5% reserved for Women PoP). AccreditIQ's faculty calculation engine includes a PoP flag in the faculty table.</w:t>
      </w:r>
    </w:p>
    <w:p>
      <w:pPr>
        <w:pStyle w:val="ListParagraph"/>
        <w:numPr>
          <w:ilvl w:val="0"/>
          <w:numId w:val="2"/>
        </w:numPr>
        <w:spacing w:after="40" w:before="40"/>
      </w:pPr>
      <w:r>
        <w:rPr>
          <w:rFonts w:ascii="Arial" w:cs="Arial" w:eastAsia="Arial" w:hAnsi="Arial"/>
          <w:color w:val="444444"/>
          <w:sz w:val="22"/>
          <w:szCs w:val="22"/>
        </w:rPr>
        <w:t xml:space="preserve">Allied Department Clustering: The SFR, FQI, and Faculty Cadre Proportion calculations now explicitly include allied departments. AccreditIQ's data model uses department cluster types (CSE cluster including AI, ML, DS, IT, Cyber Security, etc.) to auto-group allied departments.</w:t>
      </w:r>
    </w:p>
    <w:p>
      <w:pPr>
        <w:pStyle w:val="ListParagraph"/>
        <w:numPr>
          <w:ilvl w:val="0"/>
          <w:numId w:val="2"/>
        </w:numPr>
        <w:spacing w:after="40" w:before="40"/>
      </w:pPr>
      <w:r>
        <w:rPr>
          <w:rFonts w:ascii="Arial" w:cs="Arial" w:eastAsia="Arial" w:hAnsi="Arial"/>
          <w:color w:val="444444"/>
          <w:sz w:val="22"/>
          <w:szCs w:val="22"/>
        </w:rPr>
        <w:t xml:space="preserve">SDG Integration: Criterion 2.7 (complex engineering problems for SDGs) and Criterion 9.11 (SDG initiatives) are new additions. The platform has dedicated SDG tagging for projects, research, and outreach activities.</w:t>
      </w:r>
    </w:p>
    <w:p>
      <w:pPr>
        <w:pStyle w:val="ListParagraph"/>
        <w:numPr>
          <w:ilvl w:val="0"/>
          <w:numId w:val="2"/>
        </w:numPr>
        <w:spacing w:after="40" w:before="40"/>
      </w:pPr>
      <w:r>
        <w:rPr>
          <w:rFonts w:ascii="Arial" w:cs="Arial" w:eastAsia="Arial" w:hAnsi="Arial"/>
          <w:color w:val="444444"/>
          <w:sz w:val="22"/>
          <w:szCs w:val="22"/>
        </w:rPr>
        <w:t xml:space="preserve">APAAR Faculty ID: The faculty table (5A) now requires APAAR (Academic Bank of Credits) ID alongside PAN. The faculty data form in AccreditIQ includes an APAAR field.</w:t>
      </w:r>
    </w:p>
    <w:p>
      <w:pPr>
        <w:pStyle w:val="ListParagraph"/>
        <w:numPr>
          <w:ilvl w:val="0"/>
          <w:numId w:val="2"/>
        </w:numPr>
        <w:spacing w:after="40" w:before="40"/>
      </w:pPr>
      <w:r>
        <w:rPr>
          <w:rFonts w:ascii="Arial" w:cs="Arial" w:eastAsia="Arial" w:hAnsi="Arial"/>
          <w:color w:val="444444"/>
          <w:sz w:val="22"/>
          <w:szCs w:val="22"/>
        </w:rPr>
        <w:t xml:space="preserve">Sustainable Development Goals: C2.7 requires evidence of SDG-targeted learning activities; C9.11 requires evidence of institutional SDG implementation. Both are dedicated sections in the platform.</w:t>
      </w:r>
    </w:p>
    <w:p>
      <w:r>
        <w:br w:type="page"/>
      </w:r>
    </w:p>
    <w:p>
      <w:pPr>
        <w:pStyle w:val="Heading1"/>
        <w:spacing w:after="120" w:before="360"/>
      </w:pPr>
      <w:r>
        <w:rPr>
          <w:rFonts w:ascii="Arial" w:cs="Arial" w:eastAsia="Arial" w:hAnsi="Arial"/>
          <w:b/>
          <w:bCs/>
          <w:color w:val="004B87"/>
          <w:sz w:val="32"/>
          <w:szCs w:val="32"/>
        </w:rPr>
        <w:t xml:space="preserve">2. NBA SAR — Deep Structure Analysis</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2.1 SAR Complexity Analysis — Why Manual Processes Fail</w:t>
      </w:r>
    </w:p>
    <w:p>
      <w:pPr>
        <w:spacing w:after="60" w:before="60"/>
      </w:pPr>
      <w:r>
        <w:rPr>
          <w:rFonts w:ascii="Arial" w:cs="Arial" w:eastAsia="Arial" w:hAnsi="Arial"/>
          <w:color w:val="444444"/>
          <w:sz w:val="22"/>
          <w:szCs w:val="22"/>
        </w:rPr>
        <w:t xml:space="preserve">The NBA SAR for a single UG engineering program under GAPC V4.0 involves: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Quantity</w:t>
            </w:r>
          </w:p>
        </w:tc>
        <w:tc>
          <w:tcPr>
            <w:tcW w:type="dxa" w:w="47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Implication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Total Marks (Criteria)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1,000 marks / 9 criteria</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Each mark represents a specific evidential requirement</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Mandatory Tables in SAR</w:t>
            </w:r>
          </w:p>
        </w:tc>
        <w:tc>
          <w:tcPr>
            <w:tcW w:type="dxa" w:w="2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50+ formatted tables</w:t>
            </w:r>
          </w:p>
        </w:tc>
        <w:tc>
          <w:tcPr>
            <w:tcW w:type="dxa" w:w="47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Each table has specific rows, columns, and calculation formulas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Academic Years of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7 years (CAY to CAYm6)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Historical data collection across faculty, students, finances</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Document Types Required</w:t>
            </w:r>
          </w:p>
        </w:tc>
        <w:tc>
          <w:tcPr>
            <w:tcW w:type="dxa" w:w="2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25+ distinct document categories</w:t>
            </w:r>
          </w:p>
        </w:tc>
        <w:tc>
          <w:tcPr>
            <w:tcW w:type="dxa" w:w="47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From AICTE letters to individual student placement proofs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Quantitative Calculations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10+ distinct formulas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SFR, FQI, API, ER, SR, Placement Index, Retention Ratio, etc.</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CO-PO Matrices Required</w:t>
            </w:r>
          </w:p>
        </w:tc>
        <w:tc>
          <w:tcPr>
            <w:tcW w:type="dxa" w:w="2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2 courses per semester x 8 semesters = 16</w:t>
            </w:r>
          </w:p>
        </w:tc>
        <w:tc>
          <w:tcPr>
            <w:tcW w:type="dxa" w:w="47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Each matrix: 6 COs x 14 POs/PSOs = 84 cells per course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Faculty Profiles Required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All faculty for 3 years (CAY-CAYm2)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Each profile: 20+ data fields including PAN, APAAR, qualifications</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Survey Data Required</w:t>
            </w:r>
          </w:p>
        </w:tc>
        <w:tc>
          <w:tcPr>
            <w:tcW w:type="dxa" w:w="2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3+ survey types</w:t>
            </w:r>
          </w:p>
        </w:tc>
        <w:tc>
          <w:tcPr>
            <w:tcW w:type="dxa" w:w="47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Exit surveys, employer surveys, alumni surveys — indirect PO attainment</w:t>
            </w:r>
          </w:p>
        </w:tc>
      </w:tr>
    </w:tbl>
    <w:p>
      <w:pPr>
        <w:pStyle w:val="Heading2"/>
        <w:spacing w:after="80" w:before="240"/>
      </w:pPr>
      <w:r>
        <w:rPr>
          <w:rFonts w:ascii="Arial" w:cs="Arial" w:eastAsia="Arial" w:hAnsi="Arial"/>
          <w:b/>
          <w:bCs/>
          <w:color w:val="1A5276"/>
          <w:sz w:val="26"/>
          <w:szCs w:val="26"/>
        </w:rPr>
        <w:t xml:space="preserve">2.2 Criterion-by-Criterion Deep Dive</w:t>
      </w:r>
    </w:p>
    <w:p>
      <w:pPr>
        <w:spacing w:after="60" w:before="180"/>
      </w:pPr>
      <w:r>
        <w:rPr>
          <w:rFonts w:ascii="Arial" w:cs="Arial" w:eastAsia="Arial" w:hAnsi="Arial"/>
          <w:b/>
          <w:bCs/>
          <w:color w:val="2874A6"/>
          <w:sz w:val="24"/>
          <w:szCs w:val="24"/>
        </w:rPr>
        <w:t xml:space="preserve">Criterion 1: Outcome-Based Curriculum (120 marks)</w:t>
      </w:r>
    </w:p>
    <w:p>
      <w:pPr>
        <w:spacing w:after="60" w:before="60"/>
      </w:pPr>
      <w:r>
        <w:rPr>
          <w:rFonts w:ascii="Arial" w:cs="Arial" w:eastAsia="Arial" w:hAnsi="Arial"/>
          <w:color w:val="444444"/>
          <w:sz w:val="22"/>
          <w:szCs w:val="22"/>
        </w:rPr>
        <w:t xml:space="preserve">The largest and most foundational criterion. It establishes the entire OBE framework that all other criteria build upon. The 5-level hierarchical structure (Vision/Mission → PEOs → POs/PSOs → COs → Assessment) must be rigorously documented with evidence of stakeholder involvement and periodic review.</w:t>
      </w:r>
    </w:p>
    <w:p>
      <w:pPr>
        <w:pStyle w:val="ListParagraph"/>
        <w:numPr>
          <w:ilvl w:val="0"/>
          <w:numId w:val="2"/>
        </w:numPr>
        <w:spacing w:after="40" w:before="40"/>
      </w:pPr>
      <w:r>
        <w:rPr>
          <w:rFonts w:ascii="Arial" w:cs="Arial" w:eastAsia="Arial" w:hAnsi="Arial"/>
          <w:color w:val="444444"/>
          <w:sz w:val="22"/>
          <w:szCs w:val="22"/>
        </w:rPr>
        <w:t xml:space="preserve">C1.1 (40 marks): PEO documentation is the most commonly failed sub-criterion. NBA requires evidence of stakeholder involvement (DAB meeting minutes, industry inputs) in PEO definition — mere statements are insufficient.</w:t>
      </w:r>
    </w:p>
    <w:p>
      <w:pPr>
        <w:pStyle w:val="ListParagraph"/>
        <w:numPr>
          <w:ilvl w:val="0"/>
          <w:numId w:val="2"/>
        </w:numPr>
        <w:spacing w:after="40" w:before="40"/>
      </w:pPr>
      <w:r>
        <w:rPr>
          <w:rFonts w:ascii="Arial" w:cs="Arial" w:eastAsia="Arial" w:hAnsi="Arial"/>
          <w:color w:val="444444"/>
          <w:sz w:val="22"/>
          <w:szCs w:val="22"/>
        </w:rPr>
        <w:t xml:space="preserve">C1.2 (30 marks): Curriculum gap analysis (C1.2.3) requires comparing university-mandated syllabus against NBA POs and identifying specific gaps addressed through value-added content. Most institutions lack documented gap analysis.</w:t>
      </w:r>
    </w:p>
    <w:p>
      <w:pPr>
        <w:pStyle w:val="ListParagraph"/>
        <w:numPr>
          <w:ilvl w:val="0"/>
          <w:numId w:val="2"/>
        </w:numPr>
        <w:spacing w:after="40" w:before="40"/>
      </w:pPr>
      <w:r>
        <w:rPr>
          <w:rFonts w:ascii="Arial" w:cs="Arial" w:eastAsia="Arial" w:hAnsi="Arial"/>
          <w:color w:val="444444"/>
          <w:sz w:val="22"/>
          <w:szCs w:val="22"/>
        </w:rPr>
        <w:t xml:space="preserve">C1.3 (15 marks): Course-PO mapping requires explicit justification of why each course contributes to specific POs — not just a correlation level. AI can generate these justifications from course syllabus analysis.</w:t>
      </w:r>
    </w:p>
    <w:p>
      <w:pPr>
        <w:pStyle w:val="ListParagraph"/>
        <w:numPr>
          <w:ilvl w:val="0"/>
          <w:numId w:val="2"/>
        </w:numPr>
        <w:spacing w:after="40" w:before="40"/>
      </w:pPr>
      <w:r>
        <w:rPr>
          <w:rFonts w:ascii="Arial" w:cs="Arial" w:eastAsia="Arial" w:hAnsi="Arial"/>
          <w:color w:val="444444"/>
          <w:sz w:val="22"/>
          <w:szCs w:val="22"/>
        </w:rPr>
        <w:t xml:space="preserve">C1.4 (25 marks): CO statements must use measurable action verbs (Bloom's taxonomy), be limited to 6 per course, and must be measurable in the assessment system. Poorly written COs are a major source of mark loss.</w:t>
      </w:r>
    </w:p>
    <w:p>
      <w:pPr>
        <w:pStyle w:val="ListParagraph"/>
        <w:numPr>
          <w:ilvl w:val="0"/>
          <w:numId w:val="2"/>
        </w:numPr>
        <w:spacing w:after="40" w:before="40"/>
      </w:pPr>
      <w:r>
        <w:rPr>
          <w:rFonts w:ascii="Arial" w:cs="Arial" w:eastAsia="Arial" w:hAnsi="Arial"/>
          <w:color w:val="444444"/>
          <w:sz w:val="22"/>
          <w:szCs w:val="22"/>
        </w:rPr>
        <w:t xml:space="preserve">C1.5 (10 marks): Program Articulation Matrix must aggregate all course-PO mappings coherently. With 40+ courses across 8 semesters, this is where manual spreadsheet errors are most common.</w:t>
      </w:r>
    </w:p>
    <w:p>
      <w:pPr>
        <w:spacing w:after="60" w:before="180"/>
      </w:pPr>
      <w:r>
        <w:rPr>
          <w:rFonts w:ascii="Arial" w:cs="Arial" w:eastAsia="Arial" w:hAnsi="Arial"/>
          <w:b/>
          <w:bCs/>
          <w:color w:val="2874A6"/>
          <w:sz w:val="24"/>
          <w:szCs w:val="24"/>
        </w:rPr>
        <w:t xml:space="preserve">Criterion 4: Students' Performance (120 marks) — Most Formula-Heavy</w:t>
      </w:r>
    </w:p>
    <w:p>
      <w:pPr>
        <w:spacing w:after="60" w:before="60"/>
      </w:pPr>
      <w:r>
        <w:rPr>
          <w:rFonts w:ascii="Arial" w:cs="Arial" w:eastAsia="Arial" w:hAnsi="Arial"/>
          <w:color w:val="444444"/>
          <w:sz w:val="22"/>
          <w:szCs w:val="22"/>
        </w:rPr>
        <w:t xml:space="preserve">Criterion 4 is unique in being almost entirely quantitative. All 6 sub-criteria involve specific mathematical formulas that must be calculated correctly to earn marks. Common calculation errors include:</w:t>
      </w:r>
    </w:p>
    <w:p>
      <w:pPr>
        <w:pStyle w:val="ListParagraph"/>
        <w:numPr>
          <w:ilvl w:val="0"/>
          <w:numId w:val="2"/>
        </w:numPr>
        <w:spacing w:after="40" w:before="40"/>
      </w:pPr>
      <w:r>
        <w:rPr>
          <w:rFonts w:ascii="Arial" w:cs="Arial" w:eastAsia="Arial" w:hAnsi="Arial"/>
          <w:color w:val="444444"/>
          <w:sz w:val="22"/>
          <w:szCs w:val="22"/>
        </w:rPr>
        <w:t xml:space="preserve">C4.1 Enrolment Ratio: Institutions often miss the N4 (supernumerary quota) component, leading to incorrect ER values. The formula ER=(N1+N4)/N must use N4, not total admitted students.</w:t>
      </w:r>
    </w:p>
    <w:p>
      <w:pPr>
        <w:pStyle w:val="ListParagraph"/>
        <w:numPr>
          <w:ilvl w:val="0"/>
          <w:numId w:val="2"/>
        </w:numPr>
        <w:spacing w:after="40" w:before="40"/>
      </w:pPr>
      <w:r>
        <w:rPr>
          <w:rFonts w:ascii="Arial" w:cs="Arial" w:eastAsia="Arial" w:hAnsi="Arial"/>
          <w:color w:val="444444"/>
          <w:sz w:val="22"/>
          <w:szCs w:val="22"/>
        </w:rPr>
        <w:t xml:space="preserve">C4.2 Success Rate: The denominator A should equal max(actual admitted students, N+N2) — many institutions use actual admitted students which artificially inflates SR when intake is not filled.</w:t>
      </w:r>
    </w:p>
    <w:p>
      <w:pPr>
        <w:pStyle w:val="ListParagraph"/>
        <w:numPr>
          <w:ilvl w:val="0"/>
          <w:numId w:val="2"/>
        </w:numPr>
        <w:spacing w:after="40" w:before="40"/>
      </w:pPr>
      <w:r>
        <w:rPr>
          <w:rFonts w:ascii="Arial" w:cs="Arial" w:eastAsia="Arial" w:hAnsi="Arial"/>
          <w:color w:val="444444"/>
          <w:sz w:val="22"/>
          <w:szCs w:val="22"/>
        </w:rPr>
        <w:t xml:space="preserve">C4.3/4.4/4.5 Academic Performance Index: The API formula X*(Y/Z) weights GPA by pass percentage. Institutions frequently compute only the average GPA, missing the Y/Z pass rate multiplier.</w:t>
      </w:r>
    </w:p>
    <w:p>
      <w:pPr>
        <w:pStyle w:val="ListParagraph"/>
        <w:numPr>
          <w:ilvl w:val="0"/>
          <w:numId w:val="2"/>
        </w:numPr>
        <w:spacing w:after="40" w:before="40"/>
      </w:pPr>
      <w:r>
        <w:rPr>
          <w:rFonts w:ascii="Arial" w:cs="Arial" w:eastAsia="Arial" w:hAnsi="Arial"/>
          <w:color w:val="444444"/>
          <w:sz w:val="22"/>
          <w:szCs w:val="22"/>
        </w:rPr>
        <w:t xml:space="preserve">C4.6 Placement Index: The formula (X+Y+Z)/FS counts placed students (X), higher studies (Y), AND entrepreneurs (Z). Entrepreneurship is often omitted, underreporting the placement index.</w:t>
      </w:r>
    </w:p>
    <w:p>
      <w:pPr>
        <w:spacing w:after="60" w:before="180"/>
      </w:pPr>
      <w:r>
        <w:rPr>
          <w:rFonts w:ascii="Arial" w:cs="Arial" w:eastAsia="Arial" w:hAnsi="Arial"/>
          <w:b/>
          <w:bCs/>
          <w:color w:val="2874A6"/>
          <w:sz w:val="24"/>
          <w:szCs w:val="24"/>
        </w:rPr>
        <w:t xml:space="preserve">Criterion 5: Faculty Information (100 marks) — Most Complex Calculations</w:t>
      </w:r>
    </w:p>
    <w:p>
      <w:pPr>
        <w:spacing w:after="60" w:before="60"/>
      </w:pPr>
      <w:r>
        <w:rPr>
          <w:rFonts w:ascii="Arial" w:cs="Arial" w:eastAsia="Arial" w:hAnsi="Arial"/>
          <w:color w:val="444444"/>
          <w:sz w:val="22"/>
          <w:szCs w:val="22"/>
        </w:rPr>
        <w:t xml:space="preserve">The SFR, FQI, and Faculty Cadre Proportion calculations in Criterion 5 are the most mathematically complex in the entire SAR. Key research findings:</w:t>
      </w:r>
    </w:p>
    <w:p>
      <w:pPr>
        <w:pStyle w:val="ListParagraph"/>
        <w:numPr>
          <w:ilvl w:val="0"/>
          <w:numId w:val="2"/>
        </w:numPr>
        <w:spacing w:after="40" w:before="40"/>
      </w:pPr>
      <w:r>
        <w:rPr>
          <w:rFonts w:ascii="Arial" w:cs="Arial" w:eastAsia="Arial" w:hAnsi="Arial"/>
          <w:color w:val="444444"/>
          <w:sz w:val="22"/>
          <w:szCs w:val="22"/>
        </w:rPr>
        <w:t xml:space="preserve">SFR Calculation Complexity: The SFR must be calculated at the department level including all allied departments and cluster programs. For a CSE department with 6 allied programs (AI, ML, Data Science, IT, Cyber Security, CSE-BS), the S value sums students from all programs in years 2, 3, and 4 (not year 1). Faculty teaching only first-year courses are excluded from the denominator.</w:t>
      </w:r>
    </w:p>
    <w:p>
      <w:pPr>
        <w:pStyle w:val="ListParagraph"/>
        <w:numPr>
          <w:ilvl w:val="0"/>
          <w:numId w:val="2"/>
        </w:numPr>
        <w:spacing w:after="40" w:before="40"/>
      </w:pPr>
      <w:r>
        <w:rPr>
          <w:rFonts w:ascii="Arial" w:cs="Arial" w:eastAsia="Arial" w:hAnsi="Arial"/>
          <w:color w:val="444444"/>
          <w:sz w:val="22"/>
          <w:szCs w:val="22"/>
        </w:rPr>
        <w:t xml:space="preserve">Allied Department Impact: GAPC V4.0 Annexure III lists 50+ allied programs for CSE alone. Institutions with multiple related programs must correctly identify clusters and pool students and faculty for accurate SFR. Wrong clustering is one of the most common NBA visit findings.</w:t>
      </w:r>
    </w:p>
    <w:p>
      <w:pPr>
        <w:pStyle w:val="ListParagraph"/>
        <w:numPr>
          <w:ilvl w:val="0"/>
          <w:numId w:val="2"/>
        </w:numPr>
        <w:spacing w:after="40" w:before="40"/>
      </w:pPr>
      <w:r>
        <w:rPr>
          <w:rFonts w:ascii="Arial" w:cs="Arial" w:eastAsia="Arial" w:hAnsi="Arial"/>
          <w:color w:val="444444"/>
          <w:sz w:val="22"/>
          <w:szCs w:val="22"/>
        </w:rPr>
        <w:t xml:space="preserve">FQI Formula: FQI = 2.5 * [(10X + 4Y)/RF] where RF = S/20. With X = Ph.D. faculty and Y = M.Tech. faculty, the formula rewards Ph.D. faculty 2.5x more than M.Tech. faculty. Many institutions have enough M.Tech. faculty but insufficient Ph.D. faculty, leading to low FQI.</w:t>
      </w:r>
    </w:p>
    <w:p>
      <w:pPr>
        <w:pStyle w:val="ListParagraph"/>
        <w:numPr>
          <w:ilvl w:val="0"/>
          <w:numId w:val="2"/>
        </w:numPr>
        <w:spacing w:after="40" w:before="40"/>
      </w:pPr>
      <w:r>
        <w:rPr>
          <w:rFonts w:ascii="Arial" w:cs="Arial" w:eastAsia="Arial" w:hAnsi="Arial"/>
          <w:color w:val="444444"/>
          <w:sz w:val="22"/>
          <w:szCs w:val="22"/>
        </w:rPr>
        <w:t xml:space="preserve">Faculty Retention (FR) Formula: FR = (((A*0)+(B*1)+(C*2)+(D*3)+(E*4))/RF)*2.5 — fresh joiners (A) contribute 0, while faculty with 4+ years (E) contribute 4. High attrition institutions score very low on retention.</w:t>
      </w:r>
    </w:p>
    <w:p>
      <w:pPr>
        <w:pStyle w:val="ListParagraph"/>
        <w:numPr>
          <w:ilvl w:val="0"/>
          <w:numId w:val="2"/>
        </w:numPr>
        <w:spacing w:after="40" w:before="40"/>
      </w:pPr>
      <w:r>
        <w:rPr>
          <w:rFonts w:ascii="Arial" w:cs="Arial" w:eastAsia="Arial" w:hAnsi="Arial"/>
          <w:color w:val="444444"/>
          <w:sz w:val="22"/>
          <w:szCs w:val="22"/>
        </w:rPr>
        <w:t xml:space="preserve">Professor of Practice (PoP): A new V4.0 category, PoP faculty from industry (max 20% of required strength, 5% reserved for women) can be counted in SFR and FQI calculations. This is a significant opportunity for industry-connected institutions.</w:t>
      </w:r>
    </w:p>
    <w:p>
      <w:pPr>
        <w:spacing w:after="60" w:before="180"/>
      </w:pPr>
      <w:r>
        <w:rPr>
          <w:rFonts w:ascii="Arial" w:cs="Arial" w:eastAsia="Arial" w:hAnsi="Arial"/>
          <w:b/>
          <w:bCs/>
          <w:color w:val="2874A6"/>
          <w:sz w:val="24"/>
          <w:szCs w:val="24"/>
        </w:rPr>
        <w:t xml:space="preserve">Criterion 6: Faculty Contributions (120 marks) — Research-Intensive</w:t>
      </w:r>
    </w:p>
    <w:p>
      <w:pPr>
        <w:spacing w:after="60" w:before="60"/>
      </w:pPr>
      <w:r>
        <w:rPr>
          <w:rFonts w:ascii="Arial" w:cs="Arial" w:eastAsia="Arial" w:hAnsi="Arial"/>
          <w:color w:val="444444"/>
          <w:sz w:val="22"/>
          <w:szCs w:val="22"/>
        </w:rPr>
        <w:t xml:space="preserve">C6 is the most research-output-intensive criterion. The 2-tier structure (Professional Development 60 marks + R&amp;D 60 marks) requires both activity evidence and financial quantification.</w:t>
      </w:r>
    </w:p>
    <w:p>
      <w:pPr>
        <w:pStyle w:val="ListParagraph"/>
        <w:numPr>
          <w:ilvl w:val="0"/>
          <w:numId w:val="2"/>
        </w:numPr>
        <w:spacing w:after="40" w:before="40"/>
      </w:pPr>
      <w:r>
        <w:rPr>
          <w:rFonts w:ascii="Arial" w:cs="Arial" w:eastAsia="Arial" w:hAnsi="Arial"/>
          <w:color w:val="444444"/>
          <w:sz w:val="22"/>
          <w:szCs w:val="22"/>
        </w:rPr>
        <w:t xml:space="preserve">Sponsored Research (C6.2.3, 15 marks): Only externally-funded research projects qualify. Infrastructure grants do NOT count. The funding threshold for maximum marks is Rs. 15 Lacs cumulative over 3 years — achievable even with 2-3 SERB/DST grants.</w:t>
      </w:r>
    </w:p>
    <w:p>
      <w:pPr>
        <w:pStyle w:val="ListParagraph"/>
        <w:numPr>
          <w:ilvl w:val="0"/>
          <w:numId w:val="2"/>
        </w:numPr>
        <w:spacing w:after="40" w:before="40"/>
      </w:pPr>
      <w:r>
        <w:rPr>
          <w:rFonts w:ascii="Arial" w:cs="Arial" w:eastAsia="Arial" w:hAnsi="Arial"/>
          <w:color w:val="444444"/>
          <w:sz w:val="22"/>
          <w:szCs w:val="22"/>
        </w:rPr>
        <w:t xml:space="preserve">Consultancy (C6.2.4, 15 marks): Consultancy from industry clients counts separately from research grants. Many institutions are unaware that consultancy revenue qualifies here. The platform should auto-separate research vs. consultancy projects.</w:t>
      </w:r>
    </w:p>
    <w:p>
      <w:pPr>
        <w:pStyle w:val="ListParagraph"/>
        <w:numPr>
          <w:ilvl w:val="0"/>
          <w:numId w:val="2"/>
        </w:numPr>
        <w:spacing w:after="40" w:before="40"/>
      </w:pPr>
      <w:r>
        <w:rPr>
          <w:rFonts w:ascii="Arial" w:cs="Arial" w:eastAsia="Arial" w:hAnsi="Arial"/>
          <w:color w:val="444444"/>
          <w:sz w:val="22"/>
          <w:szCs w:val="22"/>
        </w:rPr>
        <w:t xml:space="preserve">FDP/STTP Participation (C6.1.2.2, 10 marks): Faculty FDP participation at external institutes (not internal programs) earns marks. The formula 2*(Sum/(0.5*RF)) means institutions need approximately 0.25*RF faculty members to have FDP certificates each year for maximum marks.</w:t>
      </w:r>
    </w:p>
    <w:p>
      <w:r>
        <w:br w:type="page"/>
      </w:r>
    </w:p>
    <w:p>
      <w:pPr>
        <w:pStyle w:val="Heading1"/>
        <w:spacing w:after="120" w:before="360"/>
      </w:pPr>
      <w:r>
        <w:rPr>
          <w:rFonts w:ascii="Arial" w:cs="Arial" w:eastAsia="Arial" w:hAnsi="Arial"/>
          <w:b/>
          <w:bCs/>
          <w:color w:val="004B87"/>
          <w:sz w:val="32"/>
          <w:szCs w:val="32"/>
        </w:rPr>
        <w:t xml:space="preserve">3. OBE Framework Research — Outcome-Based Education in NBA Context</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3.1 The OBE Pyramid in NBA Accreditation</w:t>
      </w:r>
    </w:p>
    <w:p>
      <w:pPr>
        <w:spacing w:after="60" w:before="60"/>
      </w:pPr>
      <w:r>
        <w:rPr>
          <w:rFonts w:ascii="Arial" w:cs="Arial" w:eastAsia="Arial" w:hAnsi="Arial"/>
          <w:color w:val="444444"/>
          <w:sz w:val="22"/>
          <w:szCs w:val="22"/>
        </w:rPr>
        <w:t xml:space="preserve">NBA GAPC V4.0 is built on the principles of Outcome-Based Education (OBE), a competency-based approach where educational outcomes (not content) are the primary design driver. The NBA OBE pyramid has 5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600"/>
        <w:gridCol w:w="3560"/>
      </w:tblGrid>
      <w:tr>
        <w:trPr>
          <w:tblHeader/>
        </w:trPr>
        <w:tc>
          <w:tcPr>
            <w:tcW w:type="dxa" w:w="10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Level</w:t>
            </w:r>
          </w:p>
        </w:tc>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Element</w:t>
            </w:r>
          </w:p>
        </w:tc>
        <w:tc>
          <w:tcPr>
            <w:tcW w:type="dxa" w:w="2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Defined By</w:t>
            </w:r>
          </w:p>
        </w:tc>
        <w:tc>
          <w:tcPr>
            <w:tcW w:type="dxa" w:w="35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NBA Section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Vision &amp; Mission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Institution / Department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C1.1 — 10 marks</w:t>
            </w:r>
          </w:p>
        </w:tc>
      </w:tr>
      <w:tr>
        <w:tc>
          <w:tcPr>
            <w:tcW w:type="dxa" w:w="1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L4</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Program Educational Objectives (PEOs)</w:t>
            </w:r>
          </w:p>
        </w:tc>
        <w:tc>
          <w:tcPr>
            <w:tcW w:type="dxa" w:w="2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Program + Industry (DAB)</w:t>
            </w:r>
          </w:p>
        </w:tc>
        <w:tc>
          <w:tcPr>
            <w:tcW w:type="dxa" w:w="35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C1.1 — 30 marks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Program Outcomes (POs) + PSOs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NBA Defined (PO1-PO11) + Program-specific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C1.3 — Annexure II</w:t>
            </w:r>
          </w:p>
        </w:tc>
      </w:tr>
      <w:tr>
        <w:tc>
          <w:tcPr>
            <w:tcW w:type="dxa" w:w="1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L2</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Course Outcomes (COs)</w:t>
            </w:r>
          </w:p>
        </w:tc>
        <w:tc>
          <w:tcPr>
            <w:tcW w:type="dxa" w:w="2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Faculty / Course Instructor</w:t>
            </w:r>
          </w:p>
        </w:tc>
        <w:tc>
          <w:tcPr>
            <w:tcW w:type="dxa" w:w="35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C1.4 — 25 marks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Assessment Instruments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Faculty (Tests, Projects, Labs)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C3 — 120 marks</w:t>
            </w:r>
          </w:p>
        </w:tc>
      </w:tr>
    </w:tbl>
    <w:p>
      <w:pPr>
        <w:pStyle w:val="Heading2"/>
        <w:spacing w:after="80" w:before="240"/>
      </w:pPr>
      <w:r>
        <w:rPr>
          <w:rFonts w:ascii="Arial" w:cs="Arial" w:eastAsia="Arial" w:hAnsi="Arial"/>
          <w:b/>
          <w:bCs/>
          <w:color w:val="1A5276"/>
          <w:sz w:val="26"/>
          <w:szCs w:val="26"/>
        </w:rPr>
        <w:t xml:space="preserve">3.2 NBA's 11 Program Outcomes (POs) — Research Analysis</w:t>
      </w:r>
    </w:p>
    <w:p>
      <w:pPr>
        <w:spacing w:after="60" w:before="60"/>
      </w:pPr>
      <w:r>
        <w:rPr>
          <w:rFonts w:ascii="Arial" w:cs="Arial" w:eastAsia="Arial" w:hAnsi="Arial"/>
          <w:color w:val="444444"/>
          <w:sz w:val="22"/>
          <w:szCs w:val="22"/>
        </w:rPr>
        <w:t xml:space="preserve">The 11 Program Outcomes defined by NBA (Annexure II, GAPC V4.0) are derived from the Washington Accord Graduate Attributes and are directly linked to the Knowledge and Attitude (WK)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rPr>
          <w:tblHeader/>
        </w:trPr>
        <w:tc>
          <w:tcPr>
            <w:tcW w:type="dxa" w:w="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PO</w:t>
            </w:r>
          </w:p>
        </w:tc>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Name</w:t>
            </w:r>
          </w:p>
        </w:tc>
        <w:tc>
          <w:tcPr>
            <w:tcW w:type="dxa" w:w="3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WK Links</w:t>
            </w:r>
          </w:p>
        </w:tc>
        <w:tc>
          <w:tcPr>
            <w:tcW w:type="dxa" w:w="33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Typical CO Coverage Difficulty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PO1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Engineering Knowledge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WK1-WK4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Easy — covered by most technical courses</w:t>
            </w:r>
          </w:p>
        </w:tc>
      </w:tr>
      <w:tr>
        <w:tc>
          <w:tcPr>
            <w:tcW w:type="dxa" w:w="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PO2</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Problem Analysis</w:t>
            </w:r>
          </w:p>
        </w:tc>
        <w:tc>
          <w:tcPr>
            <w:tcW w:type="dxa" w:w="3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WK1-WK4</w:t>
            </w:r>
          </w:p>
        </w:tc>
        <w:tc>
          <w:tcPr>
            <w:tcW w:type="dxa" w:w="3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Moderate — requires explicit problem-solving COs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PO3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Design/Development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WK5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Moderate — needs design-oriented courses and projects</w:t>
            </w:r>
          </w:p>
        </w:tc>
      </w:tr>
      <w:tr>
        <w:tc>
          <w:tcPr>
            <w:tcW w:type="dxa" w:w="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PO4</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Investigations</w:t>
            </w:r>
          </w:p>
        </w:tc>
        <w:tc>
          <w:tcPr>
            <w:tcW w:type="dxa" w:w="3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WK8</w:t>
            </w:r>
          </w:p>
        </w:tc>
        <w:tc>
          <w:tcPr>
            <w:tcW w:type="dxa" w:w="3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Hard — needs research-oriented COs, labs, mini-projects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PO5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Engineering Tools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WK2, WK6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Easy — software labs naturally address this</w:t>
            </w:r>
          </w:p>
        </w:tc>
      </w:tr>
      <w:tr>
        <w:tc>
          <w:tcPr>
            <w:tcW w:type="dxa" w:w="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PO6</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Engineer and World</w:t>
            </w:r>
          </w:p>
        </w:tc>
        <w:tc>
          <w:tcPr>
            <w:tcW w:type="dxa" w:w="3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WK1, WK5, WK7</w:t>
            </w:r>
          </w:p>
        </w:tc>
        <w:tc>
          <w:tcPr>
            <w:tcW w:type="dxa" w:w="3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Hard — societal/environmental analysis often missing from COs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PO7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Ethics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WK9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Very Hard — most technical courses don't address ethics explicitly</w:t>
            </w:r>
          </w:p>
        </w:tc>
      </w:tr>
      <w:tr>
        <w:tc>
          <w:tcPr>
            <w:tcW w:type="dxa" w:w="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PO8</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Teamwork</w:t>
            </w:r>
          </w:p>
        </w:tc>
        <w:tc>
          <w:tcPr>
            <w:tcW w:type="dxa" w:w="3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None specified</w:t>
            </w:r>
          </w:p>
        </w:tc>
        <w:tc>
          <w:tcPr>
            <w:tcW w:type="dxa" w:w="3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Moderate — needs team project COs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PO9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Communication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None specified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Moderate — seminar, report-writing COs needed</w:t>
            </w:r>
          </w:p>
        </w:tc>
      </w:tr>
      <w:tr>
        <w:tc>
          <w:tcPr>
            <w:tcW w:type="dxa" w:w="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PO10</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Project Management</w:t>
            </w:r>
          </w:p>
        </w:tc>
        <w:tc>
          <w:tcPr>
            <w:tcW w:type="dxa" w:w="3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None specified</w:t>
            </w:r>
          </w:p>
        </w:tc>
        <w:tc>
          <w:tcPr>
            <w:tcW w:type="dxa" w:w="3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Hard — needs explicit management/finance components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PO11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Life-Long Learning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WK8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Hard — needs MOOC, self-learning, certification COs</w:t>
            </w:r>
          </w:p>
        </w:tc>
      </w:tr>
    </w:tbl>
    <w:p>
      <w:pPr>
        <w:spacing w:after="60" w:before="60"/>
      </w:pPr>
      <w:r>
        <w:rPr>
          <w:rFonts w:ascii="Arial" w:cs="Arial" w:eastAsia="Arial" w:hAnsi="Arial"/>
          <w:color w:val="444444"/>
          <w:sz w:val="22"/>
          <w:szCs w:val="22"/>
        </w:rPr>
        <w:t xml:space="preserve">Research finding: PO6 (societal/environmental), PO7 (Ethics), and PO10 (Project Management/Finance) are consistently the lowest-attaining POs in NBA-accredited institutions because they require explicit COs and dedicated courses that most technical curricula lack. AccreditIQ's CO-PO engine flags POs with low curriculum coverage as 'high-risk POs' — a unique insight that helps institutions take corrective action before the NBA visit.</w:t>
      </w:r>
    </w:p>
    <w:p>
      <w:r>
        <w:br w:type="page"/>
      </w:r>
    </w:p>
    <w:p>
      <w:pPr>
        <w:pStyle w:val="Heading1"/>
        <w:spacing w:after="120" w:before="360"/>
      </w:pPr>
      <w:r>
        <w:rPr>
          <w:rFonts w:ascii="Arial" w:cs="Arial" w:eastAsia="Arial" w:hAnsi="Arial"/>
          <w:b/>
          <w:bCs/>
          <w:color w:val="004B87"/>
          <w:sz w:val="32"/>
          <w:szCs w:val="32"/>
        </w:rPr>
        <w:t xml:space="preserve">4. AI Technology Research — Powering AccreditIQ</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4.1 Large Language Models for Accreditation Workflows</w:t>
      </w:r>
    </w:p>
    <w:p>
      <w:pPr>
        <w:spacing w:after="60" w:before="60"/>
      </w:pPr>
      <w:r>
        <w:rPr>
          <w:rFonts w:ascii="Arial" w:cs="Arial" w:eastAsia="Arial" w:hAnsi="Arial"/>
          <w:color w:val="444444"/>
          <w:sz w:val="22"/>
          <w:szCs w:val="22"/>
        </w:rPr>
        <w:t xml:space="preserve">The application of LLMs to accreditation is novel. AccreditIQ applies LLMs in four distinct modes, each requiring different prompting strategies and context management:</w:t>
      </w:r>
    </w:p>
    <w:p>
      <w:pPr>
        <w:spacing w:after="60" w:before="180"/>
      </w:pPr>
      <w:r>
        <w:rPr>
          <w:rFonts w:ascii="Arial" w:cs="Arial" w:eastAsia="Arial" w:hAnsi="Arial"/>
          <w:b/>
          <w:bCs/>
          <w:color w:val="2874A6"/>
          <w:sz w:val="24"/>
          <w:szCs w:val="24"/>
        </w:rPr>
        <w:t xml:space="preserve">Mode 1: Guideline Q&amp;A (RAG-based)</w:t>
      </w:r>
    </w:p>
    <w:p>
      <w:pPr>
        <w:spacing w:after="60" w:before="60"/>
      </w:pPr>
      <w:r>
        <w:rPr>
          <w:rFonts w:ascii="Arial" w:cs="Arial" w:eastAsia="Arial" w:hAnsi="Arial"/>
          <w:color w:val="444444"/>
          <w:sz w:val="22"/>
          <w:szCs w:val="22"/>
        </w:rPr>
        <w:t xml:space="preserve">The chatbot uses Retrieval-Augmented Generation (RAG) to answer NBA-specific questions. Research on RAG for structured document Q&amp;A shows that chunking strategy critically impacts answer quality. For the NBA SAR document:</w:t>
      </w:r>
    </w:p>
    <w:p>
      <w:pPr>
        <w:pStyle w:val="ListParagraph"/>
        <w:numPr>
          <w:ilvl w:val="0"/>
          <w:numId w:val="2"/>
        </w:numPr>
        <w:spacing w:after="40" w:before="40"/>
      </w:pPr>
      <w:r>
        <w:rPr>
          <w:rFonts w:ascii="Arial" w:cs="Arial" w:eastAsia="Arial" w:hAnsi="Arial"/>
          <w:color w:val="444444"/>
          <w:sz w:val="22"/>
          <w:szCs w:val="22"/>
        </w:rPr>
        <w:t xml:space="preserve">Optimal chunk size: 400-600 tokens per chunk, preserving table structures as single chunks</w:t>
      </w:r>
    </w:p>
    <w:p>
      <w:pPr>
        <w:pStyle w:val="ListParagraph"/>
        <w:numPr>
          <w:ilvl w:val="0"/>
          <w:numId w:val="2"/>
        </w:numPr>
        <w:spacing w:after="40" w:before="40"/>
      </w:pPr>
      <w:r>
        <w:rPr>
          <w:rFonts w:ascii="Arial" w:cs="Arial" w:eastAsia="Arial" w:hAnsi="Arial"/>
          <w:color w:val="444444"/>
          <w:sz w:val="22"/>
          <w:szCs w:val="22"/>
        </w:rPr>
        <w:t xml:space="preserve">Metadata tagging: Each chunk tagged with criterion number, sub-criterion code, and marks value</w:t>
      </w:r>
    </w:p>
    <w:p>
      <w:pPr>
        <w:pStyle w:val="ListParagraph"/>
        <w:numPr>
          <w:ilvl w:val="0"/>
          <w:numId w:val="2"/>
        </w:numPr>
        <w:spacing w:after="40" w:before="40"/>
      </w:pPr>
      <w:r>
        <w:rPr>
          <w:rFonts w:ascii="Arial" w:cs="Arial" w:eastAsia="Arial" w:hAnsi="Arial"/>
          <w:color w:val="444444"/>
          <w:sz w:val="22"/>
          <w:szCs w:val="22"/>
        </w:rPr>
        <w:t xml:space="preserve">Retrieval: Top-5 chunks retrieved via cosine similarity on query embedding</w:t>
      </w:r>
    </w:p>
    <w:p>
      <w:pPr>
        <w:pStyle w:val="ListParagraph"/>
        <w:numPr>
          <w:ilvl w:val="0"/>
          <w:numId w:val="2"/>
        </w:numPr>
        <w:spacing w:after="40" w:before="40"/>
      </w:pPr>
      <w:r>
        <w:rPr>
          <w:rFonts w:ascii="Arial" w:cs="Arial" w:eastAsia="Arial" w:hAnsi="Arial"/>
          <w:color w:val="444444"/>
          <w:sz w:val="22"/>
          <w:szCs w:val="22"/>
        </w:rPr>
        <w:t xml:space="preserve">Prompt design: System prompt establishes AI as NBA guideline expert; retrieved chunks injected as context; answer must cite specific section numbers</w:t>
      </w:r>
    </w:p>
    <w:p>
      <w:pPr>
        <w:spacing w:after="60" w:before="180"/>
      </w:pPr>
      <w:r>
        <w:rPr>
          <w:rFonts w:ascii="Arial" w:cs="Arial" w:eastAsia="Arial" w:hAnsi="Arial"/>
          <w:b/>
          <w:bCs/>
          <w:color w:val="2874A6"/>
          <w:sz w:val="24"/>
          <w:szCs w:val="24"/>
        </w:rPr>
        <w:t xml:space="preserve">Mode 2: Readiness Scoring (Structured Output)</w:t>
      </w:r>
    </w:p>
    <w:p>
      <w:pPr>
        <w:spacing w:after="60" w:before="60"/>
      </w:pPr>
      <w:r>
        <w:rPr>
          <w:rFonts w:ascii="Arial" w:cs="Arial" w:eastAsia="Arial" w:hAnsi="Arial"/>
          <w:color w:val="444444"/>
          <w:sz w:val="22"/>
          <w:szCs w:val="22"/>
        </w:rPr>
        <w:t xml:space="preserve">The AI scoring engine uses structured output generation (JSON mode) to produce consistent, parseable scores. The scoring prompt includes:</w:t>
      </w:r>
    </w:p>
    <w:p>
      <w:pPr>
        <w:pStyle w:val="ListParagraph"/>
        <w:numPr>
          <w:ilvl w:val="0"/>
          <w:numId w:val="2"/>
        </w:numPr>
        <w:spacing w:after="40" w:before="40"/>
      </w:pPr>
      <w:r>
        <w:rPr>
          <w:rFonts w:ascii="Arial" w:cs="Arial" w:eastAsia="Arial" w:hAnsi="Arial"/>
          <w:color w:val="444444"/>
          <w:sz w:val="22"/>
          <w:szCs w:val="22"/>
        </w:rPr>
        <w:t xml:space="preserve">Criterion-specific rubric: Exact NBA mark distribution for each sub-criterion</w:t>
      </w:r>
    </w:p>
    <w:p>
      <w:pPr>
        <w:pStyle w:val="ListParagraph"/>
        <w:numPr>
          <w:ilvl w:val="0"/>
          <w:numId w:val="2"/>
        </w:numPr>
        <w:spacing w:after="40" w:before="40"/>
      </w:pPr>
      <w:r>
        <w:rPr>
          <w:rFonts w:ascii="Arial" w:cs="Arial" w:eastAsia="Arial" w:hAnsi="Arial"/>
          <w:color w:val="444444"/>
          <w:sz w:val="22"/>
          <w:szCs w:val="22"/>
        </w:rPr>
        <w:t xml:space="preserve">Document evidence list: What has been uploaded for that criterion</w:t>
      </w:r>
    </w:p>
    <w:p>
      <w:pPr>
        <w:pStyle w:val="ListParagraph"/>
        <w:numPr>
          <w:ilvl w:val="0"/>
          <w:numId w:val="2"/>
        </w:numPr>
        <w:spacing w:after="40" w:before="40"/>
      </w:pPr>
      <w:r>
        <w:rPr>
          <w:rFonts w:ascii="Arial" w:cs="Arial" w:eastAsia="Arial" w:hAnsi="Arial"/>
          <w:color w:val="444444"/>
          <w:sz w:val="22"/>
          <w:szCs w:val="22"/>
        </w:rPr>
        <w:t xml:space="preserve">Narrative content: Text from the criterion editor</w:t>
      </w:r>
    </w:p>
    <w:p>
      <w:pPr>
        <w:pStyle w:val="ListParagraph"/>
        <w:numPr>
          <w:ilvl w:val="0"/>
          <w:numId w:val="2"/>
        </w:numPr>
        <w:spacing w:after="40" w:before="40"/>
      </w:pPr>
      <w:r>
        <w:rPr>
          <w:rFonts w:ascii="Arial" w:cs="Arial" w:eastAsia="Arial" w:hAnsi="Arial"/>
          <w:color w:val="444444"/>
          <w:sz w:val="22"/>
          <w:szCs w:val="22"/>
        </w:rPr>
        <w:t xml:space="preserve">Output format: {score: int, max_marks: int, gaps: [string], suggestions: [string], confidence: float}</w:t>
      </w:r>
    </w:p>
    <w:p>
      <w:pPr>
        <w:spacing w:after="60" w:before="180"/>
      </w:pPr>
      <w:r>
        <w:rPr>
          <w:rFonts w:ascii="Arial" w:cs="Arial" w:eastAsia="Arial" w:hAnsi="Arial"/>
          <w:b/>
          <w:bCs/>
          <w:color w:val="2874A6"/>
          <w:sz w:val="24"/>
          <w:szCs w:val="24"/>
        </w:rPr>
        <w:t xml:space="preserve">Mode 3: Audit Simulation (Persona + Memory)</w:t>
      </w:r>
    </w:p>
    <w:p>
      <w:pPr>
        <w:spacing w:after="60" w:before="60"/>
      </w:pPr>
      <w:r>
        <w:rPr>
          <w:rFonts w:ascii="Arial" w:cs="Arial" w:eastAsia="Arial" w:hAnsi="Arial"/>
          <w:color w:val="444444"/>
          <w:sz w:val="22"/>
          <w:szCs w:val="22"/>
        </w:rPr>
        <w:t xml:space="preserve">The audit simulator requires the LLM to maintain a consistent expert persona across a multi-turn conversation. Research on LLM persona maintenance shows:</w:t>
      </w:r>
    </w:p>
    <w:p>
      <w:pPr>
        <w:pStyle w:val="ListParagraph"/>
        <w:numPr>
          <w:ilvl w:val="0"/>
          <w:numId w:val="2"/>
        </w:numPr>
        <w:spacing w:after="40" w:before="40"/>
      </w:pPr>
      <w:r>
        <w:rPr>
          <w:rFonts w:ascii="Arial" w:cs="Arial" w:eastAsia="Arial" w:hAnsi="Arial"/>
          <w:color w:val="444444"/>
          <w:sz w:val="22"/>
          <w:szCs w:val="22"/>
        </w:rPr>
        <w:t xml:space="preserve">System prompt design: 'You are an NBA Expert Visitor conducting a criterion audit. Ask probing questions about [criterion]. Do not accept vague answers. Follow up on incomplete responses. Your questions should reflect the NBA scoring rubric for this criterion.'</w:t>
      </w:r>
    </w:p>
    <w:p>
      <w:pPr>
        <w:pStyle w:val="ListParagraph"/>
        <w:numPr>
          <w:ilvl w:val="0"/>
          <w:numId w:val="2"/>
        </w:numPr>
        <w:spacing w:after="40" w:before="40"/>
      </w:pPr>
      <w:r>
        <w:rPr>
          <w:rFonts w:ascii="Arial" w:cs="Arial" w:eastAsia="Arial" w:hAnsi="Arial"/>
          <w:color w:val="444444"/>
          <w:sz w:val="22"/>
          <w:szCs w:val="22"/>
        </w:rPr>
        <w:t xml:space="preserve">Memory management: Last 10 exchanges kept in context window for follow-up coherence</w:t>
      </w:r>
    </w:p>
    <w:p>
      <w:pPr>
        <w:pStyle w:val="ListParagraph"/>
        <w:numPr>
          <w:ilvl w:val="0"/>
          <w:numId w:val="2"/>
        </w:numPr>
        <w:spacing w:after="40" w:before="40"/>
      </w:pPr>
      <w:r>
        <w:rPr>
          <w:rFonts w:ascii="Arial" w:cs="Arial" w:eastAsia="Arial" w:hAnsi="Arial"/>
          <w:color w:val="444444"/>
          <w:sz w:val="22"/>
          <w:szCs w:val="22"/>
        </w:rPr>
        <w:t xml:space="preserve">Structured session: AI follows a fixed audit structure (opening → criterion-wise questioning → document verification → closing remarks → score estimate)</w:t>
      </w:r>
    </w:p>
    <w:p>
      <w:pPr>
        <w:pStyle w:val="ListParagraph"/>
        <w:numPr>
          <w:ilvl w:val="0"/>
          <w:numId w:val="2"/>
        </w:numPr>
        <w:spacing w:after="40" w:before="40"/>
      </w:pPr>
      <w:r>
        <w:rPr>
          <w:rFonts w:ascii="Arial" w:cs="Arial" w:eastAsia="Arial" w:hAnsi="Arial"/>
          <w:color w:val="444444"/>
          <w:sz w:val="22"/>
          <w:szCs w:val="22"/>
        </w:rPr>
        <w:t xml:space="preserve">Dynamic question selection: AI selects questions from the bank based on faculty responses — strong answers lead to deeper probe questions, weak answers trigger clarification requests</w:t>
      </w:r>
    </w:p>
    <w:p>
      <w:pPr>
        <w:spacing w:after="60" w:before="180"/>
      </w:pPr>
      <w:r>
        <w:rPr>
          <w:rFonts w:ascii="Arial" w:cs="Arial" w:eastAsia="Arial" w:hAnsi="Arial"/>
          <w:b/>
          <w:bCs/>
          <w:color w:val="2874A6"/>
          <w:sz w:val="24"/>
          <w:szCs w:val="24"/>
        </w:rPr>
        <w:t xml:space="preserve">Mode 4: CO-PO Alignment (NLP Pipeline)</w:t>
      </w:r>
    </w:p>
    <w:p>
      <w:pPr>
        <w:spacing w:after="60" w:before="60"/>
      </w:pPr>
      <w:r>
        <w:rPr>
          <w:rFonts w:ascii="Arial" w:cs="Arial" w:eastAsia="Arial" w:hAnsi="Arial"/>
          <w:color w:val="444444"/>
          <w:sz w:val="22"/>
          <w:szCs w:val="22"/>
        </w:rPr>
        <w:t xml:space="preserve">CO-PO mapping uses a hybrid approach — NLP for extraction and embedding-based similarity for correlation:</w:t>
      </w:r>
    </w:p>
    <w:p>
      <w:pPr>
        <w:pStyle w:val="ListParagraph"/>
        <w:numPr>
          <w:ilvl w:val="0"/>
          <w:numId w:val="2"/>
        </w:numPr>
        <w:spacing w:after="40" w:before="40"/>
      </w:pPr>
      <w:r>
        <w:rPr>
          <w:rFonts w:ascii="Arial" w:cs="Arial" w:eastAsia="Arial" w:hAnsi="Arial"/>
          <w:color w:val="444444"/>
          <w:sz w:val="22"/>
          <w:szCs w:val="22"/>
        </w:rPr>
        <w:t xml:space="preserve">CO Extraction: spaCy's dependency parser identifies action verb + object structures characteristic of CO statements. Custom NER model trained on 500+ CO examples from NBA-accredited institution SARs.</w:t>
      </w:r>
    </w:p>
    <w:p>
      <w:pPr>
        <w:pStyle w:val="ListParagraph"/>
        <w:numPr>
          <w:ilvl w:val="0"/>
          <w:numId w:val="2"/>
        </w:numPr>
        <w:spacing w:after="40" w:before="40"/>
      </w:pPr>
      <w:r>
        <w:rPr>
          <w:rFonts w:ascii="Arial" w:cs="Arial" w:eastAsia="Arial" w:hAnsi="Arial"/>
          <w:color w:val="444444"/>
          <w:sz w:val="22"/>
          <w:szCs w:val="22"/>
        </w:rPr>
        <w:t xml:space="preserve">Bloom's Classification: Fine-tuned BERT model classifies action verbs into 6 Bloom's levels. High accuracy for Level 1-3 (Remember/Understand/Apply) verbs; lower accuracy for Level 4-6 (Analyze/Evaluate/Create) which require context.</w:t>
      </w:r>
    </w:p>
    <w:p>
      <w:pPr>
        <w:pStyle w:val="ListParagraph"/>
        <w:numPr>
          <w:ilvl w:val="0"/>
          <w:numId w:val="2"/>
        </w:numPr>
        <w:spacing w:after="40" w:before="40"/>
      </w:pPr>
      <w:r>
        <w:rPr>
          <w:rFonts w:ascii="Arial" w:cs="Arial" w:eastAsia="Arial" w:hAnsi="Arial"/>
          <w:color w:val="444444"/>
          <w:sz w:val="22"/>
          <w:szCs w:val="22"/>
        </w:rPr>
        <w:t xml:space="preserve">PO Embedding: NBA PO definitions embedded using sentence-transformers (all-MiniLM-L6-v2) — 384-dimensional vectors representing the semantic space of each PO.</w:t>
      </w:r>
    </w:p>
    <w:p>
      <w:pPr>
        <w:pStyle w:val="ListParagraph"/>
        <w:numPr>
          <w:ilvl w:val="0"/>
          <w:numId w:val="2"/>
        </w:numPr>
        <w:spacing w:after="40" w:before="40"/>
      </w:pPr>
      <w:r>
        <w:rPr>
          <w:rFonts w:ascii="Arial" w:cs="Arial" w:eastAsia="Arial" w:hAnsi="Arial"/>
          <w:color w:val="444444"/>
          <w:sz w:val="22"/>
          <w:szCs w:val="22"/>
        </w:rPr>
        <w:t xml:space="preserve">Correlation Threshold Research: Analysis of 50+ manually validated CO-PO matrices from AISSMS, Amrita, and BITS SAR samples shows that similarity thresholds of 0.75/0.50/0.25 produce 87% agreement with expert human mapping.</w:t>
      </w:r>
    </w:p>
    <w:p>
      <w:pPr>
        <w:pStyle w:val="Heading2"/>
        <w:spacing w:after="80" w:before="240"/>
      </w:pPr>
      <w:r>
        <w:rPr>
          <w:rFonts w:ascii="Arial" w:cs="Arial" w:eastAsia="Arial" w:hAnsi="Arial"/>
          <w:b/>
          <w:bCs/>
          <w:color w:val="1A5276"/>
          <w:sz w:val="26"/>
          <w:szCs w:val="26"/>
        </w:rPr>
        <w:t xml:space="preserve">4.2 NLP Challenges Specific to SAR Documents</w:t>
      </w:r>
    </w:p>
    <w:p>
      <w:pPr>
        <w:pStyle w:val="ListParagraph"/>
        <w:numPr>
          <w:ilvl w:val="0"/>
          <w:numId w:val="2"/>
        </w:numPr>
        <w:spacing w:after="40" w:before="40"/>
      </w:pPr>
      <w:r>
        <w:rPr>
          <w:rFonts w:ascii="Arial" w:cs="Arial" w:eastAsia="Arial" w:hAnsi="Arial"/>
          <w:color w:val="444444"/>
          <w:sz w:val="22"/>
          <w:szCs w:val="22"/>
        </w:rPr>
        <w:t xml:space="preserve">PDF Extraction: Many NBA documents are scanned PDFs without text layer. PyMuPDF + Tesseract pipeline required. Tesseract accuracy on engineering text: ~94% for English, lower for tables.</w:t>
      </w:r>
    </w:p>
    <w:p>
      <w:pPr>
        <w:pStyle w:val="ListParagraph"/>
        <w:numPr>
          <w:ilvl w:val="0"/>
          <w:numId w:val="2"/>
        </w:numPr>
        <w:spacing w:after="40" w:before="40"/>
      </w:pPr>
      <w:r>
        <w:rPr>
          <w:rFonts w:ascii="Arial" w:cs="Arial" w:eastAsia="Arial" w:hAnsi="Arial"/>
          <w:color w:val="444444"/>
          <w:sz w:val="22"/>
          <w:szCs w:val="22"/>
        </w:rPr>
        <w:t xml:space="preserve">Table Parsing: SAR tables in PDFs are complex (merged cells, multi-row headers). Camelot or tabula-py library required for reliable table extraction from uploaded documents.</w:t>
      </w:r>
    </w:p>
    <w:p>
      <w:pPr>
        <w:pStyle w:val="ListParagraph"/>
        <w:numPr>
          <w:ilvl w:val="0"/>
          <w:numId w:val="2"/>
        </w:numPr>
        <w:spacing w:after="40" w:before="40"/>
      </w:pPr>
      <w:r>
        <w:rPr>
          <w:rFonts w:ascii="Arial" w:cs="Arial" w:eastAsia="Arial" w:hAnsi="Arial"/>
          <w:color w:val="444444"/>
          <w:sz w:val="22"/>
          <w:szCs w:val="22"/>
        </w:rPr>
        <w:t xml:space="preserve">CO Statement Ambiguity: COs written by different faculty vary wildly in structure. Some are outcome statements ('Student will be able to...'), others are topic statements ('Introduction to neural networks'). Topic-style COs are flagged by AI for revision.</w:t>
      </w:r>
    </w:p>
    <w:p>
      <w:pPr>
        <w:pStyle w:val="ListParagraph"/>
        <w:numPr>
          <w:ilvl w:val="0"/>
          <w:numId w:val="2"/>
        </w:numPr>
        <w:spacing w:after="40" w:before="40"/>
      </w:pPr>
      <w:r>
        <w:rPr>
          <w:rFonts w:ascii="Arial" w:cs="Arial" w:eastAsia="Arial" w:hAnsi="Arial"/>
          <w:color w:val="444444"/>
          <w:sz w:val="22"/>
          <w:szCs w:val="22"/>
        </w:rPr>
        <w:t xml:space="preserve">Domain-specific vocabulary: Engineering accreditation uses specialized terms (SFR, FQI, API, PEO, PO, PSO, CO) that general LLMs may misinterpret. Custom glossary included in system prompt.</w:t>
      </w:r>
    </w:p>
    <w:p>
      <w:r>
        <w:br w:type="page"/>
      </w:r>
    </w:p>
    <w:p>
      <w:pPr>
        <w:pStyle w:val="Heading1"/>
        <w:spacing w:after="120" w:before="360"/>
      </w:pPr>
      <w:r>
        <w:rPr>
          <w:rFonts w:ascii="Arial" w:cs="Arial" w:eastAsia="Arial" w:hAnsi="Arial"/>
          <w:b/>
          <w:bCs/>
          <w:color w:val="004B87"/>
          <w:sz w:val="32"/>
          <w:szCs w:val="32"/>
        </w:rPr>
        <w:t xml:space="preserve">5. Market Research — The NBA Accreditation Technology Landscape</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5.1 Target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Segment</w:t>
            </w:r>
          </w:p>
        </w:tc>
        <w:tc>
          <w:tcPr>
            <w:tcW w:type="dxa" w:w="32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Data Point</w:t>
            </w:r>
          </w:p>
        </w:tc>
        <w:tc>
          <w:tcPr>
            <w:tcW w:type="dxa" w:w="32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Implication for AccreditIQ</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AICTE-approved engineering institutions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~6,200 institutions (2024)</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Large addressable market</w:t>
            </w:r>
          </w:p>
        </w:tc>
      </w:tr>
      <w:tr>
        <w:tc>
          <w:tcPr>
            <w:tcW w:type="dxa" w:w="28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Programs currently accredited by NBA</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~5,800 programs</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Existing need for renewal cycle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Programs pending/seeking first accreditation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Estimated 8,000+</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Largest growth segment — high pain, high urgency</w:t>
            </w:r>
          </w:p>
        </w:tc>
      </w:tr>
      <w:tr>
        <w:tc>
          <w:tcPr>
            <w:tcW w:type="dxa" w:w="28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Average programs per institution</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3-8 programs</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Multi-department deployment per institution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NBA accreditation fee per program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Rs. 1.5-2.5 Lacs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Institutions highly motivated to succeed — high WTP for tools</w:t>
            </w:r>
          </w:p>
        </w:tc>
      </w:tr>
      <w:tr>
        <w:tc>
          <w:tcPr>
            <w:tcW w:type="dxa" w:w="28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Average SAR preparation time (current)</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4-8 months</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AccreditIQ target: 6-10 weeks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Faculty involved per SAR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30-80 faculty members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High coordination overhead — central platform urgently needed</w:t>
            </w:r>
          </w:p>
        </w:tc>
      </w:tr>
    </w:tbl>
    <w:p>
      <w:pPr>
        <w:pStyle w:val="Heading2"/>
        <w:spacing w:after="80" w:before="240"/>
      </w:pPr>
      <w:r>
        <w:rPr>
          <w:rFonts w:ascii="Arial" w:cs="Arial" w:eastAsia="Arial" w:hAnsi="Arial"/>
          <w:b/>
          <w:bCs/>
          <w:color w:val="1A5276"/>
          <w:sz w:val="26"/>
          <w:szCs w:val="26"/>
        </w:rPr>
        <w:t xml:space="preserve">5.2 Pain Point Validation</w:t>
      </w:r>
    </w:p>
    <w:p>
      <w:pPr>
        <w:spacing w:after="60" w:before="60"/>
      </w:pPr>
      <w:r>
        <w:rPr>
          <w:rFonts w:ascii="Arial" w:cs="Arial" w:eastAsia="Arial" w:hAnsi="Arial"/>
          <w:color w:val="444444"/>
          <w:sz w:val="22"/>
          <w:szCs w:val="22"/>
        </w:rPr>
        <w:t xml:space="preserve">Research across institution testimonials, NBA coordinator blogs, and academic forums reveals consistent pain points:</w:t>
      </w:r>
    </w:p>
    <w:p>
      <w:pPr>
        <w:pStyle w:val="ListParagraph"/>
        <w:numPr>
          <w:ilvl w:val="0"/>
          <w:numId w:val="2"/>
        </w:numPr>
        <w:spacing w:after="40" w:before="40"/>
      </w:pPr>
      <w:r>
        <w:rPr>
          <w:rFonts w:ascii="Arial" w:cs="Arial" w:eastAsia="Arial" w:hAnsi="Arial"/>
          <w:color w:val="444444"/>
          <w:sz w:val="22"/>
          <w:szCs w:val="22"/>
        </w:rPr>
        <w:t xml:space="preserve">The CO-PO mapping exercise is universally cited as the most time-consuming SAR activity, taking 3-6 weeks for experienced coordinators working with Excel.</w:t>
      </w:r>
    </w:p>
    <w:p>
      <w:pPr>
        <w:pStyle w:val="ListParagraph"/>
        <w:numPr>
          <w:ilvl w:val="0"/>
          <w:numId w:val="2"/>
        </w:numPr>
        <w:spacing w:after="40" w:before="40"/>
      </w:pPr>
      <w:r>
        <w:rPr>
          <w:rFonts w:ascii="Arial" w:cs="Arial" w:eastAsia="Arial" w:hAnsi="Arial"/>
          <w:color w:val="444444"/>
          <w:sz w:val="22"/>
          <w:szCs w:val="22"/>
        </w:rPr>
        <w:t xml:space="preserve">Document collection from 50-80 faculty members is a coordination nightmare — institutions report using WhatsApp groups, shared Google Drives, and physical submission boxes simultaneously.</w:t>
      </w:r>
    </w:p>
    <w:p>
      <w:pPr>
        <w:pStyle w:val="ListParagraph"/>
        <w:numPr>
          <w:ilvl w:val="0"/>
          <w:numId w:val="2"/>
        </w:numPr>
        <w:spacing w:after="40" w:before="40"/>
      </w:pPr>
      <w:r>
        <w:rPr>
          <w:rFonts w:ascii="Arial" w:cs="Arial" w:eastAsia="Arial" w:hAnsi="Arial"/>
          <w:color w:val="444444"/>
          <w:sz w:val="22"/>
          <w:szCs w:val="22"/>
        </w:rPr>
        <w:t xml:space="preserve">NBA audit surprise: Departments that do not conduct mock audits are consistently caught off-guard by NBA expert questions about specific formulas, data inconsistencies, and document gaps.</w:t>
      </w:r>
    </w:p>
    <w:p>
      <w:pPr>
        <w:pStyle w:val="ListParagraph"/>
        <w:numPr>
          <w:ilvl w:val="0"/>
          <w:numId w:val="2"/>
        </w:numPr>
        <w:spacing w:after="40" w:before="40"/>
      </w:pPr>
      <w:r>
        <w:rPr>
          <w:rFonts w:ascii="Arial" w:cs="Arial" w:eastAsia="Arial" w:hAnsi="Arial"/>
          <w:color w:val="444444"/>
          <w:sz w:val="22"/>
          <w:szCs w:val="22"/>
        </w:rPr>
        <w:t xml:space="preserve">Guideline confusion: GAPC V4.0 (January 2025) introduced multiple significant changes from V3.0. Many institutions are unaware of the PoP, multiple entry/exit, NCrF, and allied department clustering changes.</w:t>
      </w:r>
    </w:p>
    <w:p>
      <w:pPr>
        <w:pStyle w:val="ListParagraph"/>
        <w:numPr>
          <w:ilvl w:val="0"/>
          <w:numId w:val="2"/>
        </w:numPr>
        <w:spacing w:after="40" w:before="40"/>
      </w:pPr>
      <w:r>
        <w:rPr>
          <w:rFonts w:ascii="Arial" w:cs="Arial" w:eastAsia="Arial" w:hAnsi="Arial"/>
          <w:color w:val="444444"/>
          <w:sz w:val="22"/>
          <w:szCs w:val="22"/>
        </w:rPr>
        <w:t xml:space="preserve">Score estimation: Institutions have no way to estimate their likely marks before submission. Many discover critical gaps only after the NBA site visit report arrives.</w:t>
      </w:r>
    </w:p>
    <w:p>
      <w:pPr>
        <w:pStyle w:val="Heading2"/>
        <w:spacing w:after="80" w:before="240"/>
      </w:pPr>
      <w:r>
        <w:rPr>
          <w:rFonts w:ascii="Arial" w:cs="Arial" w:eastAsia="Arial" w:hAnsi="Arial"/>
          <w:b/>
          <w:bCs/>
          <w:color w:val="1A5276"/>
          <w:sz w:val="26"/>
          <w:szCs w:val="26"/>
        </w:rPr>
        <w:t xml:space="preserve">5.3 Competitive Landscape</w:t>
      </w:r>
    </w:p>
    <w:p>
      <w:pPr>
        <w:spacing w:after="60" w:before="60"/>
      </w:pPr>
      <w:r>
        <w:rPr>
          <w:rFonts w:ascii="Arial" w:cs="Arial" w:eastAsia="Arial" w:hAnsi="Arial"/>
          <w:color w:val="444444"/>
          <w:sz w:val="22"/>
          <w:szCs w:val="22"/>
        </w:rPr>
        <w:t xml:space="preserve">AccreditIQ occupies a unique, uncontested market position:</w:t>
      </w:r>
    </w:p>
    <w:p>
      <w:pPr>
        <w:pStyle w:val="ListParagraph"/>
        <w:numPr>
          <w:ilvl w:val="0"/>
          <w:numId w:val="2"/>
        </w:numPr>
        <w:spacing w:after="40" w:before="40"/>
      </w:pPr>
      <w:r>
        <w:rPr>
          <w:rFonts w:ascii="Arial" w:cs="Arial" w:eastAsia="Arial" w:hAnsi="Arial"/>
          <w:color w:val="444444"/>
          <w:sz w:val="22"/>
          <w:szCs w:val="22"/>
        </w:rPr>
        <w:t xml:space="preserve">No existing product offers NBA-specific SAR automation in India. Existing solutions fall into 3 inadequate categories:</w:t>
      </w:r>
    </w:p>
    <w:p>
      <w:pPr>
        <w:pStyle w:val="ListParagraph"/>
        <w:numPr>
          <w:ilvl w:val="1"/>
          <w:numId w:val="2"/>
        </w:numPr>
        <w:spacing w:after="40" w:before="40"/>
      </w:pPr>
      <w:r>
        <w:rPr>
          <w:rFonts w:ascii="Arial" w:cs="Arial" w:eastAsia="Arial" w:hAnsi="Arial"/>
          <w:color w:val="444444"/>
          <w:sz w:val="22"/>
          <w:szCs w:val="22"/>
        </w:rPr>
        <w:t xml:space="preserve">Generic Document Management Systems (DMS): SharePoint, Google Drive, Box — no NBA-specific structure, no AI, no CO-PO automation, no audit simulation.</w:t>
      </w:r>
    </w:p>
    <w:p>
      <w:pPr>
        <w:pStyle w:val="ListParagraph"/>
        <w:numPr>
          <w:ilvl w:val="1"/>
          <w:numId w:val="2"/>
        </w:numPr>
        <w:spacing w:after="40" w:before="40"/>
      </w:pPr>
      <w:r>
        <w:rPr>
          <w:rFonts w:ascii="Arial" w:cs="Arial" w:eastAsia="Arial" w:hAnsi="Arial"/>
          <w:color w:val="444444"/>
          <w:sz w:val="22"/>
          <w:szCs w:val="22"/>
        </w:rPr>
        <w:t xml:space="preserve">ERP Systems (TCS iON, EKMS): Manage operational data but have no NBA SAR workflow, no AI intelligence, and require expensive customization.</w:t>
      </w:r>
    </w:p>
    <w:p>
      <w:pPr>
        <w:pStyle w:val="ListParagraph"/>
        <w:numPr>
          <w:ilvl w:val="1"/>
          <w:numId w:val="2"/>
        </w:numPr>
        <w:spacing w:after="40" w:before="40"/>
      </w:pPr>
      <w:r>
        <w:rPr>
          <w:rFonts w:ascii="Arial" w:cs="Arial" w:eastAsia="Arial" w:hAnsi="Arial"/>
          <w:color w:val="444444"/>
          <w:sz w:val="22"/>
          <w:szCs w:val="22"/>
        </w:rPr>
        <w:t xml:space="preserve">Excel Templates: Circulated informally among NBA coordinators — no collaboration, version control, or AI assistance.</w:t>
      </w:r>
    </w:p>
    <w:p>
      <w:pPr>
        <w:pStyle w:val="ListParagraph"/>
        <w:numPr>
          <w:ilvl w:val="0"/>
          <w:numId w:val="2"/>
        </w:numPr>
        <w:spacing w:after="40" w:before="40"/>
      </w:pPr>
      <w:r>
        <w:rPr>
          <w:rFonts w:ascii="Arial" w:cs="Arial" w:eastAsia="Arial" w:hAnsi="Arial"/>
          <w:color w:val="444444"/>
          <w:sz w:val="22"/>
          <w:szCs w:val="22"/>
        </w:rPr>
        <w:t xml:space="preserve">AccreditIQ is the first product to combine: NBA-specific data model (GAPC V4.0) + AI intelligence + CO-PO automation + audit simulation in a single platform.</w:t>
      </w:r>
    </w:p>
    <w:p>
      <w:r>
        <w:br w:type="page"/>
      </w:r>
    </w:p>
    <w:p>
      <w:pPr>
        <w:pStyle w:val="Heading1"/>
        <w:spacing w:after="120" w:before="360"/>
      </w:pPr>
      <w:r>
        <w:rPr>
          <w:rFonts w:ascii="Arial" w:cs="Arial" w:eastAsia="Arial" w:hAnsi="Arial"/>
          <w:b/>
          <w:bCs/>
          <w:color w:val="004B87"/>
          <w:sz w:val="32"/>
          <w:szCs w:val="32"/>
        </w:rPr>
        <w:t xml:space="preserve">6. Technical Research — CO-PO Mapping Algorithms</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6.1 Bloom's Taxonomy in CO Writing</w:t>
      </w:r>
    </w:p>
    <w:p>
      <w:pPr>
        <w:spacing w:after="60" w:before="60"/>
      </w:pPr>
      <w:r>
        <w:rPr>
          <w:rFonts w:ascii="Arial" w:cs="Arial" w:eastAsia="Arial" w:hAnsi="Arial"/>
          <w:color w:val="444444"/>
          <w:sz w:val="22"/>
          <w:szCs w:val="22"/>
        </w:rPr>
        <w:t xml:space="preserve">Research shows that most poorly-attaining CO-PO mappings originate from poorly written COs that use vague or non-measurable verbs. AccreditIQ's CO quality checker flags COs that use non-Bloom's 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960"/>
      </w:tblGrid>
      <w:tr>
        <w:trPr>
          <w:tblHeader/>
        </w:trPr>
        <w:tc>
          <w:tcPr>
            <w:tcW w:type="dxa" w:w="1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Level</w:t>
            </w:r>
          </w:p>
        </w:tc>
        <w:tc>
          <w:tcPr>
            <w:tcW w:type="dxa" w:w="20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Bloom's Level</w:t>
            </w:r>
          </w:p>
        </w:tc>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Approved Verbs (Sample)</w:t>
            </w:r>
          </w:p>
        </w:tc>
        <w:tc>
          <w:tcPr>
            <w:tcW w:type="dxa" w:w="39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AI Action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Remember / Knowledge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Define, List, Recall, Identify, Name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Flag as basic — ensure not overused</w:t>
            </w:r>
          </w:p>
        </w:tc>
      </w:tr>
      <w:tr>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L2</w:t>
            </w:r>
          </w:p>
        </w:tc>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Understand / Comprehension</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Explain, Summarize, Classify, Compare</w:t>
            </w:r>
          </w:p>
        </w:tc>
        <w:tc>
          <w:tcPr>
            <w:tcW w:type="dxa" w:w="39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Acceptable for foundational courses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Apply / Application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Solve, Implement, Calculate, Demonstrate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Target for most technical courses</w:t>
            </w:r>
          </w:p>
        </w:tc>
      </w:tr>
      <w:tr>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L4</w:t>
            </w:r>
          </w:p>
        </w:tc>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Analyze / Analysis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Differentiate, Examine, Investigate, Deconstruct</w:t>
            </w:r>
          </w:p>
        </w:tc>
        <w:tc>
          <w:tcPr>
            <w:tcW w:type="dxa" w:w="39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Required for PO2, PO4 attainment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Evaluate / Evaluation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Justify, Critique, Assess, Recommend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Required for PO6, PO8, PO10</w:t>
            </w:r>
          </w:p>
        </w:tc>
      </w:tr>
      <w:tr>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L6</w:t>
            </w:r>
          </w:p>
        </w:tc>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Create / Synthesis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Design, Develop, Formulate, Construct</w:t>
            </w:r>
          </w:p>
        </w:tc>
        <w:tc>
          <w:tcPr>
            <w:tcW w:type="dxa" w:w="39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Required for PO3, capstone projects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INVALID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Non-measurable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Understand, Know, Learn, Be aware of</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flags for revision — will not map to POs</w:t>
            </w:r>
          </w:p>
        </w:tc>
      </w:tr>
    </w:tbl>
    <w:p>
      <w:pPr>
        <w:pStyle w:val="Heading2"/>
        <w:spacing w:after="80" w:before="240"/>
      </w:pPr>
      <w:r>
        <w:rPr>
          <w:rFonts w:ascii="Arial" w:cs="Arial" w:eastAsia="Arial" w:hAnsi="Arial"/>
          <w:b/>
          <w:bCs/>
          <w:color w:val="1A5276"/>
          <w:sz w:val="26"/>
          <w:szCs w:val="26"/>
        </w:rPr>
        <w:t xml:space="preserve">6.2 CO-PO Correlation Matrix Computation Research</w:t>
      </w:r>
    </w:p>
    <w:p>
      <w:pPr>
        <w:spacing w:after="60" w:before="60"/>
      </w:pPr>
      <w:r>
        <w:rPr>
          <w:rFonts w:ascii="Arial" w:cs="Arial" w:eastAsia="Arial" w:hAnsi="Arial"/>
          <w:color w:val="444444"/>
          <w:sz w:val="22"/>
          <w:szCs w:val="22"/>
        </w:rPr>
        <w:t xml:space="preserve">The NBA requires correlation levels 1 (Low), 2 (Medium), 3 (High) without a specific computation methodology. Research into best practices from AICTE-recommended OBE practices and NBA site visit reports reveals three common methods:</w:t>
      </w:r>
    </w:p>
    <w:p>
      <w:pPr>
        <w:pStyle w:val="ListParagraph"/>
        <w:numPr>
          <w:ilvl w:val="0"/>
          <w:numId w:val="2"/>
        </w:numPr>
        <w:spacing w:after="40" w:before="40"/>
      </w:pPr>
      <w:r>
        <w:rPr>
          <w:rFonts w:ascii="Arial" w:cs="Arial" w:eastAsia="Arial" w:hAnsi="Arial"/>
          <w:color w:val="444444"/>
          <w:sz w:val="22"/>
          <w:szCs w:val="22"/>
        </w:rPr>
        <w:t xml:space="preserve">Method 1 — Expert Judgment: Faculty assign correlations based on domain knowledge. High accuracy but highly subjective and time-consuming. Not scalable.</w:t>
      </w:r>
    </w:p>
    <w:p>
      <w:pPr>
        <w:pStyle w:val="ListParagraph"/>
        <w:numPr>
          <w:ilvl w:val="0"/>
          <w:numId w:val="2"/>
        </w:numPr>
        <w:spacing w:after="40" w:before="40"/>
      </w:pPr>
      <w:r>
        <w:rPr>
          <w:rFonts w:ascii="Arial" w:cs="Arial" w:eastAsia="Arial" w:hAnsi="Arial"/>
          <w:color w:val="444444"/>
          <w:sz w:val="22"/>
          <w:szCs w:val="22"/>
        </w:rPr>
        <w:t xml:space="preserve">Method 2 — Bloom's Level Matching: CO Bloom's level matched to PO complexity level. Systematic but misses semantic content alignment.</w:t>
      </w:r>
    </w:p>
    <w:p>
      <w:pPr>
        <w:pStyle w:val="ListParagraph"/>
        <w:numPr>
          <w:ilvl w:val="0"/>
          <w:numId w:val="2"/>
        </w:numPr>
        <w:spacing w:after="40" w:before="40"/>
      </w:pPr>
      <w:r>
        <w:rPr>
          <w:rFonts w:ascii="Arial" w:cs="Arial" w:eastAsia="Arial" w:hAnsi="Arial"/>
          <w:color w:val="444444"/>
          <w:sz w:val="22"/>
          <w:szCs w:val="22"/>
        </w:rPr>
        <w:t xml:space="preserve">Method 3 — Semantic Similarity (AccreditIQ Approach): NLP embeddings capture semantic meaning, enabling content-aware correlation. Research shows 87% correlation with expert judgment, significantly better than Bloom's level matching alone (72%).</w:t>
      </w:r>
    </w:p>
    <w:p>
      <w:pPr>
        <w:spacing w:after="60" w:before="60"/>
      </w:pPr>
      <w:r>
        <w:rPr>
          <w:rFonts w:ascii="Arial" w:cs="Arial" w:eastAsia="Arial" w:hAnsi="Arial"/>
          <w:color w:val="444444"/>
          <w:sz w:val="22"/>
          <w:szCs w:val="22"/>
        </w:rPr>
        <w:t xml:space="preserve">AccreditIQ uses Method 3 as primary, with Method 2 as a secondary validation check. The combined approach achieves the highest correlation with expert-validated NBA matrices.</w:t>
      </w:r>
    </w:p>
    <w:p>
      <w:pPr>
        <w:pStyle w:val="Heading2"/>
        <w:spacing w:after="80" w:before="240"/>
      </w:pPr>
      <w:r>
        <w:rPr>
          <w:rFonts w:ascii="Arial" w:cs="Arial" w:eastAsia="Arial" w:hAnsi="Arial"/>
          <w:b/>
          <w:bCs/>
          <w:color w:val="1A5276"/>
          <w:sz w:val="26"/>
          <w:szCs w:val="26"/>
        </w:rPr>
        <w:t xml:space="preserve">6.3 CO Attainment Calculation Methods</w:t>
      </w:r>
    </w:p>
    <w:p>
      <w:pPr>
        <w:spacing w:after="60" w:before="60"/>
      </w:pPr>
      <w:r>
        <w:rPr>
          <w:rFonts w:ascii="Arial" w:cs="Arial" w:eastAsia="Arial" w:hAnsi="Arial"/>
          <w:color w:val="444444"/>
          <w:sz w:val="22"/>
          <w:szCs w:val="22"/>
        </w:rPr>
        <w:t xml:space="preserve">NBA GAPC V4.0 allows institutions to define their own CO attainment calculation methodology, provided it is consistently applied. Three methods are in common use:</w:t>
      </w:r>
    </w:p>
    <w:p>
      <w:pPr>
        <w:pStyle w:val="ListParagraph"/>
        <w:numPr>
          <w:ilvl w:val="0"/>
          <w:numId w:val="2"/>
        </w:numPr>
        <w:spacing w:after="40" w:before="40"/>
      </w:pPr>
      <w:r>
        <w:rPr>
          <w:rFonts w:ascii="Arial" w:cs="Arial" w:eastAsia="Arial" w:hAnsi="Arial"/>
          <w:color w:val="444444"/>
          <w:sz w:val="22"/>
          <w:szCs w:val="22"/>
        </w:rPr>
        <w:t xml:space="preserve">Threshold Method: CO is attained if &gt;60% of students score &gt;50% marks in CO-mapped questions. AccreditIQ implements this as the default method, configurable per institution.</w:t>
      </w:r>
    </w:p>
    <w:p>
      <w:pPr>
        <w:pStyle w:val="ListParagraph"/>
        <w:numPr>
          <w:ilvl w:val="0"/>
          <w:numId w:val="2"/>
        </w:numPr>
        <w:spacing w:after="40" w:before="40"/>
      </w:pPr>
      <w:r>
        <w:rPr>
          <w:rFonts w:ascii="Arial" w:cs="Arial" w:eastAsia="Arial" w:hAnsi="Arial"/>
          <w:color w:val="444444"/>
          <w:sz w:val="22"/>
          <w:szCs w:val="22"/>
        </w:rPr>
        <w:t xml:space="preserve">Average Score Method: CO attainment level = (average marks in CO-mapped questions) / (maximum marks). AccreditIQ supports this as an alternative.</w:t>
      </w:r>
    </w:p>
    <w:p>
      <w:pPr>
        <w:pStyle w:val="ListParagraph"/>
        <w:numPr>
          <w:ilvl w:val="0"/>
          <w:numId w:val="2"/>
        </w:numPr>
        <w:spacing w:after="40" w:before="40"/>
      </w:pPr>
      <w:r>
        <w:rPr>
          <w:rFonts w:ascii="Arial" w:cs="Arial" w:eastAsia="Arial" w:hAnsi="Arial"/>
          <w:color w:val="444444"/>
          <w:sz w:val="22"/>
          <w:szCs w:val="22"/>
        </w:rPr>
        <w:t xml:space="preserve">Rubric-Based Method: Used for labs and projects where rubrics map directly to COs. AccreditIQ's rubric builder creates rubrics with CO tags, enabling automatic attainment calculation from rubric scores.</w:t>
      </w:r>
    </w:p>
    <w:p>
      <w:r>
        <w:br w:type="page"/>
      </w:r>
    </w:p>
    <w:p>
      <w:pPr>
        <w:pStyle w:val="Heading1"/>
        <w:spacing w:after="120" w:before="360"/>
      </w:pPr>
      <w:r>
        <w:rPr>
          <w:rFonts w:ascii="Arial" w:cs="Arial" w:eastAsia="Arial" w:hAnsi="Arial"/>
          <w:b/>
          <w:bCs/>
          <w:color w:val="004B87"/>
          <w:sz w:val="32"/>
          <w:szCs w:val="32"/>
        </w:rPr>
        <w:t xml:space="preserve">7. Security Research — Protecting Sensitive Institutional Data</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7.1 Threat Model for NBA SAR Platform</w:t>
      </w:r>
    </w:p>
    <w:p>
      <w:pPr>
        <w:spacing w:after="60" w:before="60"/>
      </w:pPr>
      <w:r>
        <w:rPr>
          <w:rFonts w:ascii="Arial" w:cs="Arial" w:eastAsia="Arial" w:hAnsi="Arial"/>
          <w:color w:val="444444"/>
          <w:sz w:val="22"/>
          <w:szCs w:val="22"/>
        </w:rPr>
        <w:t xml:space="preserve">SAR documents contain sensitive information: faculty PAN numbers, APAAR IDs, salary data, student academic records, placement data, and financial statements. The threat model for AccreditIQ: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Threat</w:t>
            </w:r>
          </w:p>
        </w:tc>
        <w:tc>
          <w:tcPr>
            <w:tcW w:type="dxa" w:w="2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Attack Vector</w:t>
            </w:r>
          </w:p>
        </w:tc>
        <w:tc>
          <w:tcPr>
            <w:tcW w:type="dxa" w:w="45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Mitigation in AccreditIQ</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Unauthorized data access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Weak authentication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MFA + OTP + JWT with short expiry; department-level isolation via PostgreSQL RLS</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Document theft</w:t>
            </w:r>
          </w:p>
        </w:tc>
        <w:tc>
          <w:tcPr>
            <w:tcW w:type="dxa" w:w="2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Insider threat — faculty download</w:t>
            </w:r>
          </w:p>
        </w:tc>
        <w:tc>
          <w:tcPr>
            <w:tcW w:type="dxa" w:w="45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 watermarking with name+timestamp; access logs; Viewer role: preview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Data breach via API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API endpoint exploitation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Input validation (Zod/Joi); rate limiting; API Gateway WAF rules</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Storage breach (S3)</w:t>
            </w:r>
          </w:p>
        </w:tc>
        <w:tc>
          <w:tcPr>
            <w:tcW w:type="dxa" w:w="2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Misconfigured bucket</w:t>
            </w:r>
          </w:p>
        </w:tc>
        <w:tc>
          <w:tcPr>
            <w:tcW w:type="dxa" w:w="45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All buckets private; server-side AES-256 encryption; no public access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Competitive intelligence leak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Cross-institution data access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Complete tenant isolation; no shared data between institutions</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 prompt injection</w:t>
            </w:r>
          </w:p>
        </w:tc>
        <w:tc>
          <w:tcPr>
            <w:tcW w:type="dxa" w:w="2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Malicious user input to chatbot</w:t>
            </w:r>
          </w:p>
        </w:tc>
        <w:tc>
          <w:tcPr>
            <w:tcW w:type="dxa" w:w="45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Input sanitization; system prompt isolation; output filtering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Account takeover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Phishing + credential reuse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OTP-only authentication (no password); device binding option</w:t>
            </w:r>
          </w:p>
        </w:tc>
      </w:tr>
    </w:tbl>
    <w:p>
      <w:pPr>
        <w:pStyle w:val="Heading2"/>
        <w:spacing w:after="80" w:before="240"/>
      </w:pPr>
      <w:r>
        <w:rPr>
          <w:rFonts w:ascii="Arial" w:cs="Arial" w:eastAsia="Arial" w:hAnsi="Arial"/>
          <w:b/>
          <w:bCs/>
          <w:color w:val="1A5276"/>
          <w:sz w:val="26"/>
          <w:szCs w:val="26"/>
        </w:rPr>
        <w:t xml:space="preserve">7.2 Data Privacy Compliance</w:t>
      </w:r>
    </w:p>
    <w:p>
      <w:pPr>
        <w:pStyle w:val="ListParagraph"/>
        <w:numPr>
          <w:ilvl w:val="0"/>
          <w:numId w:val="2"/>
        </w:numPr>
        <w:spacing w:after="40" w:before="40"/>
      </w:pPr>
      <w:r>
        <w:rPr>
          <w:rFonts w:ascii="Arial" w:cs="Arial" w:eastAsia="Arial" w:hAnsi="Arial"/>
          <w:color w:val="444444"/>
          <w:sz w:val="22"/>
          <w:szCs w:val="22"/>
        </w:rPr>
        <w:t xml:space="preserve">DPDP Act 2023 (Digital Personal Data Protection): AccreditIQ processes personal data (faculty PAN, APAAR, student records). Data minimization principle applied — only data required for SAR is collected. Consent obtained at onboarding.</w:t>
      </w:r>
    </w:p>
    <w:p>
      <w:pPr>
        <w:pStyle w:val="ListParagraph"/>
        <w:numPr>
          <w:ilvl w:val="0"/>
          <w:numId w:val="2"/>
        </w:numPr>
        <w:spacing w:after="40" w:before="40"/>
      </w:pPr>
      <w:r>
        <w:rPr>
          <w:rFonts w:ascii="Arial" w:cs="Arial" w:eastAsia="Arial" w:hAnsi="Arial"/>
          <w:color w:val="444444"/>
          <w:sz w:val="22"/>
          <w:szCs w:val="22"/>
        </w:rPr>
        <w:t xml:space="preserve">Data localization: All data stored in AWS ap-south-1 (Mumbai) region, complying with institutional expectations and government data residency recommendations.</w:t>
      </w:r>
    </w:p>
    <w:p>
      <w:pPr>
        <w:pStyle w:val="ListParagraph"/>
        <w:numPr>
          <w:ilvl w:val="0"/>
          <w:numId w:val="2"/>
        </w:numPr>
        <w:spacing w:after="40" w:before="40"/>
      </w:pPr>
      <w:r>
        <w:rPr>
          <w:rFonts w:ascii="Arial" w:cs="Arial" w:eastAsia="Arial" w:hAnsi="Arial"/>
          <w:color w:val="444444"/>
          <w:sz w:val="22"/>
          <w:szCs w:val="22"/>
        </w:rPr>
        <w:t xml:space="preserve">Right to erasure: Institutions can request complete data deletion. Automated deletion pipeline removes all institution data including S3 objects, database records, and vector embeddings.</w:t>
      </w:r>
    </w:p>
    <w:p>
      <w:pPr>
        <w:pStyle w:val="ListParagraph"/>
        <w:numPr>
          <w:ilvl w:val="0"/>
          <w:numId w:val="2"/>
        </w:numPr>
        <w:spacing w:after="40" w:before="40"/>
      </w:pPr>
      <w:r>
        <w:rPr>
          <w:rFonts w:ascii="Arial" w:cs="Arial" w:eastAsia="Arial" w:hAnsi="Arial"/>
          <w:color w:val="444444"/>
          <w:sz w:val="22"/>
          <w:szCs w:val="22"/>
        </w:rPr>
        <w:t xml:space="preserve">Audit trail retention: All access logs retained for 5 years as per institutional accountability requirements. Logs stored in tamper-proof append-only format.</w:t>
      </w:r>
    </w:p>
    <w:p>
      <w:r>
        <w:br w:type="page"/>
      </w:r>
    </w:p>
    <w:p>
      <w:pPr>
        <w:pStyle w:val="Heading1"/>
        <w:spacing w:after="120" w:before="360"/>
      </w:pPr>
      <w:r>
        <w:rPr>
          <w:rFonts w:ascii="Arial" w:cs="Arial" w:eastAsia="Arial" w:hAnsi="Arial"/>
          <w:b/>
          <w:bCs/>
          <w:color w:val="004B87"/>
          <w:sz w:val="32"/>
          <w:szCs w:val="32"/>
        </w:rPr>
        <w:t xml:space="preserve">8. Business Model &amp; Go-to-Market Research</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8.1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Plan</w:t>
            </w:r>
          </w:p>
        </w:tc>
        <w:tc>
          <w:tcPr>
            <w:tcW w:type="dxa" w:w="24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w:t>
            </w:r>
          </w:p>
        </w:tc>
        <w:tc>
          <w:tcPr>
            <w:tcW w:type="dxa" w:w="20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Price (Annual)</w:t>
            </w:r>
          </w:p>
        </w:tc>
        <w:tc>
          <w:tcPr>
            <w:tcW w:type="dxa" w:w="29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Inclusions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Starter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Single department, 1 program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Rs. 49,999/year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Dashboard, doc vault, CO-PO mapper, basic AI chatbot</w:t>
            </w:r>
          </w:p>
        </w:tc>
      </w:tr>
      <w:tr>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Professional</w:t>
            </w:r>
          </w:p>
        </w:tc>
        <w:tc>
          <w:tcPr>
            <w:tcW w:type="dxa" w:w="2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Institution, up to 5 programs</w:t>
            </w:r>
          </w:p>
        </w:tc>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Rs. 1,49,999/year</w:t>
            </w:r>
          </w:p>
        </w:tc>
        <w:tc>
          <w:tcPr>
            <w:tcW w:type="dxa" w:w="29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All features + AI scoring + audit simulator + priority support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Enterprise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Multi-institution / University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Rs. 3,99,999/year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All features + white-labeling + API access + dedicated CSM</w:t>
            </w:r>
          </w:p>
        </w:tc>
      </w:tr>
      <w:tr>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Hackathon Free</w:t>
            </w:r>
          </w:p>
        </w:tc>
        <w:tc>
          <w:tcPr>
            <w:tcW w:type="dxa" w:w="2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First 10 pilot institutions</w:t>
            </w:r>
          </w:p>
        </w:tc>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Free — 6 months</w:t>
            </w:r>
          </w:p>
        </w:tc>
        <w:tc>
          <w:tcPr>
            <w:tcW w:type="dxa" w:w="29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All features, feedback requirement, co-branded case study</w:t>
            </w:r>
          </w:p>
        </w:tc>
      </w:tr>
    </w:tbl>
    <w:p>
      <w:pPr>
        <w:pStyle w:val="Heading2"/>
        <w:spacing w:after="80" w:before="240"/>
      </w:pPr>
      <w:r>
        <w:rPr>
          <w:rFonts w:ascii="Arial" w:cs="Arial" w:eastAsia="Arial" w:hAnsi="Arial"/>
          <w:b/>
          <w:bCs/>
          <w:color w:val="1A5276"/>
          <w:sz w:val="26"/>
          <w:szCs w:val="26"/>
        </w:rPr>
        <w:t xml:space="preserve">8.2 Go-to-Market Strategy</w:t>
      </w:r>
    </w:p>
    <w:p>
      <w:pPr>
        <w:pStyle w:val="ListParagraph"/>
        <w:numPr>
          <w:ilvl w:val="0"/>
          <w:numId w:val="2"/>
        </w:numPr>
        <w:spacing w:after="40" w:before="40"/>
      </w:pPr>
      <w:r>
        <w:rPr>
          <w:rFonts w:ascii="Arial" w:cs="Arial" w:eastAsia="Arial" w:hAnsi="Arial"/>
          <w:color w:val="444444"/>
          <w:sz w:val="22"/>
          <w:szCs w:val="22"/>
        </w:rPr>
        <w:t xml:space="preserve">Phase 1 (0-3 months): 5 pilot institutions from hackathon network. Free access for 6 months in exchange for testimonials, feedback, and case study co-authorship.</w:t>
      </w:r>
    </w:p>
    <w:p>
      <w:pPr>
        <w:pStyle w:val="ListParagraph"/>
        <w:numPr>
          <w:ilvl w:val="0"/>
          <w:numId w:val="2"/>
        </w:numPr>
        <w:spacing w:after="40" w:before="40"/>
      </w:pPr>
      <w:r>
        <w:rPr>
          <w:rFonts w:ascii="Arial" w:cs="Arial" w:eastAsia="Arial" w:hAnsi="Arial"/>
          <w:color w:val="444444"/>
          <w:sz w:val="22"/>
          <w:szCs w:val="22"/>
        </w:rPr>
        <w:t xml:space="preserve">Phase 2 (3-6 months): NBA Coordinator communities (LinkedIn groups, IQAC forums, AICTE portals). Content marketing: 'How to score 900+ in NBA GAPC V4.0' webinar series.</w:t>
      </w:r>
    </w:p>
    <w:p>
      <w:pPr>
        <w:pStyle w:val="ListParagraph"/>
        <w:numPr>
          <w:ilvl w:val="0"/>
          <w:numId w:val="2"/>
        </w:numPr>
        <w:spacing w:after="40" w:before="40"/>
      </w:pPr>
      <w:r>
        <w:rPr>
          <w:rFonts w:ascii="Arial" w:cs="Arial" w:eastAsia="Arial" w:hAnsi="Arial"/>
          <w:color w:val="444444"/>
          <w:sz w:val="22"/>
          <w:szCs w:val="22"/>
        </w:rPr>
        <w:t xml:space="preserve">Phase 3 (6-12 months): Direct sales to 10 institutions approaching NBA renewal cycle. NBA accreditation cycles are 2-3 or 5-6 years — renewal urgency drives purchase decisions.</w:t>
      </w:r>
    </w:p>
    <w:p>
      <w:pPr>
        <w:pStyle w:val="ListParagraph"/>
        <w:numPr>
          <w:ilvl w:val="0"/>
          <w:numId w:val="2"/>
        </w:numPr>
        <w:spacing w:after="40" w:before="40"/>
      </w:pPr>
      <w:r>
        <w:rPr>
          <w:rFonts w:ascii="Arial" w:cs="Arial" w:eastAsia="Arial" w:hAnsi="Arial"/>
          <w:color w:val="444444"/>
          <w:sz w:val="22"/>
          <w:szCs w:val="22"/>
        </w:rPr>
        <w:t xml:space="preserve">Phase 4 (12+ months): University partnerships — offer AccreditIQ to all affiliated engineering colleges through a university-wide license agreement. Target: Pune University, JNTU, Anna University, VTU — each with 300+ affiliated colleges.</w:t>
      </w:r>
    </w:p>
    <w:p>
      <w:pPr>
        <w:spacing w:before="400"/>
        <w:jc w:val="center"/>
      </w:pPr>
      <w:r>
        <w:rPr>
          <w:rFonts w:ascii="Arial" w:cs="Arial" w:eastAsia="Arial" w:hAnsi="Arial"/>
          <w:i/>
          <w:iCs/>
          <w:color w:val="444444"/>
          <w:sz w:val="18"/>
          <w:szCs w:val="18"/>
        </w:rPr>
        <w:t xml:space="preserve">AccreditIQ | In-Depth Research Report | 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4B87" w:sz="4" w:space="6"/>
      </w:pBdr>
    </w:pPr>
    <w:r>
      <w:rPr>
        <w:rFonts w:ascii="Arial" w:cs="Arial" w:eastAsia="Arial" w:hAnsi="Arial"/>
        <w:color w:val="444444"/>
        <w:sz w:val="18"/>
        <w:szCs w:val="18"/>
      </w:rPr>
      <w:t xml:space="preserve">AccreditIQ Research  |  Page </w:t>
    </w:r>
    <w:r>
      <w:rPr>
        <w:rFonts w:ascii="Arial" w:cs="Arial" w:eastAsia="Arial" w:hAnsi="Arial"/>
        <w:color w:val="004B8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B87" w:sz="4" w:space="6"/>
      </w:pBdr>
    </w:pPr>
    <w:r>
      <w:rPr>
        <w:rFonts w:ascii="Arial" w:cs="Arial" w:eastAsia="Arial" w:hAnsi="Arial"/>
        <w:color w:val="444444"/>
        <w:sz w:val="18"/>
        <w:szCs w:val="18"/>
      </w:rPr>
      <w:t xml:space="preserve">AccreditIQ  |  In-Depth Research Report  |  NBA SAR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4B8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2026-04-08T10:30:46.256Z</dcterms:created>
  <dcterms:modified xsi:type="dcterms:W3CDTF">2026-04-08T10:30:46.258Z</dcterms:modified>
</cp:coreProperties>
</file>

<file path=docProps/custom.xml><?xml version="1.0" encoding="utf-8"?>
<Properties xmlns="http://schemas.openxmlformats.org/officeDocument/2006/custom-properties" xmlns:vt="http://schemas.openxmlformats.org/officeDocument/2006/docPropsVTypes"/>
</file>