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64C4" w:rsidRDefault="007E64C4" w:rsidP="007E64C4">
      <w:pPr>
        <w:pStyle w:val="NormalWeb"/>
      </w:pPr>
      <w:r>
        <w:rPr>
          <w:rStyle w:val="Strong"/>
        </w:rPr>
        <w:t>The following consolidated table presents a comprehensive set of case studies drawn from Universal Human Values (UHV), Energy Management &amp; Instrumentation (EMI), Automation &amp; Sensor Applications, and Personal Financial Planning. These case studies are strategically included to provide students with exposure to real-life scenarios, ethical dilemmas, engineering applications, financial decision-making, sustainability issues, and social responsibilities.</w:t>
      </w:r>
    </w:p>
    <w:p w:rsidR="007E64C4" w:rsidRDefault="007E64C4" w:rsidP="007E64C4">
      <w:pPr>
        <w:pStyle w:val="NormalWeb"/>
      </w:pPr>
      <w:r>
        <w:rPr>
          <w:rStyle w:val="Strong"/>
        </w:rPr>
        <w:t xml:space="preserve">Each case study integrates cognitive skills, practical understanding, and value-based learning. The case studies have been categorized by type (technical, ethical, societal, automation-based, financial, or human-relations based) and are further classified according to complexity (Low, Medium, </w:t>
      </w:r>
      <w:proofErr w:type="gramStart"/>
      <w:r>
        <w:rPr>
          <w:rStyle w:val="Strong"/>
        </w:rPr>
        <w:t>High</w:t>
      </w:r>
      <w:proofErr w:type="gramEnd"/>
      <w:r>
        <w:rPr>
          <w:rStyle w:val="Strong"/>
        </w:rPr>
        <w:t>). Complexity levels are assigned based on the depth of analysis required, number of variables involved, interdisciplinary nature, and the level of decision-making expected from students.</w:t>
      </w:r>
    </w:p>
    <w:p w:rsidR="007E64C4" w:rsidRDefault="007E64C4" w:rsidP="007E64C4">
      <w:pPr>
        <w:pStyle w:val="NormalWeb"/>
      </w:pPr>
      <w:r>
        <w:rPr>
          <w:rStyle w:val="Strong"/>
        </w:rPr>
        <w:t>The mapping of each case study to the Program Outcomes (POs) and Program Specific Outcomes (PSOs) is provided to demonstrate how these learning activities contribute directly to the overall attainment of course goals and graduate attributes. Through these case studies, students develop:</w:t>
      </w:r>
    </w:p>
    <w:p w:rsidR="007E64C4" w:rsidRDefault="007E64C4" w:rsidP="007E64C4">
      <w:pPr>
        <w:pStyle w:val="NormalWeb"/>
        <w:numPr>
          <w:ilvl w:val="0"/>
          <w:numId w:val="1"/>
        </w:numPr>
      </w:pPr>
      <w:r>
        <w:rPr>
          <w:rStyle w:val="Strong"/>
        </w:rPr>
        <w:t>Analytical and problem-solving ability</w:t>
      </w:r>
    </w:p>
    <w:p w:rsidR="007E64C4" w:rsidRDefault="007E64C4" w:rsidP="007E64C4">
      <w:pPr>
        <w:pStyle w:val="NormalWeb"/>
        <w:numPr>
          <w:ilvl w:val="0"/>
          <w:numId w:val="1"/>
        </w:numPr>
      </w:pPr>
      <w:r>
        <w:rPr>
          <w:rStyle w:val="Strong"/>
        </w:rPr>
        <w:t>Understanding of ethical and societal responsibilities</w:t>
      </w:r>
    </w:p>
    <w:p w:rsidR="007E64C4" w:rsidRDefault="007E64C4" w:rsidP="007E64C4">
      <w:pPr>
        <w:pStyle w:val="NormalWeb"/>
        <w:numPr>
          <w:ilvl w:val="0"/>
          <w:numId w:val="1"/>
        </w:numPr>
      </w:pPr>
      <w:r>
        <w:rPr>
          <w:rStyle w:val="Strong"/>
        </w:rPr>
        <w:t>Skills in energy assessment, automation, and sustainable engineering</w:t>
      </w:r>
    </w:p>
    <w:p w:rsidR="007E64C4" w:rsidRDefault="007E64C4" w:rsidP="007E64C4">
      <w:pPr>
        <w:pStyle w:val="NormalWeb"/>
        <w:numPr>
          <w:ilvl w:val="0"/>
          <w:numId w:val="1"/>
        </w:numPr>
      </w:pPr>
      <w:r>
        <w:rPr>
          <w:rStyle w:val="Strong"/>
        </w:rPr>
        <w:t>Financial literacy and economic decision-making competence</w:t>
      </w:r>
    </w:p>
    <w:p w:rsidR="007E64C4" w:rsidRDefault="007E64C4" w:rsidP="007E64C4">
      <w:pPr>
        <w:pStyle w:val="NormalWeb"/>
        <w:numPr>
          <w:ilvl w:val="0"/>
          <w:numId w:val="1"/>
        </w:numPr>
      </w:pPr>
      <w:r>
        <w:rPr>
          <w:rStyle w:val="Strong"/>
        </w:rPr>
        <w:t>Communication, teamwork, and professional conduct</w:t>
      </w:r>
    </w:p>
    <w:p w:rsidR="007E64C4" w:rsidRDefault="007E64C4" w:rsidP="007E64C4">
      <w:pPr>
        <w:pStyle w:val="NormalWeb"/>
        <w:numPr>
          <w:ilvl w:val="0"/>
          <w:numId w:val="1"/>
        </w:numPr>
      </w:pPr>
      <w:r>
        <w:rPr>
          <w:rStyle w:val="Strong"/>
        </w:rPr>
        <w:t>Engineering investigation and modern tool usage skills</w:t>
      </w:r>
    </w:p>
    <w:p w:rsidR="007E64C4" w:rsidRDefault="007E64C4" w:rsidP="007E64C4">
      <w:pPr>
        <w:pStyle w:val="NormalWeb"/>
      </w:pPr>
      <w:r>
        <w:rPr>
          <w:rStyle w:val="Strong"/>
        </w:rPr>
        <w:t>This consolidated table ensures that every activity—whether technical or value-driven—contributes measu</w:t>
      </w:r>
      <w:r>
        <w:rPr>
          <w:rStyle w:val="Strong"/>
        </w:rPr>
        <w:t xml:space="preserve">rably to PO and PSO attainment </w:t>
      </w:r>
      <w:bookmarkStart w:id="0" w:name="_GoBack"/>
      <w:bookmarkEnd w:id="0"/>
      <w:r>
        <w:rPr>
          <w:rStyle w:val="Strong"/>
        </w:rPr>
        <w:t>for Outcome-Based Education (OBE).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1967"/>
        <w:gridCol w:w="1321"/>
        <w:gridCol w:w="1838"/>
        <w:gridCol w:w="1374"/>
      </w:tblGrid>
      <w:tr w:rsidR="007E64C4" w:rsidRPr="007E64C4" w:rsidTr="007E64C4">
        <w:trPr>
          <w:tblHeader/>
          <w:tblCellSpacing w:w="15" w:type="dxa"/>
        </w:trPr>
        <w:tc>
          <w:tcPr>
            <w:tcW w:w="0" w:type="auto"/>
            <w:vAlign w:val="center"/>
            <w:hideMark/>
          </w:tcPr>
          <w:p w:rsidR="007E64C4" w:rsidRPr="007E64C4" w:rsidRDefault="007E64C4" w:rsidP="007E64C4">
            <w:pPr>
              <w:spacing w:after="0" w:line="240" w:lineRule="auto"/>
              <w:jc w:val="center"/>
              <w:rPr>
                <w:rFonts w:ascii="Times New Roman" w:eastAsia="Times New Roman" w:hAnsi="Times New Roman" w:cs="Times New Roman"/>
                <w:b/>
                <w:bCs/>
                <w:sz w:val="24"/>
                <w:szCs w:val="24"/>
              </w:rPr>
            </w:pPr>
            <w:r w:rsidRPr="007E64C4">
              <w:rPr>
                <w:rFonts w:ascii="Times New Roman" w:eastAsia="Times New Roman" w:hAnsi="Times New Roman" w:cs="Times New Roman"/>
                <w:b/>
                <w:bCs/>
                <w:sz w:val="24"/>
                <w:szCs w:val="24"/>
              </w:rPr>
              <w:t>Case Study</w:t>
            </w:r>
          </w:p>
        </w:tc>
        <w:tc>
          <w:tcPr>
            <w:tcW w:w="0" w:type="auto"/>
            <w:vAlign w:val="center"/>
            <w:hideMark/>
          </w:tcPr>
          <w:p w:rsidR="007E64C4" w:rsidRPr="007E64C4" w:rsidRDefault="007E64C4" w:rsidP="007E64C4">
            <w:pPr>
              <w:spacing w:after="0" w:line="240" w:lineRule="auto"/>
              <w:jc w:val="center"/>
              <w:rPr>
                <w:rFonts w:ascii="Times New Roman" w:eastAsia="Times New Roman" w:hAnsi="Times New Roman" w:cs="Times New Roman"/>
                <w:b/>
                <w:bCs/>
                <w:sz w:val="24"/>
                <w:szCs w:val="24"/>
              </w:rPr>
            </w:pPr>
            <w:r w:rsidRPr="007E64C4">
              <w:rPr>
                <w:rFonts w:ascii="Times New Roman" w:eastAsia="Times New Roman" w:hAnsi="Times New Roman" w:cs="Times New Roman"/>
                <w:b/>
                <w:bCs/>
                <w:sz w:val="24"/>
                <w:szCs w:val="24"/>
              </w:rPr>
              <w:t>Type of Case</w:t>
            </w:r>
          </w:p>
        </w:tc>
        <w:tc>
          <w:tcPr>
            <w:tcW w:w="0" w:type="auto"/>
            <w:vAlign w:val="center"/>
            <w:hideMark/>
          </w:tcPr>
          <w:p w:rsidR="007E64C4" w:rsidRPr="007E64C4" w:rsidRDefault="007E64C4" w:rsidP="007E64C4">
            <w:pPr>
              <w:spacing w:after="0" w:line="240" w:lineRule="auto"/>
              <w:jc w:val="center"/>
              <w:rPr>
                <w:rFonts w:ascii="Times New Roman" w:eastAsia="Times New Roman" w:hAnsi="Times New Roman" w:cs="Times New Roman"/>
                <w:b/>
                <w:bCs/>
                <w:sz w:val="24"/>
                <w:szCs w:val="24"/>
              </w:rPr>
            </w:pPr>
            <w:r w:rsidRPr="007E64C4">
              <w:rPr>
                <w:rFonts w:ascii="Times New Roman" w:eastAsia="Times New Roman" w:hAnsi="Times New Roman" w:cs="Times New Roman"/>
                <w:b/>
                <w:bCs/>
                <w:sz w:val="24"/>
                <w:szCs w:val="24"/>
              </w:rPr>
              <w:t>Complexity</w:t>
            </w:r>
          </w:p>
        </w:tc>
        <w:tc>
          <w:tcPr>
            <w:tcW w:w="0" w:type="auto"/>
            <w:vAlign w:val="center"/>
            <w:hideMark/>
          </w:tcPr>
          <w:p w:rsidR="007E64C4" w:rsidRPr="007E64C4" w:rsidRDefault="007E64C4" w:rsidP="007E64C4">
            <w:pPr>
              <w:spacing w:after="0" w:line="240" w:lineRule="auto"/>
              <w:jc w:val="center"/>
              <w:rPr>
                <w:rFonts w:ascii="Times New Roman" w:eastAsia="Times New Roman" w:hAnsi="Times New Roman" w:cs="Times New Roman"/>
                <w:b/>
                <w:bCs/>
                <w:sz w:val="24"/>
                <w:szCs w:val="24"/>
              </w:rPr>
            </w:pPr>
            <w:r w:rsidRPr="007E64C4">
              <w:rPr>
                <w:rFonts w:ascii="Times New Roman" w:eastAsia="Times New Roman" w:hAnsi="Times New Roman" w:cs="Times New Roman"/>
                <w:b/>
                <w:bCs/>
                <w:sz w:val="24"/>
                <w:szCs w:val="24"/>
              </w:rPr>
              <w:t>POs Addressed</w:t>
            </w:r>
          </w:p>
        </w:tc>
        <w:tc>
          <w:tcPr>
            <w:tcW w:w="0" w:type="auto"/>
            <w:vAlign w:val="center"/>
            <w:hideMark/>
          </w:tcPr>
          <w:p w:rsidR="007E64C4" w:rsidRPr="007E64C4" w:rsidRDefault="007E64C4" w:rsidP="007E64C4">
            <w:pPr>
              <w:spacing w:after="0" w:line="240" w:lineRule="auto"/>
              <w:jc w:val="center"/>
              <w:rPr>
                <w:rFonts w:ascii="Times New Roman" w:eastAsia="Times New Roman" w:hAnsi="Times New Roman" w:cs="Times New Roman"/>
                <w:b/>
                <w:bCs/>
                <w:sz w:val="24"/>
                <w:szCs w:val="24"/>
              </w:rPr>
            </w:pPr>
            <w:r w:rsidRPr="007E64C4">
              <w:rPr>
                <w:rFonts w:ascii="Times New Roman" w:eastAsia="Times New Roman" w:hAnsi="Times New Roman" w:cs="Times New Roman"/>
                <w:b/>
                <w:bCs/>
                <w:sz w:val="24"/>
                <w:szCs w:val="24"/>
              </w:rPr>
              <w:t>PSOs Addressed</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Trust deficit in a family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Human Values / Relationship</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PO8, PO9, PO10,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Misunderstanding between siblings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Human Relations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Low–Medium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PO8, PO9, PO10</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Respecting differing views in a team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 xml:space="preserve">Team </w:t>
            </w:r>
            <w:proofErr w:type="spellStart"/>
            <w:r w:rsidRPr="007E64C4">
              <w:rPr>
                <w:rFonts w:ascii="Times New Roman" w:eastAsia="Times New Roman" w:hAnsi="Times New Roman" w:cs="Times New Roman"/>
                <w:sz w:val="24"/>
                <w:szCs w:val="24"/>
              </w:rPr>
              <w:t>Behaviour</w:t>
            </w:r>
            <w:proofErr w:type="spellEnd"/>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PO9, PO10,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Workplace ethics &amp; peer pressure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Ethical Dilemma</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PO8, PO9, PO10,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Social media miscommunication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Communication Ethics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Low–Medium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PO9, PO10,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Generational gap &amp; communication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Human Relations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PO8, PO9, PO10</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 xml:space="preserve">Engineering project vs </w:t>
            </w:r>
            <w:r w:rsidRPr="007E64C4">
              <w:rPr>
                <w:rFonts w:ascii="Times New Roman" w:eastAsia="Times New Roman" w:hAnsi="Times New Roman" w:cs="Times New Roman"/>
                <w:sz w:val="24"/>
                <w:szCs w:val="24"/>
              </w:rPr>
              <w:lastRenderedPageBreak/>
              <w:t>environment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lastRenderedPageBreak/>
              <w:t xml:space="preserve">Ethics &amp; </w:t>
            </w:r>
            <w:r w:rsidRPr="007E64C4">
              <w:rPr>
                <w:rFonts w:ascii="Times New Roman" w:eastAsia="Times New Roman" w:hAnsi="Times New Roman" w:cs="Times New Roman"/>
                <w:sz w:val="24"/>
                <w:szCs w:val="24"/>
              </w:rPr>
              <w:lastRenderedPageBreak/>
              <w:t>Sustainability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lastRenderedPageBreak/>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 xml:space="preserve">PO6, PO7, PO8, </w:t>
            </w:r>
            <w:r w:rsidRPr="007E64C4">
              <w:rPr>
                <w:rFonts w:ascii="Times New Roman" w:eastAsia="Times New Roman" w:hAnsi="Times New Roman" w:cs="Times New Roman"/>
                <w:sz w:val="24"/>
                <w:szCs w:val="24"/>
              </w:rPr>
              <w:lastRenderedPageBreak/>
              <w:t>PO11</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lastRenderedPageBreak/>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lastRenderedPageBreak/>
              <w:t>Urban–rural digital divide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Societal Need Analysis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PO7, PO10,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Classroom Energy Audit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Energy Audit &amp; Measurement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PO2, PO4, PO5, PO7,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Library Power Audit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Energy Audit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PO2, PO4, PO5, PO7</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Canteen Energy Audit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Practical Audit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PO2, PO4, PO5, PO7, PO11</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Hostel room energy use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Practical Measurement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PO2, PO4, PO5, PO7</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Cyber café energy analysis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Applied Energy Management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PO4, PO5, PO7, PO11</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Housing society LED upgrade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Energy Saving Case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PO7,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Automatic lighting system (PIR + LDR)</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Sensor 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 PO6</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Temperature-controlled fan system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Automated seminar hall management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Smart Controls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 PO9</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Automatic water-level control system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proofErr w:type="spellStart"/>
            <w:r w:rsidRPr="007E64C4">
              <w:rPr>
                <w:rFonts w:ascii="Times New Roman" w:eastAsia="Times New Roman" w:hAnsi="Times New Roman" w:cs="Times New Roman"/>
                <w:sz w:val="24"/>
                <w:szCs w:val="24"/>
              </w:rPr>
              <w:t>IoT</w:t>
            </w:r>
            <w:proofErr w:type="spellEnd"/>
            <w:r w:rsidRPr="007E64C4">
              <w:rPr>
                <w:rFonts w:ascii="Times New Roman" w:eastAsia="Times New Roman" w:hAnsi="Times New Roman" w:cs="Times New Roman"/>
                <w:sz w:val="24"/>
                <w:szCs w:val="24"/>
              </w:rPr>
              <w:t xml:space="preserve"> / 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 PO6, PO7, PO9</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Wildlife corridor vs highway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Environmental Ethics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PO6, PO7, PO8, PO11</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Smart kitchen using sensors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Multi-Sensor 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 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HOD cabin smart 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Office Automation</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PO1, PO3, PO4, PO5</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PSO1, PSO2</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Indian employee saving money through spend management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Personal Finance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PO8,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Role of insurance in financial stability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Financial Risk Management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PO7, PO8, PO11</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How taxation policies influence planning</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Policy &amp; Economic Study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PO7, PO8,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lastRenderedPageBreak/>
              <w:t>College student managing tuition &amp; expenses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Budgeting &amp; Decision-Making</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PO9,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Strategic retirement planning for dual-income family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Personal Finance Strategy</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PO7,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Newly married couple planning home, family &amp; early retirement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proofErr w:type="spellStart"/>
            <w:r w:rsidRPr="007E64C4">
              <w:rPr>
                <w:rFonts w:ascii="Times New Roman" w:eastAsia="Times New Roman" w:hAnsi="Times New Roman" w:cs="Times New Roman"/>
                <w:sz w:val="24"/>
                <w:szCs w:val="24"/>
              </w:rPr>
              <w:t>Behavioural</w:t>
            </w:r>
            <w:proofErr w:type="spellEnd"/>
            <w:r w:rsidRPr="007E64C4">
              <w:rPr>
                <w:rFonts w:ascii="Times New Roman" w:eastAsia="Times New Roman" w:hAnsi="Times New Roman" w:cs="Times New Roman"/>
                <w:sz w:val="24"/>
                <w:szCs w:val="24"/>
              </w:rPr>
              <w:t xml:space="preserve"> Finance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PO7, PO9,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Consolidation of funds across accounts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Money Management</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PO8,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Impact of major scam / COVID-19 on investments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Market Shock Analysis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b/>
                <w:bCs/>
                <w:sz w:val="24"/>
                <w:szCs w:val="24"/>
              </w:rPr>
              <w:t>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PO6, PO7, PO8, PO11,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r w:rsidR="007E64C4" w:rsidRPr="007E64C4" w:rsidTr="007E64C4">
        <w:trPr>
          <w:tblCellSpacing w:w="15" w:type="dxa"/>
        </w:trPr>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Security risks in mobile banking &amp; UPI apps</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Cyber Security &amp; Finance</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Medium–High</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PO2, PO5, PO6, PO8, PO12</w:t>
            </w:r>
          </w:p>
        </w:tc>
        <w:tc>
          <w:tcPr>
            <w:tcW w:w="0" w:type="auto"/>
            <w:vAlign w:val="center"/>
            <w:hideMark/>
          </w:tcPr>
          <w:p w:rsidR="007E64C4" w:rsidRPr="007E64C4" w:rsidRDefault="007E64C4" w:rsidP="007E64C4">
            <w:pPr>
              <w:spacing w:after="0" w:line="240" w:lineRule="auto"/>
              <w:rPr>
                <w:rFonts w:ascii="Times New Roman" w:eastAsia="Times New Roman" w:hAnsi="Times New Roman" w:cs="Times New Roman"/>
                <w:sz w:val="24"/>
                <w:szCs w:val="24"/>
              </w:rPr>
            </w:pPr>
            <w:r w:rsidRPr="007E64C4">
              <w:rPr>
                <w:rFonts w:ascii="Times New Roman" w:eastAsia="Times New Roman" w:hAnsi="Times New Roman" w:cs="Times New Roman"/>
                <w:sz w:val="24"/>
                <w:szCs w:val="24"/>
              </w:rPr>
              <w:t>PSO3</w:t>
            </w:r>
          </w:p>
        </w:tc>
      </w:tr>
    </w:tbl>
    <w:p w:rsidR="007E64C4" w:rsidRPr="007E64C4" w:rsidRDefault="007E64C4" w:rsidP="007E64C4"/>
    <w:sectPr w:rsidR="007E64C4" w:rsidRPr="007E64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D0D" w:rsidRDefault="00BC7D0D" w:rsidP="007E64C4">
      <w:pPr>
        <w:spacing w:after="0" w:line="240" w:lineRule="auto"/>
      </w:pPr>
      <w:r>
        <w:separator/>
      </w:r>
    </w:p>
  </w:endnote>
  <w:endnote w:type="continuationSeparator" w:id="0">
    <w:p w:rsidR="00BC7D0D" w:rsidRDefault="00BC7D0D" w:rsidP="007E6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D0D" w:rsidRDefault="00BC7D0D" w:rsidP="007E64C4">
      <w:pPr>
        <w:spacing w:after="0" w:line="240" w:lineRule="auto"/>
      </w:pPr>
      <w:r>
        <w:separator/>
      </w:r>
    </w:p>
  </w:footnote>
  <w:footnote w:type="continuationSeparator" w:id="0">
    <w:p w:rsidR="00BC7D0D" w:rsidRDefault="00BC7D0D" w:rsidP="007E64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D7F86"/>
    <w:multiLevelType w:val="multilevel"/>
    <w:tmpl w:val="FF6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651"/>
    <w:rsid w:val="00550651"/>
    <w:rsid w:val="007E64C4"/>
    <w:rsid w:val="00BC7D0D"/>
    <w:rsid w:val="00F85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64C4"/>
    <w:rPr>
      <w:b/>
      <w:bCs/>
    </w:rPr>
  </w:style>
  <w:style w:type="paragraph" w:styleId="NormalWeb">
    <w:name w:val="Normal (Web)"/>
    <w:basedOn w:val="Normal"/>
    <w:uiPriority w:val="99"/>
    <w:semiHidden/>
    <w:unhideWhenUsed/>
    <w:rsid w:val="007E64C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E64C4"/>
    <w:rPr>
      <w:b/>
      <w:bCs/>
    </w:rPr>
  </w:style>
  <w:style w:type="paragraph" w:styleId="NormalWeb">
    <w:name w:val="Normal (Web)"/>
    <w:basedOn w:val="Normal"/>
    <w:uiPriority w:val="99"/>
    <w:semiHidden/>
    <w:unhideWhenUsed/>
    <w:rsid w:val="007E64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083906">
      <w:bodyDiv w:val="1"/>
      <w:marLeft w:val="0"/>
      <w:marRight w:val="0"/>
      <w:marTop w:val="0"/>
      <w:marBottom w:val="0"/>
      <w:divBdr>
        <w:top w:val="none" w:sz="0" w:space="0" w:color="auto"/>
        <w:left w:val="none" w:sz="0" w:space="0" w:color="auto"/>
        <w:bottom w:val="none" w:sz="0" w:space="0" w:color="auto"/>
        <w:right w:val="none" w:sz="0" w:space="0" w:color="auto"/>
      </w:divBdr>
    </w:div>
    <w:div w:id="403575914">
      <w:bodyDiv w:val="1"/>
      <w:marLeft w:val="0"/>
      <w:marRight w:val="0"/>
      <w:marTop w:val="0"/>
      <w:marBottom w:val="0"/>
      <w:divBdr>
        <w:top w:val="none" w:sz="0" w:space="0" w:color="auto"/>
        <w:left w:val="none" w:sz="0" w:space="0" w:color="auto"/>
        <w:bottom w:val="none" w:sz="0" w:space="0" w:color="auto"/>
        <w:right w:val="none" w:sz="0" w:space="0" w:color="auto"/>
      </w:divBdr>
    </w:div>
    <w:div w:id="1097411854">
      <w:bodyDiv w:val="1"/>
      <w:marLeft w:val="0"/>
      <w:marRight w:val="0"/>
      <w:marTop w:val="0"/>
      <w:marBottom w:val="0"/>
      <w:divBdr>
        <w:top w:val="none" w:sz="0" w:space="0" w:color="auto"/>
        <w:left w:val="none" w:sz="0" w:space="0" w:color="auto"/>
        <w:bottom w:val="none" w:sz="0" w:space="0" w:color="auto"/>
        <w:right w:val="none" w:sz="0" w:space="0" w:color="auto"/>
      </w:divBdr>
    </w:div>
    <w:div w:id="150504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2025-11-26T10:50:00Z</dcterms:created>
  <dcterms:modified xsi:type="dcterms:W3CDTF">2025-11-26T11:00:00Z</dcterms:modified>
</cp:coreProperties>
</file>