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212" w:rsidRDefault="00404057">
      <w:pPr>
        <w:rPr>
          <w:b/>
        </w:rPr>
      </w:pPr>
      <w:r w:rsidRPr="00404057">
        <w:rPr>
          <w:b/>
        </w:rPr>
        <w:t>2.7 Solving Complex Engineering Problems Incorporating Sustainability Goals</w:t>
      </w:r>
    </w:p>
    <w:p w:rsidR="00404057" w:rsidRPr="00404057" w:rsidRDefault="00404057" w:rsidP="00404057">
      <w:pPr>
        <w:pStyle w:val="NormalWeb"/>
        <w:spacing w:line="360" w:lineRule="auto"/>
        <w:rPr>
          <w:b/>
          <w:sz w:val="22"/>
          <w:szCs w:val="22"/>
        </w:rPr>
      </w:pPr>
      <w:r w:rsidRPr="00404057">
        <w:rPr>
          <w:b/>
          <w:sz w:val="22"/>
          <w:szCs w:val="22"/>
        </w:rPr>
        <w:t xml:space="preserve">The department integrates sustainability-driven, complex engineering problem solving through a structured progression of </w:t>
      </w:r>
      <w:r w:rsidRPr="00404057">
        <w:rPr>
          <w:rStyle w:val="Strong"/>
          <w:b w:val="0"/>
          <w:sz w:val="22"/>
          <w:szCs w:val="22"/>
        </w:rPr>
        <w:t>project-based learning, mini projects, integrated design projects, hackathons, and final-year capstone projects</w:t>
      </w:r>
      <w:r w:rsidRPr="00404057">
        <w:rPr>
          <w:b/>
          <w:sz w:val="22"/>
          <w:szCs w:val="22"/>
        </w:rPr>
        <w:t xml:space="preserve">. These activities enable students to apply engineering fundamentals to identify, analyze, and design solutions for real-life problems with clear consideration of </w:t>
      </w:r>
      <w:r w:rsidRPr="00404057">
        <w:rPr>
          <w:rStyle w:val="Strong"/>
          <w:b w:val="0"/>
          <w:sz w:val="22"/>
          <w:szCs w:val="22"/>
        </w:rPr>
        <w:t>environmental impact, societal relevance, energy efficiency, economic feasibility, and ethical practices</w:t>
      </w:r>
      <w:r w:rsidRPr="00404057">
        <w:rPr>
          <w:b/>
          <w:sz w:val="22"/>
          <w:szCs w:val="22"/>
        </w:rPr>
        <w:t>, aligning with national priorities and UN Sustainable Development Goals (SDGs).</w:t>
      </w:r>
    </w:p>
    <w:p w:rsidR="00404057" w:rsidRPr="00404057" w:rsidRDefault="00404057" w:rsidP="00404057">
      <w:pPr>
        <w:pStyle w:val="NormalWeb"/>
        <w:spacing w:line="360" w:lineRule="auto"/>
        <w:rPr>
          <w:b/>
          <w:sz w:val="22"/>
          <w:szCs w:val="22"/>
        </w:rPr>
      </w:pPr>
      <w:r w:rsidRPr="00404057">
        <w:rPr>
          <w:b/>
          <w:sz w:val="22"/>
          <w:szCs w:val="22"/>
        </w:rPr>
        <w:t xml:space="preserve">Students work on interdisciplinary problems using embedded systems, </w:t>
      </w:r>
      <w:proofErr w:type="spellStart"/>
      <w:r w:rsidRPr="00404057">
        <w:rPr>
          <w:b/>
          <w:sz w:val="22"/>
          <w:szCs w:val="22"/>
        </w:rPr>
        <w:t>IoT</w:t>
      </w:r>
      <w:proofErr w:type="spellEnd"/>
      <w:r w:rsidRPr="00404057">
        <w:rPr>
          <w:b/>
          <w:sz w:val="22"/>
          <w:szCs w:val="22"/>
        </w:rPr>
        <w:t xml:space="preserve">, renewable energy systems, automation, data analytics, machine learning, control engineering, and power electronics. Through activities such as </w:t>
      </w:r>
      <w:r w:rsidRPr="00404057">
        <w:rPr>
          <w:rStyle w:val="Strong"/>
          <w:b w:val="0"/>
          <w:sz w:val="22"/>
          <w:szCs w:val="22"/>
        </w:rPr>
        <w:t xml:space="preserve">smart irrigation systems, EV wireless charging prototypes, solar energy harvesting devices, smart agriculture platforms, automated safety systems, and </w:t>
      </w:r>
      <w:proofErr w:type="spellStart"/>
      <w:r w:rsidRPr="00404057">
        <w:rPr>
          <w:rStyle w:val="Strong"/>
          <w:b w:val="0"/>
          <w:sz w:val="22"/>
          <w:szCs w:val="22"/>
        </w:rPr>
        <w:t>IoT</w:t>
      </w:r>
      <w:proofErr w:type="spellEnd"/>
      <w:r w:rsidRPr="00404057">
        <w:rPr>
          <w:rStyle w:val="Strong"/>
          <w:b w:val="0"/>
          <w:sz w:val="22"/>
          <w:szCs w:val="22"/>
        </w:rPr>
        <w:t>-based class monitoring</w:t>
      </w:r>
      <w:r w:rsidRPr="00404057">
        <w:rPr>
          <w:b/>
          <w:sz w:val="22"/>
          <w:szCs w:val="22"/>
        </w:rPr>
        <w:t xml:space="preserve">, students demonstrate higher-order competencies in </w:t>
      </w:r>
      <w:r w:rsidRPr="00404057">
        <w:rPr>
          <w:rStyle w:val="Strong"/>
          <w:b w:val="0"/>
          <w:sz w:val="22"/>
          <w:szCs w:val="22"/>
        </w:rPr>
        <w:t>problem analysis (PO2), design &amp; development (PO3), investigation (PO4), usage of modern tools (PO5), sustainable engineering (PO7), ethics (PO8), teamwork (PO9), project management (PO11), and life-long learning (PO12)</w:t>
      </w:r>
      <w:r w:rsidRPr="00404057">
        <w:rPr>
          <w:b/>
          <w:sz w:val="22"/>
          <w:szCs w:val="22"/>
        </w:rPr>
        <w:t>.</w:t>
      </w:r>
    </w:p>
    <w:p w:rsidR="00404057" w:rsidRPr="00404057" w:rsidRDefault="00404057" w:rsidP="00404057">
      <w:pPr>
        <w:pStyle w:val="NormalWeb"/>
        <w:spacing w:line="360" w:lineRule="auto"/>
        <w:rPr>
          <w:b/>
          <w:sz w:val="22"/>
          <w:szCs w:val="22"/>
        </w:rPr>
      </w:pPr>
      <w:r w:rsidRPr="00404057">
        <w:rPr>
          <w:b/>
          <w:sz w:val="22"/>
          <w:szCs w:val="22"/>
        </w:rPr>
        <w:t xml:space="preserve">Capstone projects focus on solving </w:t>
      </w:r>
      <w:r w:rsidRPr="00404057">
        <w:rPr>
          <w:rStyle w:val="Strong"/>
          <w:b w:val="0"/>
          <w:sz w:val="22"/>
          <w:szCs w:val="22"/>
        </w:rPr>
        <w:t>complex engineering problems</w:t>
      </w:r>
      <w:r w:rsidRPr="00404057">
        <w:rPr>
          <w:b/>
          <w:sz w:val="22"/>
          <w:szCs w:val="22"/>
        </w:rPr>
        <w:t xml:space="preserve"> with multiple constraints—social, environmental, technical, and economic. Sustainability mapping is performed for each major project to evaluate its alignment with SDGs such as </w:t>
      </w:r>
      <w:r w:rsidRPr="00404057">
        <w:rPr>
          <w:rStyle w:val="Strong"/>
          <w:b w:val="0"/>
          <w:sz w:val="22"/>
          <w:szCs w:val="22"/>
        </w:rPr>
        <w:t>SDG 2 (Zero Hunger), SDG 3 (Good Health &amp; Well-being), SDG 6 (Clean Water &amp; Sanitation), SDG 7 (Affordable &amp; Clean Energy), SDG 9 (Industry, Innovation, Infrastructure), SDG 11 (Sustainable Cities), SDG 12 (Responsible Consumption), and SDG 13 (Climate Action)</w:t>
      </w:r>
      <w:r w:rsidRPr="00404057">
        <w:rPr>
          <w:b/>
          <w:sz w:val="22"/>
          <w:szCs w:val="22"/>
        </w:rPr>
        <w:t>. The department’s continuous project ecosystem ensures that students graduate with strong practical competencies, a sustainability mindset, and readiness to address complex societal challenges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2"/>
        <w:gridCol w:w="1920"/>
        <w:gridCol w:w="3688"/>
      </w:tblGrid>
      <w:tr w:rsidR="00404057" w:rsidRPr="00404057" w:rsidTr="004040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Mapped SDGs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 for SDG Mapping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Smart Irrigation System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2, SDG 6, SDG 12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Promotes water-efficient farming; reduces wastage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Solar Tree Installation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7, SDG 13, SDG 11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Clean energy generation + climate action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Wireless Charging for EV with Billing Display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7, SDG 9, SDG 11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sustainable mobility &amp; innovation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IOT-based Smart Agriculture System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2, SDG 12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 farming, resource optimization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Footstep Power Generation System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7, SD</w:t>
            </w:r>
            <w:bookmarkStart w:id="0" w:name="_GoBack"/>
            <w:bookmarkEnd w:id="0"/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G 9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Innovative renewable micro-energy source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Smart Toilet System for Ageing/Disabled Persons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3, SDG 11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Health, hygiene &amp; inclusive infrastructure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EV Charging Station with Coin-Based Payment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7, SDG 9, SDG 11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sustainable transport accessibility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Smart EV Charging Station using Hybrid Power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7, SDG 11, SDG 13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Renewable energy + urban sustainability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 Streetlight Monitoring &amp; Fault Detection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11, SDG 12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Energy-efficient urban lighting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Flood Detection System for Bridge Safety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9, SDG 11, SDG 13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Disaster prediction &amp; resilient infrastructure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Solar Panel Tracking System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7, SDG 13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Maximizes renewable energy output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Smart Parking Management System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11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Reduces congestion &amp; improves urban mobility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E-Waste Locator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12, SDG 13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Promotes responsible consumption &amp; recycling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Air Leakage Detection for Fire Extinguishers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3, SDG 9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Ensures safety &amp; prevents emergencies</w:t>
            </w:r>
          </w:p>
        </w:tc>
      </w:tr>
      <w:tr w:rsidR="00404057" w:rsidRPr="00404057" w:rsidTr="0040405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Smart Belt for Blind with Voice Output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SDG 3, SDG 10</w:t>
            </w:r>
          </w:p>
        </w:tc>
        <w:tc>
          <w:tcPr>
            <w:tcW w:w="0" w:type="auto"/>
            <w:vAlign w:val="center"/>
            <w:hideMark/>
          </w:tcPr>
          <w:p w:rsidR="00404057" w:rsidRPr="00404057" w:rsidRDefault="00404057" w:rsidP="00404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4057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health, accessibility &amp; reduced inequalities</w:t>
            </w:r>
          </w:p>
        </w:tc>
      </w:tr>
    </w:tbl>
    <w:p w:rsidR="00404057" w:rsidRPr="00404057" w:rsidRDefault="00404057" w:rsidP="00404057">
      <w:pPr>
        <w:spacing w:line="360" w:lineRule="auto"/>
        <w:rPr>
          <w:b/>
        </w:rPr>
      </w:pPr>
    </w:p>
    <w:sectPr w:rsidR="00404057" w:rsidRPr="00404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FD6"/>
    <w:rsid w:val="00404057"/>
    <w:rsid w:val="007C0212"/>
    <w:rsid w:val="0089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405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4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40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2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2025-11-22T10:05:00Z</dcterms:created>
  <dcterms:modified xsi:type="dcterms:W3CDTF">2025-11-22T10:09:00Z</dcterms:modified>
</cp:coreProperties>
</file>