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olor w:val="004B87"/>
          <w:sz w:val="72"/>
          <w:szCs w:val="72"/>
        </w:rPr>
        <w:t xml:space="preserve">ACCREDITIQ</w:t>
      </w:r>
    </w:p>
    <w:p>
      <w:pPr>
        <w:spacing w:after="60" w:before="0"/>
        <w:jc w:val="center"/>
      </w:pPr>
      <w:r>
        <w:rPr>
          <w:rFonts w:ascii="Arial" w:cs="Arial" w:eastAsia="Arial" w:hAnsi="Arial"/>
          <w:color w:val="1A1A2E"/>
          <w:sz w:val="30"/>
          <w:szCs w:val="30"/>
        </w:rPr>
        <w:t xml:space="preserve">AI-Powered NBA Accreditation Intelligence Platform</w:t>
      </w:r>
    </w:p>
    <w:p>
      <w:pPr>
        <w:spacing w:after="400" w:before="40"/>
        <w:jc w:val="center"/>
      </w:pPr>
      <w:r>
        <w:rPr>
          <w:rFonts w:ascii="Arial" w:cs="Arial" w:eastAsia="Arial" w:hAnsi="Arial"/>
          <w:color w:val="F4A800"/>
          <w:sz w:val="24"/>
          <w:szCs w:val="24"/>
        </w:rPr>
        <w:t xml:space="preserv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1F8" w:val="clear"/>
            <w:tcMar>
              <w:top w:type="dxa" w:w="80"/>
              <w:left w:type="dxa" w:w="160"/>
              <w:bottom w:type="dxa" w:w="80"/>
              <w:right w:type="dxa" w:w="80"/>
            </w:tcMar>
          </w:tcPr>
          <w:p>
            <w:r>
              <w:rPr>
                <w:rFonts w:ascii="Arial" w:cs="Arial" w:eastAsia="Arial" w:hAnsi="Arial"/>
                <w:b/>
                <w:bCs/>
                <w:color w:val="004B87"/>
                <w:sz w:val="20"/>
                <w:szCs w:val="20"/>
              </w:rPr>
              <w:t xml:space="preserve">Document Title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A2E"/>
                <w:sz w:val="20"/>
                <w:szCs w:val="20"/>
              </w:rPr>
              <w:t xml:space="preserve">Product Requirements Document (PRD)</w:t>
            </w:r>
          </w:p>
        </w:tc>
      </w:tr>
      <w:tr>
        <w:tc>
          <w:tcPr>
            <w:tcW w:type="dxa" w:w="2500"/>
            <w:tcBorders>
              <w:top w:val="single" w:color="CCCCCC" w:sz="1"/>
              <w:left w:val="single" w:color="CCCCCC" w:sz="1"/>
              <w:bottom w:val="single" w:color="CCCCCC" w:sz="1"/>
              <w:right w:val="single" w:color="CCCCCC" w:sz="1"/>
            </w:tcBorders>
            <w:shd w:fill="E8F1F8" w:val="clear"/>
            <w:tcMar>
              <w:top w:type="dxa" w:w="80"/>
              <w:left w:type="dxa" w:w="160"/>
              <w:bottom w:type="dxa" w:w="80"/>
              <w:right w:type="dxa" w:w="80"/>
            </w:tcMar>
          </w:tcPr>
          <w:p>
            <w:r>
              <w:rPr>
                <w:rFonts w:ascii="Arial" w:cs="Arial" w:eastAsia="Arial" w:hAnsi="Arial"/>
                <w:b/>
                <w:bCs/>
                <w:color w:val="004B87"/>
                <w:sz w:val="20"/>
                <w:szCs w:val="20"/>
              </w:rPr>
              <w:t xml:space="preserve">Product Name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A2E"/>
                <w:sz w:val="20"/>
                <w:szCs w:val="20"/>
              </w:rPr>
              <w:t xml:space="preserve">AccreditIQ</w:t>
            </w:r>
          </w:p>
        </w:tc>
      </w:tr>
      <w:tr>
        <w:tc>
          <w:tcPr>
            <w:tcW w:type="dxa" w:w="2500"/>
            <w:tcBorders>
              <w:top w:val="single" w:color="CCCCCC" w:sz="1"/>
              <w:left w:val="single" w:color="CCCCCC" w:sz="1"/>
              <w:bottom w:val="single" w:color="CCCCCC" w:sz="1"/>
              <w:right w:val="single" w:color="CCCCCC" w:sz="1"/>
            </w:tcBorders>
            <w:shd w:fill="E8F1F8" w:val="clear"/>
            <w:tcMar>
              <w:top w:type="dxa" w:w="80"/>
              <w:left w:type="dxa" w:w="160"/>
              <w:bottom w:type="dxa" w:w="80"/>
              <w:right w:type="dxa" w:w="80"/>
            </w:tcMar>
          </w:tcPr>
          <w:p>
            <w:r>
              <w:rPr>
                <w:rFonts w:ascii="Arial" w:cs="Arial" w:eastAsia="Arial" w:hAnsi="Arial"/>
                <w:b/>
                <w:bCs/>
                <w:color w:val="004B87"/>
                <w:sz w:val="20"/>
                <w:szCs w:val="20"/>
              </w:rPr>
              <w:t xml:space="preserve">Version</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A2E"/>
                <w:sz w:val="20"/>
                <w:szCs w:val="20"/>
              </w:rPr>
              <w:t xml:space="preserve">1.0</w:t>
            </w:r>
          </w:p>
        </w:tc>
      </w:tr>
      <w:tr>
        <w:tc>
          <w:tcPr>
            <w:tcW w:type="dxa" w:w="2500"/>
            <w:tcBorders>
              <w:top w:val="single" w:color="CCCCCC" w:sz="1"/>
              <w:left w:val="single" w:color="CCCCCC" w:sz="1"/>
              <w:bottom w:val="single" w:color="CCCCCC" w:sz="1"/>
              <w:right w:val="single" w:color="CCCCCC" w:sz="1"/>
            </w:tcBorders>
            <w:shd w:fill="E8F1F8" w:val="clear"/>
            <w:tcMar>
              <w:top w:type="dxa" w:w="80"/>
              <w:left w:type="dxa" w:w="160"/>
              <w:bottom w:type="dxa" w:w="80"/>
              <w:right w:type="dxa" w:w="80"/>
            </w:tcMar>
          </w:tcPr>
          <w:p>
            <w:r>
              <w:rPr>
                <w:rFonts w:ascii="Arial" w:cs="Arial" w:eastAsia="Arial" w:hAnsi="Arial"/>
                <w:b/>
                <w:bCs/>
                <w:color w:val="004B87"/>
                <w:sz w:val="20"/>
                <w:szCs w:val="20"/>
              </w:rPr>
              <w:t xml:space="preserve">Date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A2E"/>
                <w:sz w:val="20"/>
                <w:szCs w:val="20"/>
              </w:rPr>
              <w:t xml:space="preserve">April 2026</w:t>
            </w:r>
          </w:p>
        </w:tc>
      </w:tr>
      <w:tr>
        <w:tc>
          <w:tcPr>
            <w:tcW w:type="dxa" w:w="2500"/>
            <w:tcBorders>
              <w:top w:val="single" w:color="CCCCCC" w:sz="1"/>
              <w:left w:val="single" w:color="CCCCCC" w:sz="1"/>
              <w:bottom w:val="single" w:color="CCCCCC" w:sz="1"/>
              <w:right w:val="single" w:color="CCCCCC" w:sz="1"/>
            </w:tcBorders>
            <w:shd w:fill="E8F1F8" w:val="clear"/>
            <w:tcMar>
              <w:top w:type="dxa" w:w="80"/>
              <w:left w:type="dxa" w:w="160"/>
              <w:bottom w:type="dxa" w:w="80"/>
              <w:right w:type="dxa" w:w="80"/>
            </w:tcMar>
          </w:tcPr>
          <w:p>
            <w:r>
              <w:rPr>
                <w:rFonts w:ascii="Arial" w:cs="Arial" w:eastAsia="Arial" w:hAnsi="Arial"/>
                <w:b/>
                <w:bCs/>
                <w:color w:val="004B87"/>
                <w:sz w:val="20"/>
                <w:szCs w:val="20"/>
              </w:rPr>
              <w:t xml:space="preserve">Classification</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A2E"/>
                <w:sz w:val="20"/>
                <w:szCs w:val="20"/>
              </w:rPr>
              <w:t xml:space="preserve">Hackathon Submission — Internal</w:t>
            </w:r>
          </w:p>
        </w:tc>
      </w:tr>
      <w:tr>
        <w:tc>
          <w:tcPr>
            <w:tcW w:type="dxa" w:w="2500"/>
            <w:tcBorders>
              <w:top w:val="single" w:color="CCCCCC" w:sz="1"/>
              <w:left w:val="single" w:color="CCCCCC" w:sz="1"/>
              <w:bottom w:val="single" w:color="CCCCCC" w:sz="1"/>
              <w:right w:val="single" w:color="CCCCCC" w:sz="1"/>
            </w:tcBorders>
            <w:shd w:fill="E8F1F8" w:val="clear"/>
            <w:tcMar>
              <w:top w:type="dxa" w:w="80"/>
              <w:left w:type="dxa" w:w="160"/>
              <w:bottom w:type="dxa" w:w="80"/>
              <w:right w:type="dxa" w:w="80"/>
            </w:tcMar>
          </w:tcPr>
          <w:p>
            <w:r>
              <w:rPr>
                <w:rFonts w:ascii="Arial" w:cs="Arial" w:eastAsia="Arial" w:hAnsi="Arial"/>
                <w:b/>
                <w:bCs/>
                <w:color w:val="004B87"/>
                <w:sz w:val="20"/>
                <w:szCs w:val="20"/>
              </w:rPr>
              <w:t xml:space="preserve">Prepared For</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A2E"/>
                <w:sz w:val="20"/>
                <w:szCs w:val="20"/>
              </w:rPr>
              <w:t xml:space="preserve">National Board of Accreditation (NBA) Ecosystem</w:t>
            </w:r>
          </w:p>
        </w:tc>
      </w:tr>
      <w:tr>
        <w:tc>
          <w:tcPr>
            <w:tcW w:type="dxa" w:w="2500"/>
            <w:tcBorders>
              <w:top w:val="single" w:color="CCCCCC" w:sz="1"/>
              <w:left w:val="single" w:color="CCCCCC" w:sz="1"/>
              <w:bottom w:val="single" w:color="CCCCCC" w:sz="1"/>
              <w:right w:val="single" w:color="CCCCCC" w:sz="1"/>
            </w:tcBorders>
            <w:shd w:fill="E8F1F8" w:val="clear"/>
            <w:tcMar>
              <w:top w:type="dxa" w:w="80"/>
              <w:left w:type="dxa" w:w="160"/>
              <w:bottom w:type="dxa" w:w="80"/>
              <w:right w:type="dxa" w:w="80"/>
            </w:tcMar>
          </w:tcPr>
          <w:p>
            <w:r>
              <w:rPr>
                <w:rFonts w:ascii="Arial" w:cs="Arial" w:eastAsia="Arial" w:hAnsi="Arial"/>
                <w:b/>
                <w:bCs/>
                <w:color w:val="004B87"/>
                <w:sz w:val="20"/>
                <w:szCs w:val="20"/>
              </w:rPr>
              <w:t xml:space="preserve">SAR Framework</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A2E"/>
                <w:sz w:val="20"/>
                <w:szCs w:val="20"/>
              </w:rPr>
              <w:t xml:space="preserve">GAPC V4.0 — Tier II UG Engineering Programs</w:t>
            </w:r>
          </w:p>
        </w:tc>
      </w:tr>
      <w:tr>
        <w:tc>
          <w:tcPr>
            <w:tcW w:type="dxa" w:w="2500"/>
            <w:tcBorders>
              <w:top w:val="single" w:color="CCCCCC" w:sz="1"/>
              <w:left w:val="single" w:color="CCCCCC" w:sz="1"/>
              <w:bottom w:val="single" w:color="CCCCCC" w:sz="1"/>
              <w:right w:val="single" w:color="CCCCCC" w:sz="1"/>
            </w:tcBorders>
            <w:shd w:fill="E8F1F8" w:val="clear"/>
            <w:tcMar>
              <w:top w:type="dxa" w:w="80"/>
              <w:left w:type="dxa" w:w="160"/>
              <w:bottom w:type="dxa" w:w="80"/>
              <w:right w:type="dxa" w:w="80"/>
            </w:tcMar>
          </w:tcPr>
          <w:p>
            <w:r>
              <w:rPr>
                <w:rFonts w:ascii="Arial" w:cs="Arial" w:eastAsia="Arial" w:hAnsi="Arial"/>
                <w:b/>
                <w:bCs/>
                <w:color w:val="004B87"/>
                <w:sz w:val="20"/>
                <w:szCs w:val="20"/>
              </w:rPr>
              <w:t xml:space="preserve">Document Status</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A1A2E"/>
                <w:sz w:val="20"/>
                <w:szCs w:val="20"/>
              </w:rPr>
              <w:t xml:space="preserve">Final</w:t>
            </w:r>
          </w:p>
        </w:tc>
      </w:tr>
    </w:tbl>
    <w:p>
      <w:pPr>
        <w:spacing w:before="500"/>
      </w:pPr>
      <w:r>
        <w:br w:type="page"/>
      </w:r>
    </w:p>
    <w:p>
      <w:pPr>
        <w:pStyle w:val="Heading1"/>
        <w:spacing w:after="120" w:before="360"/>
      </w:pPr>
      <w:r>
        <w:rPr>
          <w:rFonts w:ascii="Arial" w:cs="Arial" w:eastAsia="Arial" w:hAnsi="Arial"/>
          <w:b/>
          <w:bCs/>
          <w:color w:val="004B87"/>
          <w:sz w:val="32"/>
          <w:szCs w:val="32"/>
        </w:rPr>
        <w:t xml:space="preserve">Table of Contents</w:t>
      </w:r>
    </w:p>
    <w:p>
      <w:pPr>
        <w:spacing w:after="60" w:before="60"/>
      </w:pPr>
      <w:r>
        <w:rPr>
          <w:rFonts w:ascii="Arial" w:cs="Arial" w:eastAsia="Arial" w:hAnsi="Arial"/>
          <w:color w:val="555555"/>
          <w:sz w:val="22"/>
          <w:szCs w:val="22"/>
        </w:rPr>
        <w:t xml:space="preserve">1. Executive Summary</w:t>
      </w:r>
    </w:p>
    <w:p>
      <w:pPr>
        <w:spacing w:after="60" w:before="60"/>
      </w:pPr>
      <w:r>
        <w:rPr>
          <w:rFonts w:ascii="Arial" w:cs="Arial" w:eastAsia="Arial" w:hAnsi="Arial"/>
          <w:color w:val="555555"/>
          <w:sz w:val="22"/>
          <w:szCs w:val="22"/>
        </w:rPr>
        <w:t xml:space="preserve">2. Product Overview &amp; Problem Statement</w:t>
      </w:r>
    </w:p>
    <w:p>
      <w:pPr>
        <w:spacing w:after="60" w:before="60"/>
      </w:pPr>
      <w:r>
        <w:rPr>
          <w:rFonts w:ascii="Arial" w:cs="Arial" w:eastAsia="Arial" w:hAnsi="Arial"/>
          <w:color w:val="555555"/>
          <w:sz w:val="22"/>
          <w:szCs w:val="22"/>
        </w:rPr>
        <w:t xml:space="preserve">3. Goals &amp; Success Metrics</w:t>
      </w:r>
    </w:p>
    <w:p>
      <w:pPr>
        <w:spacing w:after="60" w:before="60"/>
      </w:pPr>
      <w:r>
        <w:rPr>
          <w:rFonts w:ascii="Arial" w:cs="Arial" w:eastAsia="Arial" w:hAnsi="Arial"/>
          <w:color w:val="555555"/>
          <w:sz w:val="22"/>
          <w:szCs w:val="22"/>
        </w:rPr>
        <w:t xml:space="preserve">4. User Personas &amp; Roles</w:t>
      </w:r>
    </w:p>
    <w:p>
      <w:pPr>
        <w:spacing w:after="60" w:before="60"/>
      </w:pPr>
      <w:r>
        <w:rPr>
          <w:rFonts w:ascii="Arial" w:cs="Arial" w:eastAsia="Arial" w:hAnsi="Arial"/>
          <w:color w:val="555555"/>
          <w:sz w:val="22"/>
          <w:szCs w:val="22"/>
        </w:rPr>
        <w:t xml:space="preserve">5. Module 1: Unified Dashboard</w:t>
      </w:r>
    </w:p>
    <w:p>
      <w:pPr>
        <w:spacing w:after="60" w:before="60"/>
      </w:pPr>
      <w:r>
        <w:rPr>
          <w:rFonts w:ascii="Arial" w:cs="Arial" w:eastAsia="Arial" w:hAnsi="Arial"/>
          <w:color w:val="555555"/>
          <w:sz w:val="22"/>
          <w:szCs w:val="22"/>
        </w:rPr>
        <w:t xml:space="preserve">6. Module 2: AI Intelligence Engine</w:t>
      </w:r>
    </w:p>
    <w:p>
      <w:pPr>
        <w:spacing w:after="60" w:before="60"/>
      </w:pPr>
      <w:r>
        <w:rPr>
          <w:rFonts w:ascii="Arial" w:cs="Arial" w:eastAsia="Arial" w:hAnsi="Arial"/>
          <w:color w:val="555555"/>
          <w:sz w:val="22"/>
          <w:szCs w:val="22"/>
        </w:rPr>
        <w:t xml:space="preserve">7. Module 3: Sample Audit System</w:t>
      </w:r>
    </w:p>
    <w:p>
      <w:pPr>
        <w:spacing w:after="60" w:before="60"/>
      </w:pPr>
      <w:r>
        <w:rPr>
          <w:rFonts w:ascii="Arial" w:cs="Arial" w:eastAsia="Arial" w:hAnsi="Arial"/>
          <w:color w:val="555555"/>
          <w:sz w:val="22"/>
          <w:szCs w:val="22"/>
        </w:rPr>
        <w:t xml:space="preserve">8. Module 4: Automated CO-PO Mapping</w:t>
      </w:r>
    </w:p>
    <w:p>
      <w:pPr>
        <w:spacing w:after="60" w:before="60"/>
      </w:pPr>
      <w:r>
        <w:rPr>
          <w:rFonts w:ascii="Arial" w:cs="Arial" w:eastAsia="Arial" w:hAnsi="Arial"/>
          <w:color w:val="555555"/>
          <w:sz w:val="22"/>
          <w:szCs w:val="22"/>
        </w:rPr>
        <w:t xml:space="preserve">9. NBA SAR Criteria — Full Coverage Specification</w:t>
      </w:r>
    </w:p>
    <w:p>
      <w:pPr>
        <w:spacing w:after="60" w:before="60"/>
      </w:pPr>
      <w:r>
        <w:rPr>
          <w:rFonts w:ascii="Arial" w:cs="Arial" w:eastAsia="Arial" w:hAnsi="Arial"/>
          <w:color w:val="555555"/>
          <w:sz w:val="22"/>
          <w:szCs w:val="22"/>
        </w:rPr>
        <w:t xml:space="preserve">10. Non-Functional Requirements</w:t>
      </w:r>
    </w:p>
    <w:p>
      <w:pPr>
        <w:spacing w:after="60" w:before="60"/>
      </w:pPr>
      <w:r>
        <w:rPr>
          <w:rFonts w:ascii="Arial" w:cs="Arial" w:eastAsia="Arial" w:hAnsi="Arial"/>
          <w:color w:val="555555"/>
          <w:sz w:val="22"/>
          <w:szCs w:val="22"/>
        </w:rPr>
        <w:t xml:space="preserve">11. Assumptions &amp; Constraints</w:t>
      </w:r>
    </w:p>
    <w:p>
      <w:pPr>
        <w:spacing w:after="60" w:before="60"/>
      </w:pPr>
      <w:r>
        <w:rPr>
          <w:rFonts w:ascii="Arial" w:cs="Arial" w:eastAsia="Arial" w:hAnsi="Arial"/>
          <w:color w:val="555555"/>
          <w:sz w:val="22"/>
          <w:szCs w:val="22"/>
        </w:rPr>
        <w:t xml:space="preserve">12. Out of Scope</w:t>
      </w:r>
    </w:p>
    <w:p>
      <w:r>
        <w:br w:type="page"/>
      </w:r>
    </w:p>
    <w:p>
      <w:pPr>
        <w:pStyle w:val="Heading1"/>
        <w:spacing w:after="120" w:before="360"/>
      </w:pPr>
      <w:r>
        <w:rPr>
          <w:rFonts w:ascii="Arial" w:cs="Arial" w:eastAsia="Arial" w:hAnsi="Arial"/>
          <w:b/>
          <w:bCs/>
          <w:color w:val="004B87"/>
          <w:sz w:val="32"/>
          <w:szCs w:val="32"/>
        </w:rPr>
        <w:t xml:space="preserve">1. Executive Summary</w:t>
      </w:r>
    </w:p>
    <w:p>
      <w:pPr>
        <w:pBdr>
          <w:bottom w:val="single" w:color="004B87" w:sz="4" w:space="1"/>
        </w:pBdr>
        <w:spacing w:after="120" w:before="120"/>
      </w:pPr>
    </w:p>
    <w:p>
      <w:pPr>
        <w:spacing w:after="60" w:before="60"/>
      </w:pPr>
      <w:r>
        <w:rPr>
          <w:rFonts w:ascii="Arial" w:cs="Arial" w:eastAsia="Arial" w:hAnsi="Arial"/>
          <w:color w:val="555555"/>
          <w:sz w:val="22"/>
          <w:szCs w:val="22"/>
        </w:rPr>
        <w:t xml:space="preserve">AccreditIQ is a comprehensive, AI-powered web platform purpose-built to automate, accelerate, and simplify the NBA (National Board of Accreditation) Self-Assessment Report (SAR) generation process for engineering institutions in India. The platform addresses the acute pain point that engineering departments face during NBA accreditation cycles — a process that currently takes months of manual effort, extensive document coordination across dozens of faculty members, and high risk of errors or gaps.</w:t>
      </w:r>
    </w:p>
    <w:p>
      <w:pPr>
        <w:spacing w:after="60" w:before="60"/>
      </w:pPr>
      <w:r>
        <w:rPr>
          <w:rFonts w:ascii="Arial" w:cs="Arial" w:eastAsia="Arial" w:hAnsi="Arial"/>
          <w:color w:val="555555"/>
          <w:sz w:val="22"/>
          <w:szCs w:val="22"/>
        </w:rPr>
        <w:t xml:space="preserve">Built on the GAPC V4.0 framework (January 2025) for Tier-II undergraduate engineering programs, AccreditIQ delivers four tightly integrated modules: a Unified Dashboard for real-time SAR progress tracking, an AI Intelligence Engine trained on NBA guidelines, a Sample Audit Simulator that mimics actual NBA expert visits, and an Automated CO-PO Mapping Engine that eliminates the most labor-intensive computation in accreditation.</w:t>
      </w:r>
    </w:p>
    <w:p>
      <w:pPr>
        <w:spacing w:after="60" w:before="60"/>
      </w:pPr>
      <w:r>
        <w:rPr>
          <w:rFonts w:ascii="Arial" w:cs="Arial" w:eastAsia="Arial" w:hAnsi="Arial"/>
          <w:color w:val="555555"/>
          <w:sz w:val="22"/>
          <w:szCs w:val="22"/>
        </w:rPr>
        <w:t xml:space="preserve">The platform targets NBA Coordinators, Department Heads, Faculty Members, and Institution Administrators — all of whom interact with the system through role-specific secure login portals, ensuring controlled data access, accountability, and collaborative document management.</w:t>
      </w:r>
    </w:p>
    <w:p>
      <w:r>
        <w:br w:type="page"/>
      </w:r>
    </w:p>
    <w:p>
      <w:pPr>
        <w:pStyle w:val="Heading1"/>
        <w:spacing w:after="120" w:before="360"/>
      </w:pPr>
      <w:r>
        <w:rPr>
          <w:rFonts w:ascii="Arial" w:cs="Arial" w:eastAsia="Arial" w:hAnsi="Arial"/>
          <w:b/>
          <w:bCs/>
          <w:color w:val="004B87"/>
          <w:sz w:val="32"/>
          <w:szCs w:val="32"/>
        </w:rPr>
        <w:t xml:space="preserve">2. Product Overview &amp; Problem Statement</w:t>
      </w:r>
    </w:p>
    <w:p>
      <w:pPr>
        <w:pBdr>
          <w:bottom w:val="single" w:color="004B87" w:sz="4" w:space="1"/>
        </w:pBdr>
        <w:spacing w:after="120" w:before="120"/>
      </w:pPr>
    </w:p>
    <w:p>
      <w:pPr>
        <w:pStyle w:val="Heading2"/>
        <w:spacing w:after="80" w:before="240"/>
      </w:pPr>
      <w:r>
        <w:rPr>
          <w:rFonts w:ascii="Arial" w:cs="Arial" w:eastAsia="Arial" w:hAnsi="Arial"/>
          <w:b/>
          <w:bCs/>
          <w:color w:val="1A5276"/>
          <w:sz w:val="26"/>
          <w:szCs w:val="26"/>
        </w:rPr>
        <w:t xml:space="preserve">2.1 The NBA SAR Problem</w:t>
      </w:r>
    </w:p>
    <w:p>
      <w:pPr>
        <w:spacing w:after="60" w:before="60"/>
      </w:pPr>
      <w:r>
        <w:rPr>
          <w:rFonts w:ascii="Arial" w:cs="Arial" w:eastAsia="Arial" w:hAnsi="Arial"/>
          <w:color w:val="555555"/>
          <w:sz w:val="22"/>
          <w:szCs w:val="22"/>
        </w:rPr>
        <w:t xml:space="preserve">The NBA accreditation SAR for a single engineering program spans 9 major criteria, 1,000 total marks, and requires collection, validation, and presentation of hundreds of documents, quantitative tables, attainment calculations, and narrative justifications. Specifically, the GAPC V4.0 format mandates:</w:t>
      </w:r>
    </w:p>
    <w:p>
      <w:pPr>
        <w:pStyle w:val="ListParagraph"/>
        <w:numPr>
          <w:ilvl w:val="0"/>
          <w:numId w:val="2"/>
        </w:numPr>
        <w:spacing w:after="40" w:before="40"/>
      </w:pPr>
      <w:r>
        <w:rPr>
          <w:rFonts w:ascii="Arial" w:cs="Arial" w:eastAsia="Arial" w:hAnsi="Arial"/>
          <w:color w:val="555555"/>
          <w:sz w:val="22"/>
          <w:szCs w:val="22"/>
        </w:rPr>
        <w:t xml:space="preserve">Part A: 13 institutional data points including faculty tables, program inventories, and accreditation history</w:t>
      </w:r>
    </w:p>
    <w:p>
      <w:pPr>
        <w:pStyle w:val="ListParagraph"/>
        <w:numPr>
          <w:ilvl w:val="0"/>
          <w:numId w:val="2"/>
        </w:numPr>
        <w:spacing w:after="40" w:before="40"/>
      </w:pPr>
      <w:r>
        <w:rPr>
          <w:rFonts w:ascii="Arial" w:cs="Arial" w:eastAsia="Arial" w:hAnsi="Arial"/>
          <w:color w:val="555555"/>
          <w:sz w:val="22"/>
          <w:szCs w:val="22"/>
        </w:rPr>
        <w:t xml:space="preserve">Criterion 1 (120 marks): Vision/Mission, PEO mapping, curriculum structure, CO-PO articulation matrices</w:t>
      </w:r>
    </w:p>
    <w:p>
      <w:pPr>
        <w:pStyle w:val="ListParagraph"/>
        <w:numPr>
          <w:ilvl w:val="0"/>
          <w:numId w:val="2"/>
        </w:numPr>
        <w:spacing w:after="40" w:before="40"/>
      </w:pPr>
      <w:r>
        <w:rPr>
          <w:rFonts w:ascii="Arial" w:cs="Arial" w:eastAsia="Arial" w:hAnsi="Arial"/>
          <w:color w:val="555555"/>
          <w:sz w:val="22"/>
          <w:szCs w:val="22"/>
        </w:rPr>
        <w:t xml:space="preserve">Criterion 2 (120 marks): Teaching-learning quality evidence, capstone projects, MOOCs data</w:t>
      </w:r>
    </w:p>
    <w:p>
      <w:pPr>
        <w:pStyle w:val="ListParagraph"/>
        <w:numPr>
          <w:ilvl w:val="0"/>
          <w:numId w:val="2"/>
        </w:numPr>
        <w:spacing w:after="40" w:before="40"/>
      </w:pPr>
      <w:r>
        <w:rPr>
          <w:rFonts w:ascii="Arial" w:cs="Arial" w:eastAsia="Arial" w:hAnsi="Arial"/>
          <w:color w:val="555555"/>
          <w:sz w:val="22"/>
          <w:szCs w:val="22"/>
        </w:rPr>
        <w:t xml:space="preserve">Criterion 3 (120 marks): Assessment rubrics, CO attainment calculations, PO attainment direct and indirect</w:t>
      </w:r>
    </w:p>
    <w:p>
      <w:pPr>
        <w:pStyle w:val="ListParagraph"/>
        <w:numPr>
          <w:ilvl w:val="0"/>
          <w:numId w:val="2"/>
        </w:numPr>
        <w:spacing w:after="40" w:before="40"/>
      </w:pPr>
      <w:r>
        <w:rPr>
          <w:rFonts w:ascii="Arial" w:cs="Arial" w:eastAsia="Arial" w:hAnsi="Arial"/>
          <w:color w:val="555555"/>
          <w:sz w:val="22"/>
          <w:szCs w:val="22"/>
        </w:rPr>
        <w:t xml:space="preserve">Criterion 4 (120 marks): Enrolment ratios, success rates, academic performance indices for 7 years, placement data</w:t>
      </w:r>
    </w:p>
    <w:p>
      <w:pPr>
        <w:pStyle w:val="ListParagraph"/>
        <w:numPr>
          <w:ilvl w:val="0"/>
          <w:numId w:val="2"/>
        </w:numPr>
        <w:spacing w:after="40" w:before="40"/>
      </w:pPr>
      <w:r>
        <w:rPr>
          <w:rFonts w:ascii="Arial" w:cs="Arial" w:eastAsia="Arial" w:hAnsi="Arial"/>
          <w:color w:val="555555"/>
          <w:sz w:val="22"/>
          <w:szCs w:val="22"/>
        </w:rPr>
        <w:t xml:space="preserve">Criterion 5 (100 marks): Student-Faculty Ratio calculations, faculty qualification index, cadre proportion</w:t>
      </w:r>
    </w:p>
    <w:p>
      <w:pPr>
        <w:pStyle w:val="ListParagraph"/>
        <w:numPr>
          <w:ilvl w:val="0"/>
          <w:numId w:val="2"/>
        </w:numPr>
        <w:spacing w:after="40" w:before="40"/>
      </w:pPr>
      <w:r>
        <w:rPr>
          <w:rFonts w:ascii="Arial" w:cs="Arial" w:eastAsia="Arial" w:hAnsi="Arial"/>
          <w:color w:val="555555"/>
          <w:sz w:val="22"/>
          <w:szCs w:val="22"/>
        </w:rPr>
        <w:t xml:space="preserve">Criterion 6 (120 marks): R&amp;D output, funded projects, consultancy, FDP participation</w:t>
      </w:r>
    </w:p>
    <w:p>
      <w:pPr>
        <w:pStyle w:val="ListParagraph"/>
        <w:numPr>
          <w:ilvl w:val="0"/>
          <w:numId w:val="2"/>
        </w:numPr>
        <w:spacing w:after="40" w:before="40"/>
      </w:pPr>
      <w:r>
        <w:rPr>
          <w:rFonts w:ascii="Arial" w:cs="Arial" w:eastAsia="Arial" w:hAnsi="Arial"/>
          <w:color w:val="555555"/>
          <w:sz w:val="22"/>
          <w:szCs w:val="22"/>
        </w:rPr>
        <w:t xml:space="preserve">Criterion 7 (100 marks): Laboratory inventory, safety compliance, technical manpower</w:t>
      </w:r>
    </w:p>
    <w:p>
      <w:pPr>
        <w:pStyle w:val="ListParagraph"/>
        <w:numPr>
          <w:ilvl w:val="0"/>
          <w:numId w:val="2"/>
        </w:numPr>
        <w:spacing w:after="40" w:before="40"/>
      </w:pPr>
      <w:r>
        <w:rPr>
          <w:rFonts w:ascii="Arial" w:cs="Arial" w:eastAsia="Arial" w:hAnsi="Arial"/>
          <w:color w:val="555555"/>
          <w:sz w:val="22"/>
          <w:szCs w:val="22"/>
        </w:rPr>
        <w:t xml:space="preserve">Criterion 8 (80 marks): Continuous improvement actions, academic audit reports</w:t>
      </w:r>
    </w:p>
    <w:p>
      <w:pPr>
        <w:pStyle w:val="ListParagraph"/>
        <w:numPr>
          <w:ilvl w:val="0"/>
          <w:numId w:val="2"/>
        </w:numPr>
        <w:spacing w:after="40" w:before="40"/>
      </w:pPr>
      <w:r>
        <w:rPr>
          <w:rFonts w:ascii="Arial" w:cs="Arial" w:eastAsia="Arial" w:hAnsi="Arial"/>
          <w:color w:val="555555"/>
          <w:sz w:val="22"/>
          <w:szCs w:val="22"/>
        </w:rPr>
        <w:t xml:space="preserve">Criterion 9 (120 marks): Student support, governance, SDG initiatives, budget utilization</w:t>
      </w:r>
    </w:p>
    <w:p>
      <w:pPr>
        <w:pStyle w:val="Heading2"/>
        <w:spacing w:after="80" w:before="240"/>
      </w:pPr>
      <w:r>
        <w:rPr>
          <w:rFonts w:ascii="Arial" w:cs="Arial" w:eastAsia="Arial" w:hAnsi="Arial"/>
          <w:b/>
          <w:bCs/>
          <w:color w:val="1A5276"/>
          <w:sz w:val="26"/>
          <w:szCs w:val="26"/>
        </w:rPr>
        <w:t xml:space="preserve">2.2 Current State of Pain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Pain Area</w:t>
            </w:r>
          </w:p>
        </w:tc>
        <w:tc>
          <w:tcPr>
            <w:tcW w:type="dxa" w:w="328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Current Reality</w:t>
            </w:r>
          </w:p>
        </w:tc>
        <w:tc>
          <w:tcPr>
            <w:tcW w:type="dxa" w:w="328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AccreditIQ Solution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Document Collection</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Emails, WhatsApp, physical drives — no central system</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Encrypted cloud uploader with criterion-wise tagging</w:t>
            </w:r>
          </w:p>
        </w:tc>
      </w:tr>
      <w:tr>
        <w:tc>
          <w:tcPr>
            <w:tcW w:type="dxa" w:w="28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Progress Visibility</w:t>
            </w:r>
          </w:p>
        </w:tc>
        <w:tc>
          <w:tcPr>
            <w:tcW w:type="dxa" w:w="32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NBA Coordinator blind to department progress until submission</w:t>
            </w:r>
          </w:p>
        </w:tc>
        <w:tc>
          <w:tcPr>
            <w:tcW w:type="dxa" w:w="32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Real-time % completion dashboard per criterion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CO-PO Mapping</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Manual Excel computation taking 2-4 weeks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AI auto-generates articulation matrices from syllabi</w:t>
            </w:r>
          </w:p>
        </w:tc>
      </w:tr>
      <w:tr>
        <w:tc>
          <w:tcPr>
            <w:tcW w:type="dxa" w:w="28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Guidelines Knowledge</w:t>
            </w:r>
          </w:p>
        </w:tc>
        <w:tc>
          <w:tcPr>
            <w:tcW w:type="dxa" w:w="32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Faculty unsure of latest NBA norms and scoring logic</w:t>
            </w:r>
          </w:p>
        </w:tc>
        <w:tc>
          <w:tcPr>
            <w:tcW w:type="dxa" w:w="32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AI chatbot with GAPC V4.0 complete knowledge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Audit Preparation</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Departments blind to NBA expert questions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AI audit simulator mimics real NBA expert visits</w:t>
            </w:r>
          </w:p>
        </w:tc>
      </w:tr>
      <w:tr>
        <w:tc>
          <w:tcPr>
            <w:tcW w:type="dxa" w:w="28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Scoring Gaps</w:t>
            </w:r>
          </w:p>
        </w:tc>
        <w:tc>
          <w:tcPr>
            <w:tcW w:type="dxa" w:w="32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Departments unaware of mark distribution until too late</w:t>
            </w:r>
          </w:p>
        </w:tc>
        <w:tc>
          <w:tcPr>
            <w:tcW w:type="dxa" w:w="32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AI readiness scoring against each sub-criterion</w:t>
            </w:r>
          </w:p>
        </w:tc>
      </w:tr>
    </w:tbl>
    <w:p>
      <w:r>
        <w:br w:type="page"/>
      </w:r>
    </w:p>
    <w:p>
      <w:pPr>
        <w:pStyle w:val="Heading1"/>
        <w:spacing w:after="120" w:before="360"/>
      </w:pPr>
      <w:r>
        <w:rPr>
          <w:rFonts w:ascii="Arial" w:cs="Arial" w:eastAsia="Arial" w:hAnsi="Arial"/>
          <w:b/>
          <w:bCs/>
          <w:color w:val="004B87"/>
          <w:sz w:val="32"/>
          <w:szCs w:val="32"/>
        </w:rPr>
        <w:t xml:space="preserve">3. Goals &amp; Success Metrics</w:t>
      </w:r>
    </w:p>
    <w:p>
      <w:pPr>
        <w:pBdr>
          <w:bottom w:val="single" w:color="004B87"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Goal</w:t>
            </w:r>
          </w:p>
        </w:tc>
        <w:tc>
          <w:tcPr>
            <w:tcW w:type="dxa" w:w="30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KPI</w:t>
            </w:r>
          </w:p>
        </w:tc>
        <w:tc>
          <w:tcPr>
            <w:tcW w:type="dxa" w:w="336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Target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Reduce SAR preparation time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Avg. hours spent per criterion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&lt; 40% of current effort</w:t>
            </w:r>
          </w:p>
        </w:tc>
      </w:tr>
      <w:tr>
        <w:tc>
          <w:tcPr>
            <w:tcW w:type="dxa" w:w="30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Improve completeness</w:t>
            </w:r>
          </w:p>
        </w:tc>
        <w:tc>
          <w:tcPr>
            <w:tcW w:type="dxa" w:w="30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Criteria with 100% docs uploaded</w:t>
            </w:r>
          </w:p>
        </w:tc>
        <w:tc>
          <w:tcPr>
            <w:tcW w:type="dxa" w:w="33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&gt; 90% before visit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CO-PO automation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Time for full CO-PO matrix</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&lt; 2 hours from upload</w:t>
            </w:r>
          </w:p>
        </w:tc>
      </w:tr>
      <w:tr>
        <w:tc>
          <w:tcPr>
            <w:tcW w:type="dxa" w:w="30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AI accuracy</w:t>
            </w:r>
          </w:p>
        </w:tc>
        <w:tc>
          <w:tcPr>
            <w:tcW w:type="dxa" w:w="30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AI scoring alignment with NBA marks</w:t>
            </w:r>
          </w:p>
        </w:tc>
        <w:tc>
          <w:tcPr>
            <w:tcW w:type="dxa" w:w="33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&gt; 85% accuracy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Audit readiness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Mock audit pass rate for dept.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&gt; 80% criteria prepared</w:t>
            </w:r>
          </w:p>
        </w:tc>
      </w:tr>
      <w:tr>
        <w:tc>
          <w:tcPr>
            <w:tcW w:type="dxa" w:w="30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User adoption</w:t>
            </w:r>
          </w:p>
        </w:tc>
        <w:tc>
          <w:tcPr>
            <w:tcW w:type="dxa" w:w="30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Active dept. users / total faculty</w:t>
            </w:r>
          </w:p>
        </w:tc>
        <w:tc>
          <w:tcPr>
            <w:tcW w:type="dxa" w:w="33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&gt; 70% engagement</w:t>
            </w:r>
          </w:p>
        </w:tc>
      </w:tr>
    </w:tbl>
    <w:p>
      <w:r>
        <w:br w:type="page"/>
      </w:r>
    </w:p>
    <w:p>
      <w:pPr>
        <w:pStyle w:val="Heading1"/>
        <w:spacing w:after="120" w:before="360"/>
      </w:pPr>
      <w:r>
        <w:rPr>
          <w:rFonts w:ascii="Arial" w:cs="Arial" w:eastAsia="Arial" w:hAnsi="Arial"/>
          <w:b/>
          <w:bCs/>
          <w:color w:val="004B87"/>
          <w:sz w:val="32"/>
          <w:szCs w:val="32"/>
        </w:rPr>
        <w:t xml:space="preserve">4. User Personas &amp; Role-Based Access</w:t>
      </w:r>
    </w:p>
    <w:p>
      <w:pPr>
        <w:pBdr>
          <w:bottom w:val="single" w:color="004B87" w:sz="4" w:space="1"/>
        </w:pBdr>
        <w:spacing w:after="120" w:before="120"/>
      </w:pPr>
    </w:p>
    <w:p>
      <w:pPr>
        <w:pStyle w:val="Heading2"/>
        <w:spacing w:after="80" w:before="240"/>
      </w:pPr>
      <w:r>
        <w:rPr>
          <w:rFonts w:ascii="Arial" w:cs="Arial" w:eastAsia="Arial" w:hAnsi="Arial"/>
          <w:b/>
          <w:bCs/>
          <w:color w:val="1A5276"/>
          <w:sz w:val="26"/>
          <w:szCs w:val="26"/>
        </w:rPr>
        <w:t xml:space="preserve">4.1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80"/>
        <w:gridCol w:w="2580"/>
      </w:tblGrid>
      <w:tr>
        <w:trPr>
          <w:tblHeader/>
        </w:trPr>
        <w:tc>
          <w:tcPr>
            <w:tcW w:type="dxa" w:w="20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Role</w:t>
            </w:r>
          </w:p>
        </w:tc>
        <w:tc>
          <w:tcPr>
            <w:tcW w:type="dxa" w:w="22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User</w:t>
            </w:r>
          </w:p>
        </w:tc>
        <w:tc>
          <w:tcPr>
            <w:tcW w:type="dxa" w:w="258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Primary Actions</w:t>
            </w:r>
          </w:p>
        </w:tc>
        <w:tc>
          <w:tcPr>
            <w:tcW w:type="dxa" w:w="258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Access Level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Super Admin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Principal / Director</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Institute-level dashboard, all departments, final report export</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Full — All Departments</w:t>
            </w:r>
          </w:p>
        </w:tc>
      </w:tr>
      <w:tr>
        <w:tc>
          <w:tcPr>
            <w:tcW w:type="dxa" w:w="20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NBA Coordinator</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Designated Faculty</w:t>
            </w:r>
          </w:p>
        </w:tc>
        <w:tc>
          <w:tcPr>
            <w:tcW w:type="dxa" w:w="25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Cross-dept progress, AI scoring review, audit scheduling</w:t>
            </w:r>
          </w:p>
        </w:tc>
        <w:tc>
          <w:tcPr>
            <w:tcW w:type="dxa" w:w="25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Full — Program Level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Department Head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HOD</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Dept. criterion progress, faculty assignments, doc approval</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Full — Own Department</w:t>
            </w:r>
          </w:p>
        </w:tc>
      </w:tr>
      <w:tr>
        <w:tc>
          <w:tcPr>
            <w:tcW w:type="dxa" w:w="20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Criterion Incharge</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Faculty (assigned)</w:t>
            </w:r>
          </w:p>
        </w:tc>
        <w:tc>
          <w:tcPr>
            <w:tcW w:type="dxa" w:w="25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Upload docs, fill criterion data, AI chatbot access</w:t>
            </w:r>
          </w:p>
        </w:tc>
        <w:tc>
          <w:tcPr>
            <w:tcW w:type="dxa" w:w="25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Criterion-Scoped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Faculty Member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Teaching Staff</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Upload own documents (publications, FDP certs, etc.)</w:t>
            </w:r>
          </w:p>
        </w:tc>
        <w:tc>
          <w:tcPr>
            <w:tcW w:type="dxa" w:w="2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Self + Assigned Criteria</w:t>
            </w:r>
          </w:p>
        </w:tc>
      </w:tr>
      <w:tr>
        <w:tc>
          <w:tcPr>
            <w:tcW w:type="dxa" w:w="20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Viewer / Auditor</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External / Management</w:t>
            </w:r>
          </w:p>
        </w:tc>
        <w:tc>
          <w:tcPr>
            <w:tcW w:type="dxa" w:w="25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Read-only access to SAR progress and documents</w:t>
            </w:r>
          </w:p>
        </w:tc>
        <w:tc>
          <w:tcPr>
            <w:tcW w:type="dxa" w:w="25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Read-Only</w:t>
            </w:r>
          </w:p>
        </w:tc>
      </w:tr>
    </w:tbl>
    <w:p>
      <w:pPr>
        <w:pStyle w:val="Heading2"/>
        <w:spacing w:after="80" w:before="240"/>
      </w:pPr>
      <w:r>
        <w:rPr>
          <w:rFonts w:ascii="Arial" w:cs="Arial" w:eastAsia="Arial" w:hAnsi="Arial"/>
          <w:b/>
          <w:bCs/>
          <w:color w:val="1A5276"/>
          <w:sz w:val="26"/>
          <w:szCs w:val="26"/>
        </w:rPr>
        <w:t xml:space="preserve">4.2 Department-wise Login System</w:t>
      </w:r>
    </w:p>
    <w:p>
      <w:pPr>
        <w:spacing w:after="60" w:before="60"/>
      </w:pPr>
      <w:r>
        <w:rPr>
          <w:rFonts w:ascii="Arial" w:cs="Arial" w:eastAsia="Arial" w:hAnsi="Arial"/>
          <w:color w:val="555555"/>
          <w:sz w:val="22"/>
          <w:szCs w:val="22"/>
        </w:rPr>
        <w:t xml:space="preserve">Each department (e.g., Computer Science, Electronics, Mechanical) has an isolated workspace. Faculty login via institutional email + OTP authentication. The system enforces department isolation — a faculty member from CSE cannot view or modify ECE criterion data unless explicitly granted cross-department access by the Super Admin.</w:t>
      </w:r>
    </w:p>
    <w:p>
      <w:pPr>
        <w:pStyle w:val="ListParagraph"/>
        <w:numPr>
          <w:ilvl w:val="0"/>
          <w:numId w:val="2"/>
        </w:numPr>
        <w:spacing w:after="40" w:before="40"/>
      </w:pPr>
      <w:r>
        <w:rPr>
          <w:rFonts w:ascii="Arial" w:cs="Arial" w:eastAsia="Arial" w:hAnsi="Arial"/>
          <w:color w:val="555555"/>
          <w:sz w:val="22"/>
          <w:szCs w:val="22"/>
        </w:rPr>
        <w:t xml:space="preserve">Authentication: Institutional email + OTP + optional SSO via Google Workspace / Microsoft 365</w:t>
      </w:r>
    </w:p>
    <w:p>
      <w:pPr>
        <w:pStyle w:val="ListParagraph"/>
        <w:numPr>
          <w:ilvl w:val="0"/>
          <w:numId w:val="2"/>
        </w:numPr>
        <w:spacing w:after="40" w:before="40"/>
      </w:pPr>
      <w:r>
        <w:rPr>
          <w:rFonts w:ascii="Arial" w:cs="Arial" w:eastAsia="Arial" w:hAnsi="Arial"/>
          <w:color w:val="555555"/>
          <w:sz w:val="22"/>
          <w:szCs w:val="22"/>
        </w:rPr>
        <w:t xml:space="preserve">Session management: JWT tokens with 8-hour expiry, auto-logout on inactivity</w:t>
      </w:r>
    </w:p>
    <w:p>
      <w:pPr>
        <w:pStyle w:val="ListParagraph"/>
        <w:numPr>
          <w:ilvl w:val="0"/>
          <w:numId w:val="2"/>
        </w:numPr>
        <w:spacing w:after="40" w:before="40"/>
      </w:pPr>
      <w:r>
        <w:rPr>
          <w:rFonts w:ascii="Arial" w:cs="Arial" w:eastAsia="Arial" w:hAnsi="Arial"/>
          <w:color w:val="555555"/>
          <w:sz w:val="22"/>
          <w:szCs w:val="22"/>
        </w:rPr>
        <w:t xml:space="preserve">Audit trail: All login events, uploads, edits, and AI interactions are logged with timestamp and IP</w:t>
      </w:r>
    </w:p>
    <w:p>
      <w:r>
        <w:br w:type="page"/>
      </w:r>
    </w:p>
    <w:p>
      <w:pPr>
        <w:pStyle w:val="Heading1"/>
        <w:spacing w:after="120" w:before="360"/>
      </w:pPr>
      <w:r>
        <w:rPr>
          <w:rFonts w:ascii="Arial" w:cs="Arial" w:eastAsia="Arial" w:hAnsi="Arial"/>
          <w:b/>
          <w:bCs/>
          <w:color w:val="004B87"/>
          <w:sz w:val="32"/>
          <w:szCs w:val="32"/>
        </w:rPr>
        <w:t xml:space="preserve">5. Module 1: Unified Dashboard</w:t>
      </w:r>
    </w:p>
    <w:p>
      <w:pPr>
        <w:pBdr>
          <w:bottom w:val="single" w:color="004B87" w:sz="4" w:space="1"/>
        </w:pBdr>
        <w:spacing w:after="120" w:before="120"/>
      </w:pPr>
    </w:p>
    <w:p>
      <w:pPr>
        <w:pStyle w:val="Heading2"/>
        <w:spacing w:after="80" w:before="240"/>
      </w:pPr>
      <w:r>
        <w:rPr>
          <w:rFonts w:ascii="Arial" w:cs="Arial" w:eastAsia="Arial" w:hAnsi="Arial"/>
          <w:b/>
          <w:bCs/>
          <w:color w:val="1A5276"/>
          <w:sz w:val="26"/>
          <w:szCs w:val="26"/>
        </w:rPr>
        <w:t xml:space="preserve">5.1 SAR Completion Progress Tracker</w:t>
      </w:r>
    </w:p>
    <w:p>
      <w:pPr>
        <w:spacing w:after="60" w:before="60"/>
      </w:pPr>
      <w:r>
        <w:rPr>
          <w:rFonts w:ascii="Arial" w:cs="Arial" w:eastAsia="Arial" w:hAnsi="Arial"/>
          <w:color w:val="555555"/>
          <w:sz w:val="22"/>
          <w:szCs w:val="22"/>
        </w:rPr>
        <w:t xml:space="preserve">The dashboard's centerpiece is a real-time progress visualization that maps to the exact NBA GAPC V4.0 structure. Each of the 9 criteria displays a completion percentage calculated from: (a) required documents uploaded, (b) mandatory data tables filled, and (c) narrative sections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200"/>
        <w:gridCol w:w="1200"/>
        <w:gridCol w:w="1200"/>
        <w:gridCol w:w="2360"/>
      </w:tblGrid>
      <w:tr>
        <w:trPr>
          <w:tblHeader/>
        </w:trPr>
        <w:tc>
          <w:tcPr>
            <w:tcW w:type="dxa" w:w="14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Criterion</w:t>
            </w:r>
          </w:p>
        </w:tc>
        <w:tc>
          <w:tcPr>
            <w:tcW w:type="dxa" w:w="20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Name</w:t>
            </w:r>
          </w:p>
        </w:tc>
        <w:tc>
          <w:tcPr>
            <w:tcW w:type="dxa" w:w="12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Max Marks</w:t>
            </w:r>
          </w:p>
        </w:tc>
        <w:tc>
          <w:tcPr>
            <w:tcW w:type="dxa" w:w="12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Docs Reqd.</w:t>
            </w:r>
          </w:p>
        </w:tc>
        <w:tc>
          <w:tcPr>
            <w:tcW w:type="dxa" w:w="12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 Complete</w:t>
            </w:r>
          </w:p>
        </w:tc>
        <w:tc>
          <w:tcPr>
            <w:tcW w:type="dxa" w:w="236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Outcome-Based Curriculum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120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[Live %]</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In Progress</w:t>
            </w:r>
          </w:p>
        </w:tc>
      </w:tr>
      <w:tr>
        <w:tc>
          <w:tcPr>
            <w:tcW w:type="dxa" w:w="1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C2</w:t>
            </w:r>
          </w:p>
        </w:tc>
        <w:tc>
          <w:tcPr>
            <w:tcW w:type="dxa" w:w="20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Teaching Learning</w:t>
            </w:r>
          </w:p>
        </w:tc>
        <w:tc>
          <w:tcPr>
            <w:tcW w:type="dxa" w:w="1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120</w:t>
            </w:r>
          </w:p>
        </w:tc>
        <w:tc>
          <w:tcPr>
            <w:tcW w:type="dxa" w:w="1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8+</w:t>
            </w:r>
          </w:p>
        </w:tc>
        <w:tc>
          <w:tcPr>
            <w:tcW w:type="dxa" w:w="1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[Live %]</w:t>
            </w:r>
          </w:p>
        </w:tc>
        <w:tc>
          <w:tcPr>
            <w:tcW w:type="dxa" w:w="23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Not Started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Outcome-Based Assessment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120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[Live %]</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In Progress</w:t>
            </w:r>
          </w:p>
        </w:tc>
      </w:tr>
      <w:tr>
        <w:tc>
          <w:tcPr>
            <w:tcW w:type="dxa" w:w="1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C4</w:t>
            </w:r>
          </w:p>
        </w:tc>
        <w:tc>
          <w:tcPr>
            <w:tcW w:type="dxa" w:w="20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Students' Performance</w:t>
            </w:r>
          </w:p>
        </w:tc>
        <w:tc>
          <w:tcPr>
            <w:tcW w:type="dxa" w:w="1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120</w:t>
            </w:r>
          </w:p>
        </w:tc>
        <w:tc>
          <w:tcPr>
            <w:tcW w:type="dxa" w:w="1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15+</w:t>
            </w:r>
          </w:p>
        </w:tc>
        <w:tc>
          <w:tcPr>
            <w:tcW w:type="dxa" w:w="1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[Live %]</w:t>
            </w:r>
          </w:p>
        </w:tc>
        <w:tc>
          <w:tcPr>
            <w:tcW w:type="dxa" w:w="23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Complete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Faculty Information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[Live %]</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In Progress</w:t>
            </w:r>
          </w:p>
        </w:tc>
      </w:tr>
      <w:tr>
        <w:tc>
          <w:tcPr>
            <w:tcW w:type="dxa" w:w="1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C6</w:t>
            </w:r>
          </w:p>
        </w:tc>
        <w:tc>
          <w:tcPr>
            <w:tcW w:type="dxa" w:w="20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Faculty Contributions</w:t>
            </w:r>
          </w:p>
        </w:tc>
        <w:tc>
          <w:tcPr>
            <w:tcW w:type="dxa" w:w="1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120</w:t>
            </w:r>
          </w:p>
        </w:tc>
        <w:tc>
          <w:tcPr>
            <w:tcW w:type="dxa" w:w="1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25+</w:t>
            </w:r>
          </w:p>
        </w:tc>
        <w:tc>
          <w:tcPr>
            <w:tcW w:type="dxa" w:w="1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[Live %]</w:t>
            </w:r>
          </w:p>
        </w:tc>
        <w:tc>
          <w:tcPr>
            <w:tcW w:type="dxa" w:w="23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Not Started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Facilities &amp; Tech Support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[Live %]</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In Progress</w:t>
            </w:r>
          </w:p>
        </w:tc>
      </w:tr>
      <w:tr>
        <w:tc>
          <w:tcPr>
            <w:tcW w:type="dxa" w:w="1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C8</w:t>
            </w:r>
          </w:p>
        </w:tc>
        <w:tc>
          <w:tcPr>
            <w:tcW w:type="dxa" w:w="20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Continuous Improvement</w:t>
            </w:r>
          </w:p>
        </w:tc>
        <w:tc>
          <w:tcPr>
            <w:tcW w:type="dxa" w:w="1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80</w:t>
            </w:r>
          </w:p>
        </w:tc>
        <w:tc>
          <w:tcPr>
            <w:tcW w:type="dxa" w:w="1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6+</w:t>
            </w:r>
          </w:p>
        </w:tc>
        <w:tc>
          <w:tcPr>
            <w:tcW w:type="dxa" w:w="1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[Live %]</w:t>
            </w:r>
          </w:p>
        </w:tc>
        <w:tc>
          <w:tcPr>
            <w:tcW w:type="dxa" w:w="23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Not Started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Student Support &amp; Governance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120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18+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[Live %]</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In Progress</w:t>
            </w:r>
          </w:p>
        </w:tc>
      </w:tr>
    </w:tbl>
    <w:p>
      <w:pPr>
        <w:pStyle w:val="Heading2"/>
        <w:spacing w:after="80" w:before="240"/>
      </w:pPr>
      <w:r>
        <w:rPr>
          <w:rFonts w:ascii="Arial" w:cs="Arial" w:eastAsia="Arial" w:hAnsi="Arial"/>
          <w:b/>
          <w:bCs/>
          <w:color w:val="1A5276"/>
          <w:sz w:val="26"/>
          <w:szCs w:val="26"/>
        </w:rPr>
        <w:t xml:space="preserve">5.2 Criterion Incharge Assignment Panel</w:t>
      </w:r>
    </w:p>
    <w:p>
      <w:pPr>
        <w:spacing w:after="60" w:before="60"/>
      </w:pPr>
      <w:r>
        <w:rPr>
          <w:rFonts w:ascii="Arial" w:cs="Arial" w:eastAsia="Arial" w:hAnsi="Arial"/>
          <w:color w:val="555555"/>
          <w:sz w:val="22"/>
          <w:szCs w:val="22"/>
        </w:rPr>
        <w:t xml:space="preserve">Each criterion and sub-criterion has a designated Incharge faculty member. The dashboard displays name, designation, contact, and document upload status at a glance. Notifications are triggered automatically when document deadlines approach or when AI scoring reveals gaps.</w:t>
      </w:r>
    </w:p>
    <w:p>
      <w:pPr>
        <w:pStyle w:val="ListParagraph"/>
        <w:numPr>
          <w:ilvl w:val="0"/>
          <w:numId w:val="2"/>
        </w:numPr>
        <w:spacing w:after="40" w:before="40"/>
      </w:pPr>
      <w:r>
        <w:rPr>
          <w:rFonts w:ascii="Arial" w:cs="Arial" w:eastAsia="Arial" w:hAnsi="Arial"/>
          <w:color w:val="555555"/>
          <w:sz w:val="22"/>
          <w:szCs w:val="22"/>
        </w:rPr>
        <w:t xml:space="preserve">Incharge assignment by HOD or NBA Coordinator with email notification to assigned faculty</w:t>
      </w:r>
    </w:p>
    <w:p>
      <w:pPr>
        <w:pStyle w:val="ListParagraph"/>
        <w:numPr>
          <w:ilvl w:val="0"/>
          <w:numId w:val="2"/>
        </w:numPr>
        <w:spacing w:after="40" w:before="40"/>
      </w:pPr>
      <w:r>
        <w:rPr>
          <w:rFonts w:ascii="Arial" w:cs="Arial" w:eastAsia="Arial" w:hAnsi="Arial"/>
          <w:color w:val="555555"/>
          <w:sz w:val="22"/>
          <w:szCs w:val="22"/>
        </w:rPr>
        <w:t xml:space="preserve">Sub-criterion level granularity: e.g., C1.1 (Vision/Mission) assigned separately from C1.3 (PO-PSO Mapping)</w:t>
      </w:r>
    </w:p>
    <w:p>
      <w:pPr>
        <w:pStyle w:val="ListParagraph"/>
        <w:numPr>
          <w:ilvl w:val="0"/>
          <w:numId w:val="2"/>
        </w:numPr>
        <w:spacing w:after="40" w:before="40"/>
      </w:pPr>
      <w:r>
        <w:rPr>
          <w:rFonts w:ascii="Arial" w:cs="Arial" w:eastAsia="Arial" w:hAnsi="Arial"/>
          <w:color w:val="555555"/>
          <w:sz w:val="22"/>
          <w:szCs w:val="22"/>
        </w:rPr>
        <w:t xml:space="preserve">Color-coded status: Green (Complete), Amber (Partial), Red (Not Started), Blue (Under Review)</w:t>
      </w:r>
    </w:p>
    <w:p>
      <w:pPr>
        <w:pStyle w:val="Heading2"/>
        <w:spacing w:after="80" w:before="240"/>
      </w:pPr>
      <w:r>
        <w:rPr>
          <w:rFonts w:ascii="Arial" w:cs="Arial" w:eastAsia="Arial" w:hAnsi="Arial"/>
          <w:b/>
          <w:bCs/>
          <w:color w:val="1A5276"/>
          <w:sz w:val="26"/>
          <w:szCs w:val="26"/>
        </w:rPr>
        <w:t xml:space="preserve">5.3 Document Upload System with Checklist</w:t>
      </w:r>
    </w:p>
    <w:p>
      <w:pPr>
        <w:spacing w:after="60" w:before="60"/>
      </w:pPr>
      <w:r>
        <w:rPr>
          <w:rFonts w:ascii="Arial" w:cs="Arial" w:eastAsia="Arial" w:hAnsi="Arial"/>
          <w:color w:val="555555"/>
          <w:sz w:val="22"/>
          <w:szCs w:val="22"/>
        </w:rPr>
        <w:t xml:space="preserve">Each criterion has a pre-loaded document checklist derived directly from the NBA SAR Framework Checklist (GAPC V4.0). Faculty upload documents directly against each checklist item. The system validates file type, size, and auto-tags the document with the criterion/sub-criterion code.</w:t>
      </w:r>
    </w:p>
    <w:p>
      <w:pPr>
        <w:spacing w:after="60" w:before="180"/>
      </w:pPr>
      <w:r>
        <w:rPr>
          <w:rFonts w:ascii="Arial" w:cs="Arial" w:eastAsia="Arial" w:hAnsi="Arial"/>
          <w:b/>
          <w:bCs/>
          <w:color w:val="2874A6"/>
          <w:sz w:val="24"/>
          <w:szCs w:val="24"/>
        </w:rPr>
        <w:t xml:space="preserve">Criterion-wise Document Checklist (NBA Framework Compliant)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2200"/>
        <w:gridCol w:w="1600"/>
      </w:tblGrid>
      <w:tr>
        <w:trPr>
          <w:tblHeader/>
        </w:trPr>
        <w:tc>
          <w:tcPr>
            <w:tcW w:type="dxa" w:w="14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Criterion</w:t>
            </w:r>
          </w:p>
        </w:tc>
        <w:tc>
          <w:tcPr>
            <w:tcW w:type="dxa" w:w="416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Required Document</w:t>
            </w:r>
          </w:p>
        </w:tc>
        <w:tc>
          <w:tcPr>
            <w:tcW w:type="dxa" w:w="22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Format</w:t>
            </w:r>
          </w:p>
        </w:tc>
        <w:tc>
          <w:tcPr>
            <w:tcW w:type="dxa" w:w="16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Mandatory?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C1</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AICTE Approval Letters (all years)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PDF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Yes</w:t>
            </w:r>
          </w:p>
        </w:tc>
      </w:tr>
      <w:tr>
        <w:tc>
          <w:tcPr>
            <w:tcW w:type="dxa" w:w="1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C1</w:t>
            </w:r>
          </w:p>
        </w:tc>
        <w:tc>
          <w:tcPr>
            <w:tcW w:type="dxa" w:w="41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University Affiliation Letters</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PDF</w:t>
            </w:r>
          </w:p>
        </w:tc>
        <w:tc>
          <w:tcPr>
            <w:tcW w:type="dxa" w:w="1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Yes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C1</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Vision &amp; Mission Department Posters/Website Screenshots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PDF/JPG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Yes</w:t>
            </w:r>
          </w:p>
        </w:tc>
      </w:tr>
      <w:tr>
        <w:tc>
          <w:tcPr>
            <w:tcW w:type="dxa" w:w="1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C1</w:t>
            </w:r>
          </w:p>
        </w:tc>
        <w:tc>
          <w:tcPr>
            <w:tcW w:type="dxa" w:w="41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DAB/IQAC Meeting Minutes (PEO Formulation)</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PDF</w:t>
            </w:r>
          </w:p>
        </w:tc>
        <w:tc>
          <w:tcPr>
            <w:tcW w:type="dxa" w:w="1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Yes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C1</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PEO-Mission Mapping Matrix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PDF/XLSX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Yes</w:t>
            </w:r>
          </w:p>
        </w:tc>
      </w:tr>
      <w:tr>
        <w:tc>
          <w:tcPr>
            <w:tcW w:type="dxa" w:w="1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C1</w:t>
            </w:r>
          </w:p>
        </w:tc>
        <w:tc>
          <w:tcPr>
            <w:tcW w:type="dxa" w:w="41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Curriculum Structure with Credits (GAPC V4.0 Table 1.2.1.1)</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PDF/XLSX</w:t>
            </w:r>
          </w:p>
        </w:tc>
        <w:tc>
          <w:tcPr>
            <w:tcW w:type="dxa" w:w="1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Yes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C1</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Gap Analysis Report (curricular gaps vs POs)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PDF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Yes</w:t>
            </w:r>
          </w:p>
        </w:tc>
      </w:tr>
      <w:tr>
        <w:tc>
          <w:tcPr>
            <w:tcW w:type="dxa" w:w="1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C1</w:t>
            </w:r>
          </w:p>
        </w:tc>
        <w:tc>
          <w:tcPr>
            <w:tcW w:type="dxa" w:w="41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Content Beyond Syllabus Evidence (guest lectures, industrial visits)</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PDF</w:t>
            </w:r>
          </w:p>
        </w:tc>
        <w:tc>
          <w:tcPr>
            <w:tcW w:type="dxa" w:w="1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Yes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Academic Calendars (Institute &amp; Department)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PDF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Yes</w:t>
            </w:r>
          </w:p>
        </w:tc>
      </w:tr>
      <w:tr>
        <w:tc>
          <w:tcPr>
            <w:tcW w:type="dxa" w:w="1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C2</w:t>
            </w:r>
          </w:p>
        </w:tc>
        <w:tc>
          <w:tcPr>
            <w:tcW w:type="dxa" w:w="41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Course Files (Teaching plan, attendance, notes)</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PDF</w:t>
            </w:r>
          </w:p>
        </w:tc>
        <w:tc>
          <w:tcPr>
            <w:tcW w:type="dxa" w:w="1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Yes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Capstone Project Monitoring Records &amp; Rubrics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PDF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Yes</w:t>
            </w:r>
          </w:p>
        </w:tc>
      </w:tr>
      <w:tr>
        <w:tc>
          <w:tcPr>
            <w:tcW w:type="dxa" w:w="1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C2</w:t>
            </w:r>
          </w:p>
        </w:tc>
        <w:tc>
          <w:tcPr>
            <w:tcW w:type="dxa" w:w="41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Signed MOUs with Industry Partners</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PDF</w:t>
            </w:r>
          </w:p>
        </w:tc>
        <w:tc>
          <w:tcPr>
            <w:tcW w:type="dxa" w:w="1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Yes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C3</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Sample Internal Test Papers (CO-mapped)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PDF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Yes</w:t>
            </w:r>
          </w:p>
        </w:tc>
      </w:tr>
      <w:tr>
        <w:tc>
          <w:tcPr>
            <w:tcW w:type="dxa" w:w="1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C3</w:t>
            </w:r>
          </w:p>
        </w:tc>
        <w:tc>
          <w:tcPr>
            <w:tcW w:type="dxa" w:w="41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CO Attainment Calculation Spreadsheets</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XLSX</w:t>
            </w:r>
          </w:p>
        </w:tc>
        <w:tc>
          <w:tcPr>
            <w:tcW w:type="dxa" w:w="1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Yes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C3</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Student Exit Survey Records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PDF/XLSX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Yes</w:t>
            </w:r>
          </w:p>
        </w:tc>
      </w:tr>
      <w:tr>
        <w:tc>
          <w:tcPr>
            <w:tcW w:type="dxa" w:w="1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C4</w:t>
            </w:r>
          </w:p>
        </w:tc>
        <w:tc>
          <w:tcPr>
            <w:tcW w:type="dxa" w:w="41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University Result Ledgers (7 academic years)</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PDF</w:t>
            </w:r>
          </w:p>
        </w:tc>
        <w:tc>
          <w:tcPr>
            <w:tcW w:type="dxa" w:w="1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Yes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C4</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Placement Appointment Letters / GATE Scorecards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PDF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Yes</w:t>
            </w:r>
          </w:p>
        </w:tc>
      </w:tr>
      <w:tr>
        <w:tc>
          <w:tcPr>
            <w:tcW w:type="dxa" w:w="1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C5</w:t>
            </w:r>
          </w:p>
        </w:tc>
        <w:tc>
          <w:tcPr>
            <w:tcW w:type="dxa" w:w="41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Faculty Resumes with PAN / APAAR ID</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PDF</w:t>
            </w:r>
          </w:p>
        </w:tc>
        <w:tc>
          <w:tcPr>
            <w:tcW w:type="dxa" w:w="1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Yes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C5</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Ph.D. / M.Tech. Degree Certificates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PDF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Yes</w:t>
            </w:r>
          </w:p>
        </w:tc>
      </w:tr>
      <w:tr>
        <w:tc>
          <w:tcPr>
            <w:tcW w:type="dxa" w:w="1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C6</w:t>
            </w:r>
          </w:p>
        </w:tc>
        <w:tc>
          <w:tcPr>
            <w:tcW w:type="dxa" w:w="41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Scopus/WoS Indexed Publication Copies</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PDF</w:t>
            </w:r>
          </w:p>
        </w:tc>
        <w:tc>
          <w:tcPr>
            <w:tcW w:type="dxa" w:w="1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Yes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C6</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Funded Project Grant Letters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PDF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Yes</w:t>
            </w:r>
          </w:p>
        </w:tc>
      </w:tr>
      <w:tr>
        <w:tc>
          <w:tcPr>
            <w:tcW w:type="dxa" w:w="1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C6</w:t>
            </w:r>
          </w:p>
        </w:tc>
        <w:tc>
          <w:tcPr>
            <w:tcW w:type="dxa" w:w="41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FDP/STTP Participation Certificates</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PDF</w:t>
            </w:r>
          </w:p>
        </w:tc>
        <w:tc>
          <w:tcPr>
            <w:tcW w:type="dxa" w:w="1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Yes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C7</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Lab Stock Registers &amp; Equipment Purchase Invoices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PDF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Yes</w:t>
            </w:r>
          </w:p>
        </w:tc>
      </w:tr>
      <w:tr>
        <w:tc>
          <w:tcPr>
            <w:tcW w:type="dxa" w:w="1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C7</w:t>
            </w:r>
          </w:p>
        </w:tc>
        <w:tc>
          <w:tcPr>
            <w:tcW w:type="dxa" w:w="41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Fire Safety Certificates</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PDF</w:t>
            </w:r>
          </w:p>
        </w:tc>
        <w:tc>
          <w:tcPr>
            <w:tcW w:type="dxa" w:w="1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Yes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C8</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Action Taken Reports (ATR) on CO/PO gaps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PDF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Yes</w:t>
            </w:r>
          </w:p>
        </w:tc>
      </w:tr>
      <w:tr>
        <w:tc>
          <w:tcPr>
            <w:tcW w:type="dxa" w:w="1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C9</w:t>
            </w:r>
          </w:p>
        </w:tc>
        <w:tc>
          <w:tcPr>
            <w:tcW w:type="dxa" w:w="41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Governing Body Meeting Minutes</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PDF</w:t>
            </w:r>
          </w:p>
        </w:tc>
        <w:tc>
          <w:tcPr>
            <w:tcW w:type="dxa" w:w="1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Yes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C9</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Audited Balance Sheets (CFYm1, CFYm2, CFYm3)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PDF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Yes</w:t>
            </w:r>
          </w:p>
        </w:tc>
      </w:tr>
    </w:tbl>
    <w:p>
      <w:pPr>
        <w:pStyle w:val="Heading2"/>
        <w:spacing w:after="80" w:before="240"/>
      </w:pPr>
      <w:r>
        <w:rPr>
          <w:rFonts w:ascii="Arial" w:cs="Arial" w:eastAsia="Arial" w:hAnsi="Arial"/>
          <w:b/>
          <w:bCs/>
          <w:color w:val="1A5276"/>
          <w:sz w:val="26"/>
          <w:szCs w:val="26"/>
        </w:rPr>
        <w:t xml:space="preserve">5.4 NBA SAR Full Skeleton Structure</w:t>
      </w:r>
    </w:p>
    <w:p>
      <w:pPr>
        <w:spacing w:after="60" w:before="60"/>
      </w:pPr>
      <w:r>
        <w:rPr>
          <w:rFonts w:ascii="Arial" w:cs="Arial" w:eastAsia="Arial" w:hAnsi="Arial"/>
          <w:color w:val="555555"/>
          <w:sz w:val="22"/>
          <w:szCs w:val="22"/>
        </w:rPr>
        <w:t xml:space="preserve">The platform pre-loads the complete NBA GAPC V4.0 SAR skeleton as an interactive template. Each section is a fillable block that faculty can edit directly in the platform, mirroring the official format:</w:t>
      </w:r>
    </w:p>
    <w:p>
      <w:pPr>
        <w:pStyle w:val="ListParagraph"/>
        <w:numPr>
          <w:ilvl w:val="0"/>
          <w:numId w:val="2"/>
        </w:numPr>
        <w:spacing w:after="40" w:before="40"/>
      </w:pPr>
      <w:r>
        <w:rPr>
          <w:rFonts w:ascii="Arial" w:cs="Arial" w:eastAsia="Arial" w:hAnsi="Arial"/>
          <w:color w:val="555555"/>
          <w:sz w:val="22"/>
          <w:szCs w:val="22"/>
        </w:rPr>
        <w:t xml:space="preserve">Part A: Institutional Information — 13 fields, Tables A6 through A10</w:t>
      </w:r>
    </w:p>
    <w:p>
      <w:pPr>
        <w:pStyle w:val="ListParagraph"/>
        <w:numPr>
          <w:ilvl w:val="0"/>
          <w:numId w:val="2"/>
        </w:numPr>
        <w:spacing w:after="40" w:before="40"/>
      </w:pPr>
      <w:r>
        <w:rPr>
          <w:rFonts w:ascii="Arial" w:cs="Arial" w:eastAsia="Arial" w:hAnsi="Arial"/>
          <w:color w:val="555555"/>
          <w:sz w:val="22"/>
          <w:szCs w:val="22"/>
        </w:rPr>
        <w:t xml:space="preserve">Part B Criteria Summary — marks distribution table with live score tracking</w:t>
      </w:r>
    </w:p>
    <w:p>
      <w:pPr>
        <w:pStyle w:val="ListParagraph"/>
        <w:numPr>
          <w:ilvl w:val="0"/>
          <w:numId w:val="2"/>
        </w:numPr>
        <w:spacing w:after="40" w:before="40"/>
      </w:pPr>
      <w:r>
        <w:rPr>
          <w:rFonts w:ascii="Arial" w:cs="Arial" w:eastAsia="Arial" w:hAnsi="Arial"/>
          <w:color w:val="555555"/>
          <w:sz w:val="22"/>
          <w:szCs w:val="22"/>
        </w:rPr>
        <w:t xml:space="preserve">Criterion 1 through 9 — each sub-criterion has a dedicated editor card with format hints</w:t>
      </w:r>
    </w:p>
    <w:p>
      <w:pPr>
        <w:pStyle w:val="ListParagraph"/>
        <w:numPr>
          <w:ilvl w:val="0"/>
          <w:numId w:val="2"/>
        </w:numPr>
        <w:spacing w:after="40" w:before="40"/>
      </w:pPr>
      <w:r>
        <w:rPr>
          <w:rFonts w:ascii="Arial" w:cs="Arial" w:eastAsia="Arial" w:hAnsi="Arial"/>
          <w:color w:val="555555"/>
          <w:sz w:val="22"/>
          <w:szCs w:val="22"/>
        </w:rPr>
        <w:t xml:space="preserve">Annexures I, II, III — pre-populated with NBA standard PO statements and allied department lists</w:t>
      </w:r>
    </w:p>
    <w:p>
      <w:pPr>
        <w:pStyle w:val="ListParagraph"/>
        <w:numPr>
          <w:ilvl w:val="0"/>
          <w:numId w:val="2"/>
        </w:numPr>
        <w:spacing w:after="40" w:before="40"/>
      </w:pPr>
      <w:r>
        <w:rPr>
          <w:rFonts w:ascii="Arial" w:cs="Arial" w:eastAsia="Arial" w:hAnsi="Arial"/>
          <w:color w:val="555555"/>
          <w:sz w:val="22"/>
          <w:szCs w:val="22"/>
        </w:rPr>
        <w:t xml:space="preserve">Part C Declaration — digital signature capture with Head of Institution authentication</w:t>
      </w:r>
    </w:p>
    <w:p>
      <w:pPr>
        <w:pStyle w:val="Heading2"/>
        <w:spacing w:after="80" w:before="240"/>
      </w:pPr>
      <w:r>
        <w:rPr>
          <w:rFonts w:ascii="Arial" w:cs="Arial" w:eastAsia="Arial" w:hAnsi="Arial"/>
          <w:b/>
          <w:bCs/>
          <w:color w:val="1A5276"/>
          <w:sz w:val="26"/>
          <w:szCs w:val="26"/>
        </w:rPr>
        <w:t xml:space="preserve">5.5 Encrypted Document Access</w:t>
      </w:r>
    </w:p>
    <w:p>
      <w:pPr>
        <w:spacing w:after="60" w:before="60"/>
      </w:pPr>
      <w:r>
        <w:rPr>
          <w:rFonts w:ascii="Arial" w:cs="Arial" w:eastAsia="Arial" w:hAnsi="Arial"/>
          <w:color w:val="555555"/>
          <w:sz w:val="22"/>
          <w:szCs w:val="22"/>
        </w:rPr>
        <w:t xml:space="preserve">All uploaded documents are encrypted at rest using AES-256 encryption. Access is governed by role-based permissions. Documents can be previewed in-platform (no download for Viewer role) or downloaded (Incharge and above). All access events are logged. A watermarking feature embeds the viewer's name and timestamp on downloaded PDFs for leak tracing.</w:t>
      </w:r>
    </w:p>
    <w:p>
      <w:r>
        <w:br w:type="page"/>
      </w:r>
    </w:p>
    <w:p>
      <w:pPr>
        <w:pStyle w:val="Heading1"/>
        <w:spacing w:after="120" w:before="360"/>
      </w:pPr>
      <w:r>
        <w:rPr>
          <w:rFonts w:ascii="Arial" w:cs="Arial" w:eastAsia="Arial" w:hAnsi="Arial"/>
          <w:b/>
          <w:bCs/>
          <w:color w:val="004B87"/>
          <w:sz w:val="32"/>
          <w:szCs w:val="32"/>
        </w:rPr>
        <w:t xml:space="preserve">6. Module 2: AI Intelligence Engine</w:t>
      </w:r>
    </w:p>
    <w:p>
      <w:pPr>
        <w:pBdr>
          <w:bottom w:val="single" w:color="004B87" w:sz="4" w:space="1"/>
        </w:pBdr>
        <w:spacing w:after="120" w:before="120"/>
      </w:pPr>
    </w:p>
    <w:p>
      <w:pPr>
        <w:pStyle w:val="Heading2"/>
        <w:spacing w:after="80" w:before="240"/>
      </w:pPr>
      <w:r>
        <w:rPr>
          <w:rFonts w:ascii="Arial" w:cs="Arial" w:eastAsia="Arial" w:hAnsi="Arial"/>
          <w:b/>
          <w:bCs/>
          <w:color w:val="1A5276"/>
          <w:sz w:val="26"/>
          <w:szCs w:val="26"/>
        </w:rPr>
        <w:t xml:space="preserve">6.1 AI Chatbot for SAR &amp; NBA Guidance</w:t>
      </w:r>
    </w:p>
    <w:p>
      <w:pPr>
        <w:spacing w:after="60" w:before="60"/>
      </w:pPr>
      <w:r>
        <w:rPr>
          <w:rFonts w:ascii="Arial" w:cs="Arial" w:eastAsia="Arial" w:hAnsi="Arial"/>
          <w:color w:val="555555"/>
          <w:sz w:val="22"/>
          <w:szCs w:val="22"/>
        </w:rPr>
        <w:t xml:space="preserve">The AI chatbot is powered by a fine-tuned large language model with comprehensive knowledge of all NBA guidelines including GAPC V4.0 (January 2025). It answers questions about criteria weightage, document requirements, scoring logic, formula calculations (SFR, FQI, API, Placement Index), and procedural requirements.</w:t>
      </w:r>
    </w:p>
    <w:p>
      <w:pPr>
        <w:pStyle w:val="ListParagraph"/>
        <w:numPr>
          <w:ilvl w:val="0"/>
          <w:numId w:val="2"/>
        </w:numPr>
        <w:spacing w:after="40" w:before="40"/>
      </w:pPr>
      <w:r>
        <w:rPr>
          <w:rFonts w:ascii="Arial" w:cs="Arial" w:eastAsia="Arial" w:hAnsi="Arial"/>
          <w:color w:val="555555"/>
          <w:sz w:val="22"/>
          <w:szCs w:val="22"/>
        </w:rPr>
        <w:t xml:space="preserve">Example queries: 'What documents are needed for Criterion 6.2.3?', 'How is the Faculty Qualification Index calculated?', 'What is the minimum SFR for 30 marks?'</w:t>
      </w:r>
    </w:p>
    <w:p>
      <w:pPr>
        <w:pStyle w:val="ListParagraph"/>
        <w:numPr>
          <w:ilvl w:val="0"/>
          <w:numId w:val="2"/>
        </w:numPr>
        <w:spacing w:after="40" w:before="40"/>
      </w:pPr>
      <w:r>
        <w:rPr>
          <w:rFonts w:ascii="Arial" w:cs="Arial" w:eastAsia="Arial" w:hAnsi="Arial"/>
          <w:color w:val="555555"/>
          <w:sz w:val="22"/>
          <w:szCs w:val="22"/>
        </w:rPr>
        <w:t xml:space="preserve">Context-aware: The chatbot can reference the department's current SAR data to give tailored answers</w:t>
      </w:r>
    </w:p>
    <w:p>
      <w:pPr>
        <w:pStyle w:val="ListParagraph"/>
        <w:numPr>
          <w:ilvl w:val="0"/>
          <w:numId w:val="2"/>
        </w:numPr>
        <w:spacing w:after="40" w:before="40"/>
      </w:pPr>
      <w:r>
        <w:rPr>
          <w:rFonts w:ascii="Arial" w:cs="Arial" w:eastAsia="Arial" w:hAnsi="Arial"/>
          <w:color w:val="555555"/>
          <w:sz w:val="22"/>
          <w:szCs w:val="22"/>
        </w:rPr>
        <w:t xml:space="preserve">Guideline updates: When institution admins upload new NBA circulars or updated guidelines, the AI knowledge base is updated automatically via RAG (Retrieval Augmented Generation)</w:t>
      </w:r>
    </w:p>
    <w:p>
      <w:pPr>
        <w:pStyle w:val="Heading2"/>
        <w:spacing w:after="80" w:before="240"/>
      </w:pPr>
      <w:r>
        <w:rPr>
          <w:rFonts w:ascii="Arial" w:cs="Arial" w:eastAsia="Arial" w:hAnsi="Arial"/>
          <w:b/>
          <w:bCs/>
          <w:color w:val="1A5276"/>
          <w:sz w:val="26"/>
          <w:szCs w:val="26"/>
        </w:rPr>
        <w:t xml:space="preserve">6.2 AI Readiness Scoring per Criterion</w:t>
      </w:r>
    </w:p>
    <w:p>
      <w:pPr>
        <w:spacing w:after="60" w:before="60"/>
      </w:pPr>
      <w:r>
        <w:rPr>
          <w:rFonts w:ascii="Arial" w:cs="Arial" w:eastAsia="Arial" w:hAnsi="Arial"/>
          <w:color w:val="555555"/>
          <w:sz w:val="22"/>
          <w:szCs w:val="22"/>
        </w:rPr>
        <w:t xml:space="preserve">The AI analyzes each uploaded document, filled table, and narrative section and generates a readiness score for each criterion and sub-criterion. The scoring model is calibrated against the NBA marks distribution to provide accurate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760"/>
        <w:gridCol w:w="1600"/>
      </w:tblGrid>
      <w:tr>
        <w:trPr>
          <w:tblHeader/>
        </w:trPr>
        <w:tc>
          <w:tcPr>
            <w:tcW w:type="dxa" w:w="16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Sub-Criterion</w:t>
            </w:r>
          </w:p>
        </w:tc>
        <w:tc>
          <w:tcPr>
            <w:tcW w:type="dxa" w:w="22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Max Marks</w:t>
            </w:r>
          </w:p>
        </w:tc>
        <w:tc>
          <w:tcPr>
            <w:tcW w:type="dxa" w:w="22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AI Assessed Score</w:t>
            </w:r>
          </w:p>
        </w:tc>
        <w:tc>
          <w:tcPr>
            <w:tcW w:type="dxa" w:w="176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Action Required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C1.1 (PEO)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40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[AI Score]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[Gap]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[AI Suggestion]</w:t>
            </w:r>
          </w:p>
        </w:tc>
      </w:tr>
      <w:tr>
        <w:tc>
          <w:tcPr>
            <w:tcW w:type="dxa" w:w="1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C1.2 (Curriculum)</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30</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[AI Score]</w:t>
            </w:r>
          </w:p>
        </w:tc>
        <w:tc>
          <w:tcPr>
            <w:tcW w:type="dxa" w:w="17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[Gap]</w:t>
            </w:r>
          </w:p>
        </w:tc>
        <w:tc>
          <w:tcPr>
            <w:tcW w:type="dxa" w:w="1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[AI Suggestion]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C1.3 (PO-PSO Map)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[AI Score]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[Gap]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[AI Suggestion]</w:t>
            </w:r>
          </w:p>
        </w:tc>
      </w:tr>
      <w:tr>
        <w:tc>
          <w:tcPr>
            <w:tcW w:type="dxa" w:w="1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C1.4 (CO-CAM)</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25</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[AI Score]</w:t>
            </w:r>
          </w:p>
        </w:tc>
        <w:tc>
          <w:tcPr>
            <w:tcW w:type="dxa" w:w="17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[Gap]</w:t>
            </w:r>
          </w:p>
        </w:tc>
        <w:tc>
          <w:tcPr>
            <w:tcW w:type="dxa" w:w="1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[AI Suggestion]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C1.5 (PAM)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[AI Score]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[Gap]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[AI Suggestion]</w:t>
            </w:r>
          </w:p>
        </w:tc>
      </w:tr>
    </w:tbl>
    <w:p>
      <w:r>
        <w:br w:type="page"/>
      </w:r>
    </w:p>
    <w:p>
      <w:pPr>
        <w:pStyle w:val="Heading1"/>
        <w:spacing w:after="120" w:before="360"/>
      </w:pPr>
      <w:r>
        <w:rPr>
          <w:rFonts w:ascii="Arial" w:cs="Arial" w:eastAsia="Arial" w:hAnsi="Arial"/>
          <w:b/>
          <w:bCs/>
          <w:color w:val="004B87"/>
          <w:sz w:val="32"/>
          <w:szCs w:val="32"/>
        </w:rPr>
        <w:t xml:space="preserve">7. Module 3: Sample Audit System</w:t>
      </w:r>
    </w:p>
    <w:p>
      <w:pPr>
        <w:pBdr>
          <w:bottom w:val="single" w:color="004B87" w:sz="4" w:space="1"/>
        </w:pBdr>
        <w:spacing w:after="120" w:before="120"/>
      </w:pPr>
    </w:p>
    <w:p>
      <w:pPr>
        <w:pStyle w:val="Heading2"/>
        <w:spacing w:after="80" w:before="240"/>
      </w:pPr>
      <w:r>
        <w:rPr>
          <w:rFonts w:ascii="Arial" w:cs="Arial" w:eastAsia="Arial" w:hAnsi="Arial"/>
          <w:b/>
          <w:bCs/>
          <w:color w:val="1A5276"/>
          <w:sz w:val="26"/>
          <w:szCs w:val="26"/>
        </w:rPr>
        <w:t xml:space="preserve">7.1 AI NBA Expert Simulator</w:t>
      </w:r>
    </w:p>
    <w:p>
      <w:pPr>
        <w:spacing w:after="60" w:before="60"/>
      </w:pPr>
      <w:r>
        <w:rPr>
          <w:rFonts w:ascii="Arial" w:cs="Arial" w:eastAsia="Arial" w:hAnsi="Arial"/>
          <w:color w:val="555555"/>
          <w:sz w:val="22"/>
          <w:szCs w:val="22"/>
        </w:rPr>
        <w:t xml:space="preserve">The Sample Audit module is the most innovative feature of AccreditIQ. The AI assumes the role of an NBA Expert Visitor and conducts criterion-wise mock audit sessions with the faculty. It is programmed with the questioning patterns, document verification habits, and scoring criteria of actual NBA expert committees based on GAPC V4.0 norms.</w:t>
      </w:r>
    </w:p>
    <w:p>
      <w:pPr>
        <w:pStyle w:val="Heading2"/>
        <w:spacing w:after="80" w:before="240"/>
      </w:pPr>
      <w:r>
        <w:rPr>
          <w:rFonts w:ascii="Arial" w:cs="Arial" w:eastAsia="Arial" w:hAnsi="Arial"/>
          <w:b/>
          <w:bCs/>
          <w:color w:val="1A5276"/>
          <w:sz w:val="26"/>
          <w:szCs w:val="26"/>
        </w:rPr>
        <w:t xml:space="preserve">7.2 Audit Session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Phase</w:t>
            </w:r>
          </w:p>
        </w:tc>
        <w:tc>
          <w:tcPr>
            <w:tcW w:type="dxa" w:w="388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AI Expert Action</w:t>
            </w:r>
          </w:p>
        </w:tc>
        <w:tc>
          <w:tcPr>
            <w:tcW w:type="dxa" w:w="388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Faculty Response Required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Opening</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AI introduces itself as NBA Expert Visitor, requests SAR walk-through</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Faculty presents summary of SAR</w:t>
            </w:r>
          </w:p>
        </w:tc>
      </w:tr>
      <w:tr>
        <w:tc>
          <w:tcPr>
            <w:tcW w:type="dxa" w:w="1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C1 Audit</w:t>
            </w:r>
          </w:p>
        </w:tc>
        <w:tc>
          <w:tcPr>
            <w:tcW w:type="dxa" w:w="38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Asks: 'How were PEOs defined? Show stakeholder involvement evidence.'</w:t>
            </w:r>
          </w:p>
        </w:tc>
        <w:tc>
          <w:tcPr>
            <w:tcW w:type="dxa" w:w="38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Upload DAB minutes, show PEO-Mission matrix</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C3 Audit</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Asks: 'Demonstrate CO attainment for CE301. What corrective actions were taken?'</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Show CO calculation sheets and ATR</w:t>
            </w:r>
          </w:p>
        </w:tc>
      </w:tr>
      <w:tr>
        <w:tc>
          <w:tcPr>
            <w:tcW w:type="dxa" w:w="1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C5 Audit</w:t>
            </w:r>
          </w:p>
        </w:tc>
        <w:tc>
          <w:tcPr>
            <w:tcW w:type="dxa" w:w="38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Asks: 'Calculate SFR for CAYm1. How many faculty have Ph.D.?'</w:t>
            </w:r>
          </w:p>
        </w:tc>
        <w:tc>
          <w:tcPr>
            <w:tcW w:type="dxa" w:w="38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System auto-pulls data from SAR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Closing</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AI provides criterion-wise feedback and predicted score range</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Review AI assessment report</w:t>
            </w:r>
          </w:p>
        </w:tc>
      </w:tr>
    </w:tbl>
    <w:p>
      <w:pPr>
        <w:pStyle w:val="Heading2"/>
        <w:spacing w:after="80" w:before="240"/>
      </w:pPr>
      <w:r>
        <w:rPr>
          <w:rFonts w:ascii="Arial" w:cs="Arial" w:eastAsia="Arial" w:hAnsi="Arial"/>
          <w:b/>
          <w:bCs/>
          <w:color w:val="1A5276"/>
          <w:sz w:val="26"/>
          <w:szCs w:val="26"/>
        </w:rPr>
        <w:t xml:space="preserve">7.3 Sample Audit Questions Bank (criterion-wise)</w:t>
      </w:r>
    </w:p>
    <w:p>
      <w:pPr>
        <w:pStyle w:val="ListParagraph"/>
        <w:numPr>
          <w:ilvl w:val="0"/>
          <w:numId w:val="2"/>
        </w:numPr>
        <w:spacing w:after="40" w:before="40"/>
      </w:pPr>
      <w:r>
        <w:rPr>
          <w:rFonts w:ascii="Arial" w:cs="Arial" w:eastAsia="Arial" w:hAnsi="Arial"/>
          <w:color w:val="555555"/>
          <w:sz w:val="22"/>
          <w:szCs w:val="22"/>
        </w:rPr>
        <w:t xml:space="preserve">C1: 'What is your department's mission? How does PEO2 align with Mission Statement M3?' / 'Show the CO-PO mapping for your core programming course' / 'What is the curriculum gap analysis process?'</w:t>
      </w:r>
    </w:p>
    <w:p>
      <w:pPr>
        <w:pStyle w:val="ListParagraph"/>
        <w:numPr>
          <w:ilvl w:val="0"/>
          <w:numId w:val="2"/>
        </w:numPr>
        <w:spacing w:after="40" w:before="40"/>
      </w:pPr>
      <w:r>
        <w:rPr>
          <w:rFonts w:ascii="Arial" w:cs="Arial" w:eastAsia="Arial" w:hAnsi="Arial"/>
          <w:color w:val="555555"/>
          <w:sz w:val="22"/>
          <w:szCs w:val="22"/>
        </w:rPr>
        <w:t xml:space="preserve">C2: 'Describe pedagogical initiatives for slow learners' / 'How are capstone projects monitored? Show rubrics' / 'What industry-institute partnerships exist?'</w:t>
      </w:r>
    </w:p>
    <w:p>
      <w:pPr>
        <w:pStyle w:val="ListParagraph"/>
        <w:numPr>
          <w:ilvl w:val="0"/>
          <w:numId w:val="2"/>
        </w:numPr>
        <w:spacing w:after="40" w:before="40"/>
      </w:pPr>
      <w:r>
        <w:rPr>
          <w:rFonts w:ascii="Arial" w:cs="Arial" w:eastAsia="Arial" w:hAnsi="Arial"/>
          <w:color w:val="555555"/>
          <w:sz w:val="22"/>
          <w:szCs w:val="22"/>
        </w:rPr>
        <w:t xml:space="preserve">C3: 'Show direct and indirect PO attainment for PO1 and PO5' / 'How are SEE papers mapped to COs?' / 'What is the target attainment level for CO3 of course X?'</w:t>
      </w:r>
    </w:p>
    <w:p>
      <w:pPr>
        <w:pStyle w:val="ListParagraph"/>
        <w:numPr>
          <w:ilvl w:val="0"/>
          <w:numId w:val="2"/>
        </w:numPr>
        <w:spacing w:after="40" w:before="40"/>
      </w:pPr>
      <w:r>
        <w:rPr>
          <w:rFonts w:ascii="Arial" w:cs="Arial" w:eastAsia="Arial" w:hAnsi="Arial"/>
          <w:color w:val="555555"/>
          <w:sz w:val="22"/>
          <w:szCs w:val="22"/>
        </w:rPr>
        <w:t xml:space="preserve">C4: 'What is the 3-year average success rate? How is API calculated?' / 'Show enrolment ratio for CAY-CAYm2' / 'Placement index for LYG batch?'</w:t>
      </w:r>
    </w:p>
    <w:p>
      <w:pPr>
        <w:pStyle w:val="ListParagraph"/>
        <w:numPr>
          <w:ilvl w:val="0"/>
          <w:numId w:val="2"/>
        </w:numPr>
        <w:spacing w:after="40" w:before="40"/>
      </w:pPr>
      <w:r>
        <w:rPr>
          <w:rFonts w:ascii="Arial" w:cs="Arial" w:eastAsia="Arial" w:hAnsi="Arial"/>
          <w:color w:val="555555"/>
          <w:sz w:val="22"/>
          <w:szCs w:val="22"/>
        </w:rPr>
        <w:t xml:space="preserve">C5: 'What is the average SFR for 3 years?' / 'Faculty Qualification Index calculation?' / 'Show faculty retention ratio'</w:t>
      </w:r>
    </w:p>
    <w:p>
      <w:pPr>
        <w:pStyle w:val="ListParagraph"/>
        <w:numPr>
          <w:ilvl w:val="0"/>
          <w:numId w:val="2"/>
        </w:numPr>
        <w:spacing w:after="40" w:before="40"/>
      </w:pPr>
      <w:r>
        <w:rPr>
          <w:rFonts w:ascii="Arial" w:cs="Arial" w:eastAsia="Arial" w:hAnsi="Arial"/>
          <w:color w:val="555555"/>
          <w:sz w:val="22"/>
          <w:szCs w:val="22"/>
        </w:rPr>
        <w:t xml:space="preserve">C6: 'How many Scopus papers in CAYm1?' / 'Total funded project amount in 3 years?' / 'Faculty FDP participation hours?'</w:t>
      </w:r>
    </w:p>
    <w:p>
      <w:pPr>
        <w:pStyle w:val="ListParagraph"/>
        <w:numPr>
          <w:ilvl w:val="0"/>
          <w:numId w:val="2"/>
        </w:numPr>
        <w:spacing w:after="40" w:before="40"/>
      </w:pPr>
      <w:r>
        <w:rPr>
          <w:rFonts w:ascii="Arial" w:cs="Arial" w:eastAsia="Arial" w:hAnsi="Arial"/>
          <w:color w:val="555555"/>
          <w:sz w:val="22"/>
          <w:szCs w:val="22"/>
        </w:rPr>
        <w:t xml:space="preserve">C7: 'Show lab utilization schedule' / 'What safety measures are in place for Lab X?' / 'Project lab facilities?'</w:t>
      </w:r>
    </w:p>
    <w:p>
      <w:pPr>
        <w:pStyle w:val="ListParagraph"/>
        <w:numPr>
          <w:ilvl w:val="0"/>
          <w:numId w:val="2"/>
        </w:numPr>
        <w:spacing w:after="40" w:before="40"/>
      </w:pPr>
      <w:r>
        <w:rPr>
          <w:rFonts w:ascii="Arial" w:cs="Arial" w:eastAsia="Arial" w:hAnsi="Arial"/>
          <w:color w:val="555555"/>
          <w:sz w:val="22"/>
          <w:szCs w:val="22"/>
        </w:rPr>
        <w:t xml:space="preserve">C8: 'What actions were taken when PO7 attainment was below target?' / 'Show academic audit report and compliance'</w:t>
      </w:r>
    </w:p>
    <w:p>
      <w:pPr>
        <w:pStyle w:val="ListParagraph"/>
        <w:numPr>
          <w:ilvl w:val="0"/>
          <w:numId w:val="2"/>
        </w:numPr>
        <w:spacing w:after="40" w:before="40"/>
      </w:pPr>
      <w:r>
        <w:rPr>
          <w:rFonts w:ascii="Arial" w:cs="Arial" w:eastAsia="Arial" w:hAnsi="Arial"/>
          <w:color w:val="555555"/>
          <w:sz w:val="22"/>
          <w:szCs w:val="22"/>
        </w:rPr>
        <w:t xml:space="preserve">C9: 'Explain student mentoring system' / 'Show budget allocation for CFYm1' / 'SDG initiatives evidence?'</w:t>
      </w:r>
    </w:p>
    <w:p>
      <w:r>
        <w:br w:type="page"/>
      </w:r>
    </w:p>
    <w:p>
      <w:pPr>
        <w:pStyle w:val="Heading1"/>
        <w:spacing w:after="120" w:before="360"/>
      </w:pPr>
      <w:r>
        <w:rPr>
          <w:rFonts w:ascii="Arial" w:cs="Arial" w:eastAsia="Arial" w:hAnsi="Arial"/>
          <w:b/>
          <w:bCs/>
          <w:color w:val="004B87"/>
          <w:sz w:val="32"/>
          <w:szCs w:val="32"/>
        </w:rPr>
        <w:t xml:space="preserve">8. Module 4: Automated CO-PO Mapping</w:t>
      </w:r>
    </w:p>
    <w:p>
      <w:pPr>
        <w:pBdr>
          <w:bottom w:val="single" w:color="004B87" w:sz="4" w:space="1"/>
        </w:pBdr>
        <w:spacing w:after="120" w:before="120"/>
      </w:pPr>
    </w:p>
    <w:p>
      <w:pPr>
        <w:pStyle w:val="Heading2"/>
        <w:spacing w:after="80" w:before="240"/>
      </w:pPr>
      <w:r>
        <w:rPr>
          <w:rFonts w:ascii="Arial" w:cs="Arial" w:eastAsia="Arial" w:hAnsi="Arial"/>
          <w:b/>
          <w:bCs/>
          <w:color w:val="1A5276"/>
          <w:sz w:val="26"/>
          <w:szCs w:val="26"/>
        </w:rPr>
        <w:t xml:space="preserve">8.1 Overview</w:t>
      </w:r>
    </w:p>
    <w:p>
      <w:pPr>
        <w:spacing w:after="60" w:before="60"/>
      </w:pPr>
      <w:r>
        <w:rPr>
          <w:rFonts w:ascii="Arial" w:cs="Arial" w:eastAsia="Arial" w:hAnsi="Arial"/>
          <w:color w:val="555555"/>
          <w:sz w:val="22"/>
          <w:szCs w:val="22"/>
        </w:rPr>
        <w:t xml:space="preserve">CO-PO (Course Outcome to Program Outcome) mapping is the analytical backbone of NBA accreditation. The GAPC V4.0 requires Course Articulation Matrices (Table 1.4.2.1) and a Program Articulation Matrix (Table 1.5.1) mapping every course to all 11 POs and 2-3 PSOs using correlation levels (1=Low, 2=Medium, 3=High). AccreditIQ automates this entire workflow.</w:t>
      </w:r>
    </w:p>
    <w:p>
      <w:pPr>
        <w:pStyle w:val="Heading2"/>
        <w:spacing w:after="80" w:before="240"/>
      </w:pPr>
      <w:r>
        <w:rPr>
          <w:rFonts w:ascii="Arial" w:cs="Arial" w:eastAsia="Arial" w:hAnsi="Arial"/>
          <w:b/>
          <w:bCs/>
          <w:color w:val="1A5276"/>
          <w:sz w:val="26"/>
          <w:szCs w:val="26"/>
        </w:rPr>
        <w:t xml:space="preserve">8.2 Document Input Requirements per Mapping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760"/>
        <w:gridCol w:w="1600"/>
      </w:tblGrid>
      <w:tr>
        <w:trPr>
          <w:tblHeader/>
        </w:trPr>
        <w:tc>
          <w:tcPr>
            <w:tcW w:type="dxa" w:w="24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Mapping Required</w:t>
            </w:r>
          </w:p>
        </w:tc>
        <w:tc>
          <w:tcPr>
            <w:tcW w:type="dxa" w:w="26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NBA Section</w:t>
            </w:r>
          </w:p>
        </w:tc>
        <w:tc>
          <w:tcPr>
            <w:tcW w:type="dxa" w:w="276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Documents to Upload</w:t>
            </w:r>
          </w:p>
        </w:tc>
        <w:tc>
          <w:tcPr>
            <w:tcW w:type="dxa" w:w="16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Criteria Context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CO Statement Definition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Table 1.4.1.1</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Course Syllabus, Past Question Papers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C1 (25 marks)</w:t>
            </w:r>
          </w:p>
        </w:tc>
      </w:tr>
      <w:tr>
        <w:tc>
          <w:tcPr>
            <w:tcW w:type="dxa" w:w="2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CO-PO Correlation Matrix</w:t>
            </w:r>
          </w:p>
        </w:tc>
        <w:tc>
          <w:tcPr>
            <w:tcW w:type="dxa" w:w="2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Table 1.4.2.1</w:t>
            </w:r>
          </w:p>
        </w:tc>
        <w:tc>
          <w:tcPr>
            <w:tcW w:type="dxa" w:w="27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COs, PO definitions (Annexure II)</w:t>
            </w:r>
          </w:p>
        </w:tc>
        <w:tc>
          <w:tcPr>
            <w:tcW w:type="dxa" w:w="1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C1, C3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Program Articulation Matrix</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Table 1.5.1</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All Course COs, complete curriculum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C1 (10 marks)</w:t>
            </w:r>
          </w:p>
        </w:tc>
      </w:tr>
      <w:tr>
        <w:tc>
          <w:tcPr>
            <w:tcW w:type="dxa" w:w="2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PO-Mission Mapping</w:t>
            </w:r>
          </w:p>
        </w:tc>
        <w:tc>
          <w:tcPr>
            <w:tcW w:type="dxa" w:w="2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Table 1.1.5.1</w:t>
            </w:r>
          </w:p>
        </w:tc>
        <w:tc>
          <w:tcPr>
            <w:tcW w:type="dxa" w:w="27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Dept. Mission Statement, PEOs</w:t>
            </w:r>
          </w:p>
        </w:tc>
        <w:tc>
          <w:tcPr>
            <w:tcW w:type="dxa" w:w="1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C1.1 (10 marks)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Direct CO Attainment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Table 3.8.1</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Exam marks, CO weightage sheets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C3 (25 marks)</w:t>
            </w:r>
          </w:p>
        </w:tc>
      </w:tr>
      <w:tr>
        <w:tc>
          <w:tcPr>
            <w:tcW w:type="dxa" w:w="2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Indirect PO Attainment</w:t>
            </w:r>
          </w:p>
        </w:tc>
        <w:tc>
          <w:tcPr>
            <w:tcW w:type="dxa" w:w="2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Table 3.8.2</w:t>
            </w:r>
          </w:p>
        </w:tc>
        <w:tc>
          <w:tcPr>
            <w:tcW w:type="dxa" w:w="27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Exit surveys, employer feedback forms</w:t>
            </w:r>
          </w:p>
        </w:tc>
        <w:tc>
          <w:tcPr>
            <w:tcW w:type="dxa" w:w="1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C3 (25 marks)</w:t>
            </w:r>
          </w:p>
        </w:tc>
      </w:tr>
    </w:tbl>
    <w:p>
      <w:pPr>
        <w:pStyle w:val="Heading2"/>
        <w:spacing w:after="80" w:before="240"/>
      </w:pPr>
      <w:r>
        <w:rPr>
          <w:rFonts w:ascii="Arial" w:cs="Arial" w:eastAsia="Arial" w:hAnsi="Arial"/>
          <w:b/>
          <w:bCs/>
          <w:color w:val="1A5276"/>
          <w:sz w:val="26"/>
          <w:szCs w:val="26"/>
        </w:rPr>
        <w:t xml:space="preserve">8.3 Automated Mapping Workflow</w:t>
      </w:r>
    </w:p>
    <w:p>
      <w:pPr>
        <w:spacing w:after="60" w:before="60"/>
      </w:pPr>
      <w:r>
        <w:rPr>
          <w:rFonts w:ascii="Arial" w:cs="Arial" w:eastAsia="Arial" w:hAnsi="Arial"/>
          <w:color w:val="555555"/>
          <w:sz w:val="22"/>
          <w:szCs w:val="22"/>
        </w:rPr>
        <w:t xml:space="preserve">Step 1 — Upload: Faculty upload course syllabus PDFs, CO statements, and examination data.</w:t>
      </w:r>
    </w:p>
    <w:p>
      <w:pPr>
        <w:spacing w:after="60" w:before="60"/>
      </w:pPr>
      <w:r>
        <w:rPr>
          <w:rFonts w:ascii="Arial" w:cs="Arial" w:eastAsia="Arial" w:hAnsi="Arial"/>
          <w:color w:val="555555"/>
          <w:sz w:val="22"/>
          <w:szCs w:val="22"/>
        </w:rPr>
        <w:t xml:space="preserve">Step 2 — AI Extraction: NLP engine extracts course outcomes, identifies Bloom's taxonomy levels, and maps cognitive complexity.</w:t>
      </w:r>
    </w:p>
    <w:p>
      <w:pPr>
        <w:spacing w:after="60" w:before="60"/>
      </w:pPr>
      <w:r>
        <w:rPr>
          <w:rFonts w:ascii="Arial" w:cs="Arial" w:eastAsia="Arial" w:hAnsi="Arial"/>
          <w:color w:val="555555"/>
          <w:sz w:val="22"/>
          <w:szCs w:val="22"/>
        </w:rPr>
        <w:t xml:space="preserve">Step 3 — PO Alignment: AI cross-references extracted COs against the 11 NBA POs (PO1: Engineering Knowledge through PO11: Life-Long Learning) and assigns correlation levels 1, 2, or 3.</w:t>
      </w:r>
    </w:p>
    <w:p>
      <w:pPr>
        <w:spacing w:after="60" w:before="60"/>
      </w:pPr>
      <w:r>
        <w:rPr>
          <w:rFonts w:ascii="Arial" w:cs="Arial" w:eastAsia="Arial" w:hAnsi="Arial"/>
          <w:color w:val="555555"/>
          <w:sz w:val="22"/>
          <w:szCs w:val="22"/>
        </w:rPr>
        <w:t xml:space="preserve">Step 4 — Matrix Generation: System auto-populates Tables 1.4.2.1 and 1.5.1 in exact NBA format, ready for review and export.</w:t>
      </w:r>
    </w:p>
    <w:p>
      <w:pPr>
        <w:spacing w:after="60" w:before="60"/>
      </w:pPr>
      <w:r>
        <w:rPr>
          <w:rFonts w:ascii="Arial" w:cs="Arial" w:eastAsia="Arial" w:hAnsi="Arial"/>
          <w:color w:val="555555"/>
          <w:sz w:val="22"/>
          <w:szCs w:val="22"/>
        </w:rPr>
        <w:t xml:space="preserve">Step 5 — Attainment Calculation: When exam marks data is uploaded, AI computes CO attainment levels, direct PO attainment, and provides overall attainment tables (3.8.1 through 3.8.3).</w:t>
      </w:r>
    </w:p>
    <w:p>
      <w:pPr>
        <w:pStyle w:val="Heading2"/>
        <w:spacing w:after="80" w:before="240"/>
      </w:pPr>
      <w:r>
        <w:rPr>
          <w:rFonts w:ascii="Arial" w:cs="Arial" w:eastAsia="Arial" w:hAnsi="Arial"/>
          <w:b/>
          <w:bCs/>
          <w:color w:val="1A5276"/>
          <w:sz w:val="26"/>
          <w:szCs w:val="26"/>
        </w:rPr>
        <w:t xml:space="preserve">8.4 CO-PO Mapping Requirement by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360"/>
        <w:gridCol w:w="1800"/>
        <w:gridCol w:w="1600"/>
      </w:tblGrid>
      <w:tr>
        <w:trPr>
          <w:tblHeader/>
        </w:trPr>
        <w:tc>
          <w:tcPr>
            <w:tcW w:type="dxa" w:w="14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Criterion</w:t>
            </w:r>
          </w:p>
        </w:tc>
        <w:tc>
          <w:tcPr>
            <w:tcW w:type="dxa" w:w="22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Mapping Type</w:t>
            </w:r>
          </w:p>
        </w:tc>
        <w:tc>
          <w:tcPr>
            <w:tcW w:type="dxa" w:w="236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NBA Table Reference</w:t>
            </w:r>
          </w:p>
        </w:tc>
        <w:tc>
          <w:tcPr>
            <w:tcW w:type="dxa" w:w="18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 at Stake</w:t>
            </w:r>
          </w:p>
        </w:tc>
        <w:tc>
          <w:tcPr>
            <w:tcW w:type="dxa" w:w="16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Status in Platform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C1.3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Course-PO/PSO Matrix</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Table 1.3.2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10 marks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Auto-generated</w:t>
            </w:r>
          </w:p>
        </w:tc>
      </w:tr>
      <w:tr>
        <w:tc>
          <w:tcPr>
            <w:tcW w:type="dxa" w:w="1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C1.4</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Course Articulation Matrix</w:t>
            </w:r>
          </w:p>
        </w:tc>
        <w:tc>
          <w:tcPr>
            <w:tcW w:type="dxa" w:w="23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Table 1.4.2.1</w:t>
            </w:r>
          </w:p>
        </w:tc>
        <w:tc>
          <w:tcPr>
            <w:tcW w:type="dxa" w:w="18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10 marks</w:t>
            </w:r>
          </w:p>
        </w:tc>
        <w:tc>
          <w:tcPr>
            <w:tcW w:type="dxa" w:w="1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Auto-generated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C1.5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Program Articulation Matrix</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Table 1.5.1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10 marks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Auto-generated</w:t>
            </w:r>
          </w:p>
        </w:tc>
      </w:tr>
      <w:tr>
        <w:tc>
          <w:tcPr>
            <w:tcW w:type="dxa" w:w="1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C3.7</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CO Attainment Records</w:t>
            </w:r>
          </w:p>
        </w:tc>
        <w:tc>
          <w:tcPr>
            <w:tcW w:type="dxa" w:w="23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Tables 3.7.1, 3.7.2</w:t>
            </w:r>
          </w:p>
        </w:tc>
        <w:tc>
          <w:tcPr>
            <w:tcW w:type="dxa" w:w="18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25 marks</w:t>
            </w:r>
          </w:p>
        </w:tc>
        <w:tc>
          <w:tcPr>
            <w:tcW w:type="dxa" w:w="1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Auto-calculated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C3.8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PO/PSO Attainment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Tables 3.8.1, 3.8.2, 3.8.3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25 marks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Auto-calculated</w:t>
            </w:r>
          </w:p>
        </w:tc>
      </w:tr>
      <w:tr>
        <w:tc>
          <w:tcPr>
            <w:tcW w:type="dxa" w:w="14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C8.1</w:t>
            </w:r>
          </w:p>
        </w:tc>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Improvement Actions on CO/PO</w:t>
            </w:r>
          </w:p>
        </w:tc>
        <w:tc>
          <w:tcPr>
            <w:tcW w:type="dxa" w:w="236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Section 8.1.1, 8.1.2</w:t>
            </w:r>
          </w:p>
        </w:tc>
        <w:tc>
          <w:tcPr>
            <w:tcW w:type="dxa" w:w="18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40 marks</w:t>
            </w:r>
          </w:p>
        </w:tc>
        <w:tc>
          <w:tcPr>
            <w:tcW w:type="dxa" w:w="16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AI-assisted narrative</w:t>
            </w:r>
          </w:p>
        </w:tc>
      </w:tr>
    </w:tbl>
    <w:p>
      <w:r>
        <w:br w:type="page"/>
      </w:r>
    </w:p>
    <w:p>
      <w:pPr>
        <w:pStyle w:val="Heading1"/>
        <w:spacing w:after="120" w:before="360"/>
      </w:pPr>
      <w:r>
        <w:rPr>
          <w:rFonts w:ascii="Arial" w:cs="Arial" w:eastAsia="Arial" w:hAnsi="Arial"/>
          <w:b/>
          <w:bCs/>
          <w:color w:val="004B87"/>
          <w:sz w:val="32"/>
          <w:szCs w:val="32"/>
        </w:rPr>
        <w:t xml:space="preserve">9. NBA SAR Criteria — Full Coverage Specification</w:t>
      </w:r>
    </w:p>
    <w:p>
      <w:pPr>
        <w:pBdr>
          <w:bottom w:val="single" w:color="004B87" w:sz="4" w:space="1"/>
        </w:pBdr>
        <w:spacing w:after="120" w:before="120"/>
      </w:pPr>
    </w:p>
    <w:p>
      <w:pPr>
        <w:spacing w:after="60" w:before="60"/>
      </w:pPr>
      <w:r>
        <w:rPr>
          <w:rFonts w:ascii="Arial" w:cs="Arial" w:eastAsia="Arial" w:hAnsi="Arial"/>
          <w:color w:val="555555"/>
          <w:sz w:val="22"/>
          <w:szCs w:val="22"/>
        </w:rPr>
        <w:t xml:space="preserve">AccreditIQ covers all 9 NBA criteria with dedicated modules, data fields, document checklists, and AI assistance. The following sub-criteria specifications are mapped directly to GAPC V4.0 (January 2025):</w:t>
      </w:r>
    </w:p>
    <w:p>
      <w:pPr>
        <w:pStyle w:val="Heading2"/>
        <w:spacing w:after="80" w:before="240"/>
      </w:pPr>
      <w:r>
        <w:rPr>
          <w:rFonts w:ascii="Arial" w:cs="Arial" w:eastAsia="Arial" w:hAnsi="Arial"/>
          <w:b/>
          <w:bCs/>
          <w:color w:val="1A5276"/>
          <w:sz w:val="26"/>
          <w:szCs w:val="26"/>
        </w:rPr>
        <w:t xml:space="preserve">Criterion 4 — Students' Performance (120 Marks) — Calculation Engine</w:t>
      </w:r>
    </w:p>
    <w:p>
      <w:pPr>
        <w:spacing w:after="60" w:before="60"/>
      </w:pPr>
      <w:r>
        <w:rPr>
          <w:rFonts w:ascii="Arial" w:cs="Arial" w:eastAsia="Arial" w:hAnsi="Arial"/>
          <w:color w:val="555555"/>
          <w:sz w:val="22"/>
          <w:szCs w:val="22"/>
        </w:rPr>
        <w:t xml:space="preserve">The platform has a built-in calculation engine for all quantitative metrics in Criterion 4, eliminating manual errors:</w:t>
      </w:r>
    </w:p>
    <w:p>
      <w:pPr>
        <w:pStyle w:val="ListParagraph"/>
        <w:numPr>
          <w:ilvl w:val="0"/>
          <w:numId w:val="2"/>
        </w:numPr>
        <w:spacing w:after="40" w:before="40"/>
      </w:pPr>
      <w:r>
        <w:rPr>
          <w:rFonts w:ascii="Arial" w:cs="Arial" w:eastAsia="Arial" w:hAnsi="Arial"/>
          <w:color w:val="555555"/>
          <w:sz w:val="22"/>
          <w:szCs w:val="22"/>
        </w:rPr>
        <w:t xml:space="preserve">C4.1: Enrolment Ratio (ER) = (N1+N4)/N — averaged over CAY, CAYm1, CAYm2 (20 marks)</w:t>
      </w:r>
    </w:p>
    <w:p>
      <w:pPr>
        <w:pStyle w:val="ListParagraph"/>
        <w:numPr>
          <w:ilvl w:val="0"/>
          <w:numId w:val="2"/>
        </w:numPr>
        <w:spacing w:after="40" w:before="40"/>
      </w:pPr>
      <w:r>
        <w:rPr>
          <w:rFonts w:ascii="Arial" w:cs="Arial" w:eastAsia="Arial" w:hAnsi="Arial"/>
          <w:color w:val="555555"/>
          <w:sz w:val="22"/>
          <w:szCs w:val="22"/>
        </w:rPr>
        <w:t xml:space="preserve">C4.2: Success Rate (SR) = (B/A)*100 — averaged over LYG, LYGm1, LYGm2 (15 marks)</w:t>
      </w:r>
    </w:p>
    <w:p>
      <w:pPr>
        <w:pStyle w:val="ListParagraph"/>
        <w:numPr>
          <w:ilvl w:val="0"/>
          <w:numId w:val="2"/>
        </w:numPr>
        <w:spacing w:after="40" w:before="40"/>
      </w:pPr>
      <w:r>
        <w:rPr>
          <w:rFonts w:ascii="Arial" w:cs="Arial" w:eastAsia="Arial" w:hAnsi="Arial"/>
          <w:color w:val="555555"/>
          <w:sz w:val="22"/>
          <w:szCs w:val="22"/>
        </w:rPr>
        <w:t xml:space="preserve">C4.3/4.4/4.5: Academic Performance Index (API) = X*(Y/Z) for years 1, 2, 3 (30 marks total)</w:t>
      </w:r>
    </w:p>
    <w:p>
      <w:pPr>
        <w:pStyle w:val="ListParagraph"/>
        <w:numPr>
          <w:ilvl w:val="0"/>
          <w:numId w:val="2"/>
        </w:numPr>
        <w:spacing w:after="40" w:before="40"/>
      </w:pPr>
      <w:r>
        <w:rPr>
          <w:rFonts w:ascii="Arial" w:cs="Arial" w:eastAsia="Arial" w:hAnsi="Arial"/>
          <w:color w:val="555555"/>
          <w:sz w:val="22"/>
          <w:szCs w:val="22"/>
        </w:rPr>
        <w:t xml:space="preserve">C4.6: Placement Index (P) = ((X+Y+Z)/FS)*100 — averaged over 3 batches (30 marks)</w:t>
      </w:r>
    </w:p>
    <w:p>
      <w:pPr>
        <w:spacing w:after="60" w:before="60"/>
      </w:pPr>
      <w:r>
        <w:rPr>
          <w:rFonts w:ascii="Arial" w:cs="Arial" w:eastAsia="Arial" w:hAnsi="Arial"/>
          <w:color w:val="555555"/>
          <w:sz w:val="22"/>
          <w:szCs w:val="22"/>
        </w:rPr>
        <w:t xml:space="preserve">All tables (4A through 4C) and example calculations from GAPC V4.0 are pre-loaded as templates. Faculty simply input raw data and the system auto-computes all derived values.</w:t>
      </w:r>
    </w:p>
    <w:p>
      <w:pPr>
        <w:pStyle w:val="Heading2"/>
        <w:spacing w:after="80" w:before="240"/>
      </w:pPr>
      <w:r>
        <w:rPr>
          <w:rFonts w:ascii="Arial" w:cs="Arial" w:eastAsia="Arial" w:hAnsi="Arial"/>
          <w:b/>
          <w:bCs/>
          <w:color w:val="1A5276"/>
          <w:sz w:val="26"/>
          <w:szCs w:val="26"/>
        </w:rPr>
        <w:t xml:space="preserve">Criterion 5 — Faculty Information (100 Marks) — SFR Calculator</w:t>
      </w:r>
    </w:p>
    <w:p>
      <w:pPr>
        <w:pStyle w:val="ListParagraph"/>
        <w:numPr>
          <w:ilvl w:val="0"/>
          <w:numId w:val="2"/>
        </w:numPr>
        <w:spacing w:after="40" w:before="40"/>
      </w:pPr>
      <w:r>
        <w:rPr>
          <w:rFonts w:ascii="Arial" w:cs="Arial" w:eastAsia="Arial" w:hAnsi="Arial"/>
          <w:color w:val="555555"/>
          <w:sz w:val="22"/>
          <w:szCs w:val="22"/>
        </w:rPr>
        <w:t xml:space="preserve">Student-Faculty Ratio: SFR = S/TF — calculated at department level including allied departments (30 marks)</w:t>
      </w:r>
    </w:p>
    <w:p>
      <w:pPr>
        <w:pStyle w:val="ListParagraph"/>
        <w:numPr>
          <w:ilvl w:val="0"/>
          <w:numId w:val="2"/>
        </w:numPr>
        <w:spacing w:after="40" w:before="40"/>
      </w:pPr>
      <w:r>
        <w:rPr>
          <w:rFonts w:ascii="Arial" w:cs="Arial" w:eastAsia="Arial" w:hAnsi="Arial"/>
          <w:color w:val="555555"/>
          <w:sz w:val="22"/>
          <w:szCs w:val="22"/>
        </w:rPr>
        <w:t xml:space="preserve">Faculty Qualification Index: FQI = 2.5*[(10X+4Y)/RF] (25 marks)</w:t>
      </w:r>
    </w:p>
    <w:p>
      <w:pPr>
        <w:pStyle w:val="ListParagraph"/>
        <w:numPr>
          <w:ilvl w:val="0"/>
          <w:numId w:val="2"/>
        </w:numPr>
        <w:spacing w:after="40" w:before="40"/>
      </w:pPr>
      <w:r>
        <w:rPr>
          <w:rFonts w:ascii="Arial" w:cs="Arial" w:eastAsia="Arial" w:hAnsi="Arial"/>
          <w:color w:val="555555"/>
          <w:sz w:val="22"/>
          <w:szCs w:val="22"/>
        </w:rPr>
        <w:t xml:space="preserve">Faculty Cadre Proportion: Marks = (AF1/RF1 + AF2/RF2*0.6 + AF3/RF3*0.4)*12.5 (25 marks)</w:t>
      </w:r>
    </w:p>
    <w:p>
      <w:pPr>
        <w:pStyle w:val="ListParagraph"/>
        <w:numPr>
          <w:ilvl w:val="0"/>
          <w:numId w:val="2"/>
        </w:numPr>
        <w:spacing w:after="40" w:before="40"/>
      </w:pPr>
      <w:r>
        <w:rPr>
          <w:rFonts w:ascii="Arial" w:cs="Arial" w:eastAsia="Arial" w:hAnsi="Arial"/>
          <w:color w:val="555555"/>
          <w:sz w:val="22"/>
          <w:szCs w:val="22"/>
        </w:rPr>
        <w:t xml:space="preserve">Faculty Retention: FR = (((A*0)+(B*1)+(C*2)+(D*3)+(E*4))/RF)*2.5 (10 marks)</w:t>
      </w:r>
    </w:p>
    <w:p>
      <w:pPr>
        <w:spacing w:after="60" w:before="60"/>
      </w:pPr>
      <w:r>
        <w:rPr>
          <w:rFonts w:ascii="Arial" w:cs="Arial" w:eastAsia="Arial" w:hAnsi="Arial"/>
          <w:color w:val="555555"/>
          <w:sz w:val="22"/>
          <w:szCs w:val="22"/>
        </w:rPr>
        <w:t xml:space="preserve">The platform handles all allied department clustering logic as per Annexure-III of GAPC V4.0, including CSE allied departments (AI, ML, Data Science, IT, Cyber Security, etc.).</w:t>
      </w:r>
    </w:p>
    <w:p>
      <w:r>
        <w:br w:type="page"/>
      </w:r>
    </w:p>
    <w:p>
      <w:pPr>
        <w:pStyle w:val="Heading1"/>
        <w:spacing w:after="120" w:before="360"/>
      </w:pPr>
      <w:r>
        <w:rPr>
          <w:rFonts w:ascii="Arial" w:cs="Arial" w:eastAsia="Arial" w:hAnsi="Arial"/>
          <w:b/>
          <w:bCs/>
          <w:color w:val="004B87"/>
          <w:sz w:val="32"/>
          <w:szCs w:val="32"/>
        </w:rPr>
        <w:t xml:space="preserve">10. Non-Functional Requirements</w:t>
      </w:r>
    </w:p>
    <w:p>
      <w:pPr>
        <w:pBdr>
          <w:bottom w:val="single" w:color="004B87"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Category</w:t>
            </w:r>
          </w:p>
        </w:tc>
        <w:tc>
          <w:tcPr>
            <w:tcW w:type="dxa" w:w="358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Requirement</w:t>
            </w:r>
          </w:p>
        </w:tc>
        <w:tc>
          <w:tcPr>
            <w:tcW w:type="dxa" w:w="3580"/>
            <w:tcBorders>
              <w:top w:val="single" w:color="CCCCCC" w:sz="1"/>
              <w:left w:val="single" w:color="CCCCCC" w:sz="1"/>
              <w:bottom w:val="single" w:color="CCCCCC" w:sz="1"/>
              <w:right w:val="single" w:color="CCCCCC" w:sz="1"/>
            </w:tcBorders>
            <w:shd w:fill="004B8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Specification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Security</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Data encryption at rest</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AES-256 for all documents</w:t>
            </w:r>
          </w:p>
        </w:tc>
      </w:tr>
      <w:tr>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Security</w:t>
            </w:r>
          </w:p>
        </w:tc>
        <w:tc>
          <w:tcPr>
            <w:tcW w:type="dxa" w:w="35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Data encryption in transit</w:t>
            </w:r>
          </w:p>
        </w:tc>
        <w:tc>
          <w:tcPr>
            <w:tcW w:type="dxa" w:w="35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TLS 1.3 for all API calls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Security</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Authentication</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MFA + JWT + Session management</w:t>
            </w:r>
          </w:p>
        </w:tc>
      </w:tr>
      <w:tr>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Performance</w:t>
            </w:r>
          </w:p>
        </w:tc>
        <w:tc>
          <w:tcPr>
            <w:tcW w:type="dxa" w:w="35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Dashboard load time</w:t>
            </w:r>
          </w:p>
        </w:tc>
        <w:tc>
          <w:tcPr>
            <w:tcW w:type="dxa" w:w="35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&lt; 2 seconds for all panels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Performance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AI chatbot response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&lt; 3 seconds per query</w:t>
            </w:r>
          </w:p>
        </w:tc>
      </w:tr>
      <w:tr>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Performance</w:t>
            </w:r>
          </w:p>
        </w:tc>
        <w:tc>
          <w:tcPr>
            <w:tcW w:type="dxa" w:w="35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CO-PO matrix generation</w:t>
            </w:r>
          </w:p>
        </w:tc>
        <w:tc>
          <w:tcPr>
            <w:tcW w:type="dxa" w:w="35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&lt; 2 minutes per course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Scalability</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Concurrent users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500+ simultaneous users</w:t>
            </w:r>
          </w:p>
        </w:tc>
      </w:tr>
      <w:tr>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Availability</w:t>
            </w:r>
          </w:p>
        </w:tc>
        <w:tc>
          <w:tcPr>
            <w:tcW w:type="dxa" w:w="35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System uptime</w:t>
            </w:r>
          </w:p>
        </w:tc>
        <w:tc>
          <w:tcPr>
            <w:tcW w:type="dxa" w:w="35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99.5% — critical during SAR submission periods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Compliance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Data residency</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India-based cloud storage (AWS Mumbai / Azure India)</w:t>
            </w:r>
          </w:p>
        </w:tc>
      </w:tr>
      <w:tr>
        <w:tc>
          <w:tcPr>
            <w:tcW w:type="dxa" w:w="220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Accessibility</w:t>
            </w:r>
          </w:p>
        </w:tc>
        <w:tc>
          <w:tcPr>
            <w:tcW w:type="dxa" w:w="35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Device support</w:t>
            </w:r>
          </w:p>
        </w:tc>
        <w:tc>
          <w:tcPr>
            <w:tcW w:type="dxa" w:w="3580"/>
            <w:tcBorders>
              <w:top w:val="single" w:color="CCCCCC" w:sz="1"/>
              <w:left w:val="single" w:color="CCCCCC" w:sz="1"/>
              <w:bottom w:val="single" w:color="CCCCCC" w:sz="1"/>
              <w:right w:val="single" w:color="CCCCCC" w:sz="1"/>
            </w:tcBorders>
            <w:shd w:fill="E8F1F8" w:val="clear"/>
            <w:tcMar>
              <w:top w:type="dxa" w:w="60"/>
              <w:left w:type="dxa" w:w="100"/>
              <w:bottom w:type="dxa" w:w="60"/>
              <w:right w:type="dxa" w:w="100"/>
            </w:tcMar>
          </w:tcPr>
          <w:p>
            <w:r>
              <w:rPr>
                <w:rFonts w:ascii="Arial" w:cs="Arial" w:eastAsia="Arial" w:hAnsi="Arial"/>
                <w:color w:val="1A1A2E"/>
                <w:sz w:val="20"/>
                <w:szCs w:val="20"/>
              </w:rPr>
              <w:t xml:space="preserve">Responsive web — desktop and mobile browsers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Backup</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Document backup</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20"/>
                <w:szCs w:val="20"/>
              </w:rPr>
              <w:t xml:space="preserve">Daily automated backup with 30-day retention</w:t>
            </w:r>
          </w:p>
        </w:tc>
      </w:tr>
    </w:tbl>
    <w:p>
      <w:pPr>
        <w:pStyle w:val="Heading1"/>
        <w:spacing w:after="120" w:before="360"/>
      </w:pPr>
      <w:r>
        <w:rPr>
          <w:rFonts w:ascii="Arial" w:cs="Arial" w:eastAsia="Arial" w:hAnsi="Arial"/>
          <w:b/>
          <w:bCs/>
          <w:color w:val="004B87"/>
          <w:sz w:val="32"/>
          <w:szCs w:val="32"/>
        </w:rPr>
        <w:t xml:space="preserve">11. Assumptions &amp; Constraints</w:t>
      </w:r>
    </w:p>
    <w:p>
      <w:pPr>
        <w:pBdr>
          <w:bottom w:val="single" w:color="004B87" w:sz="4" w:space="1"/>
        </w:pBdr>
        <w:spacing w:after="120" w:before="120"/>
      </w:pPr>
    </w:p>
    <w:p>
      <w:pPr>
        <w:pStyle w:val="ListParagraph"/>
        <w:numPr>
          <w:ilvl w:val="0"/>
          <w:numId w:val="2"/>
        </w:numPr>
        <w:spacing w:after="40" w:before="40"/>
      </w:pPr>
      <w:r>
        <w:rPr>
          <w:rFonts w:ascii="Arial" w:cs="Arial" w:eastAsia="Arial" w:hAnsi="Arial"/>
          <w:color w:val="555555"/>
          <w:sz w:val="22"/>
          <w:szCs w:val="22"/>
        </w:rPr>
        <w:t xml:space="preserve">The platform follows NBA GAPC V4.0 (January 2025) as the primary framework. Future format changes will require guideline updates.</w:t>
      </w:r>
    </w:p>
    <w:p>
      <w:pPr>
        <w:pStyle w:val="ListParagraph"/>
        <w:numPr>
          <w:ilvl w:val="0"/>
          <w:numId w:val="2"/>
        </w:numPr>
        <w:spacing w:after="40" w:before="40"/>
      </w:pPr>
      <w:r>
        <w:rPr>
          <w:rFonts w:ascii="Arial" w:cs="Arial" w:eastAsia="Arial" w:hAnsi="Arial"/>
          <w:color w:val="555555"/>
          <w:sz w:val="22"/>
          <w:szCs w:val="22"/>
        </w:rPr>
        <w:t xml:space="preserve">AI scoring accuracy depends on the quality of uploaded documents. Scanned/handwritten documents may require OCR preprocessing.</w:t>
      </w:r>
    </w:p>
    <w:p>
      <w:pPr>
        <w:pStyle w:val="ListParagraph"/>
        <w:numPr>
          <w:ilvl w:val="0"/>
          <w:numId w:val="2"/>
        </w:numPr>
        <w:spacing w:after="40" w:before="40"/>
      </w:pPr>
      <w:r>
        <w:rPr>
          <w:rFonts w:ascii="Arial" w:cs="Arial" w:eastAsia="Arial" w:hAnsi="Arial"/>
          <w:color w:val="555555"/>
          <w:sz w:val="22"/>
          <w:szCs w:val="22"/>
        </w:rPr>
        <w:t xml:space="preserve">CO-PO mapping automation provides AI-suggested correlations; final validation by faculty is mandatory before SAR submission.</w:t>
      </w:r>
    </w:p>
    <w:p>
      <w:pPr>
        <w:pStyle w:val="ListParagraph"/>
        <w:numPr>
          <w:ilvl w:val="0"/>
          <w:numId w:val="2"/>
        </w:numPr>
        <w:spacing w:after="40" w:before="40"/>
      </w:pPr>
      <w:r>
        <w:rPr>
          <w:rFonts w:ascii="Arial" w:cs="Arial" w:eastAsia="Arial" w:hAnsi="Arial"/>
          <w:color w:val="555555"/>
          <w:sz w:val="22"/>
          <w:szCs w:val="22"/>
        </w:rPr>
        <w:t xml:space="preserve">Internet connectivity is assumed. Offline mode is out of scope for v1.0.</w:t>
      </w:r>
    </w:p>
    <w:p>
      <w:pPr>
        <w:pStyle w:val="ListParagraph"/>
        <w:numPr>
          <w:ilvl w:val="0"/>
          <w:numId w:val="2"/>
        </w:numPr>
        <w:spacing w:after="40" w:before="40"/>
      </w:pPr>
      <w:r>
        <w:rPr>
          <w:rFonts w:ascii="Arial" w:cs="Arial" w:eastAsia="Arial" w:hAnsi="Arial"/>
          <w:color w:val="555555"/>
          <w:sz w:val="22"/>
          <w:szCs w:val="22"/>
        </w:rPr>
        <w:t xml:space="preserve">The platform is designed for Tier-II institution programs; Tier-I (autonomous) institutions have different SAR requirements.</w:t>
      </w:r>
    </w:p>
    <w:p>
      <w:pPr>
        <w:pStyle w:val="Heading1"/>
        <w:spacing w:after="120" w:before="360"/>
      </w:pPr>
      <w:r>
        <w:rPr>
          <w:rFonts w:ascii="Arial" w:cs="Arial" w:eastAsia="Arial" w:hAnsi="Arial"/>
          <w:b/>
          <w:bCs/>
          <w:color w:val="004B87"/>
          <w:sz w:val="32"/>
          <w:szCs w:val="32"/>
        </w:rPr>
        <w:t xml:space="preserve">12. Out of Scope (v1.0)</w:t>
      </w:r>
    </w:p>
    <w:p>
      <w:pPr>
        <w:pBdr>
          <w:bottom w:val="single" w:color="004B87" w:sz="4" w:space="1"/>
        </w:pBdr>
        <w:spacing w:after="120" w:before="120"/>
      </w:pPr>
    </w:p>
    <w:p>
      <w:pPr>
        <w:pStyle w:val="ListParagraph"/>
        <w:numPr>
          <w:ilvl w:val="0"/>
          <w:numId w:val="2"/>
        </w:numPr>
        <w:spacing w:after="40" w:before="40"/>
      </w:pPr>
      <w:r>
        <w:rPr>
          <w:rFonts w:ascii="Arial" w:cs="Arial" w:eastAsia="Arial" w:hAnsi="Arial"/>
          <w:color w:val="555555"/>
          <w:sz w:val="22"/>
          <w:szCs w:val="22"/>
        </w:rPr>
        <w:t xml:space="preserve">Integration with NBA's official online submission portal (nbaind.org)</w:t>
      </w:r>
    </w:p>
    <w:p>
      <w:pPr>
        <w:pStyle w:val="ListParagraph"/>
        <w:numPr>
          <w:ilvl w:val="0"/>
          <w:numId w:val="2"/>
        </w:numPr>
        <w:spacing w:after="40" w:before="40"/>
      </w:pPr>
      <w:r>
        <w:rPr>
          <w:rFonts w:ascii="Arial" w:cs="Arial" w:eastAsia="Arial" w:hAnsi="Arial"/>
          <w:color w:val="555555"/>
          <w:sz w:val="22"/>
          <w:szCs w:val="22"/>
        </w:rPr>
        <w:t xml:space="preserve">Support for PG engineering program SARs (separate format)</w:t>
      </w:r>
    </w:p>
    <w:p>
      <w:pPr>
        <w:pStyle w:val="ListParagraph"/>
        <w:numPr>
          <w:ilvl w:val="0"/>
          <w:numId w:val="2"/>
        </w:numPr>
        <w:spacing w:after="40" w:before="40"/>
      </w:pPr>
      <w:r>
        <w:rPr>
          <w:rFonts w:ascii="Arial" w:cs="Arial" w:eastAsia="Arial" w:hAnsi="Arial"/>
          <w:color w:val="555555"/>
          <w:sz w:val="22"/>
          <w:szCs w:val="22"/>
        </w:rPr>
        <w:t xml:space="preserve">NAAC accreditation framework (separate system)</w:t>
      </w:r>
    </w:p>
    <w:p>
      <w:pPr>
        <w:pStyle w:val="ListParagraph"/>
        <w:numPr>
          <w:ilvl w:val="0"/>
          <w:numId w:val="2"/>
        </w:numPr>
        <w:spacing w:after="40" w:before="40"/>
      </w:pPr>
      <w:r>
        <w:rPr>
          <w:rFonts w:ascii="Arial" w:cs="Arial" w:eastAsia="Arial" w:hAnsi="Arial"/>
          <w:color w:val="555555"/>
          <w:sz w:val="22"/>
          <w:szCs w:val="22"/>
        </w:rPr>
        <w:t xml:space="preserve">Automated generation of physical SAR binders / printed reports (export to PDF/DOCX available but print layout not guaranteed)</w:t>
      </w:r>
    </w:p>
    <w:p>
      <w:pPr>
        <w:pStyle w:val="ListParagraph"/>
        <w:numPr>
          <w:ilvl w:val="0"/>
          <w:numId w:val="2"/>
        </w:numPr>
        <w:spacing w:after="40" w:before="40"/>
      </w:pPr>
      <w:r>
        <w:rPr>
          <w:rFonts w:ascii="Arial" w:cs="Arial" w:eastAsia="Arial" w:hAnsi="Arial"/>
          <w:color w:val="555555"/>
          <w:sz w:val="22"/>
          <w:szCs w:val="22"/>
        </w:rPr>
        <w:t xml:space="preserve">Real-time video audit with NBA experts</w:t>
      </w:r>
    </w:p>
    <w:p>
      <w:pPr>
        <w:spacing w:before="400"/>
        <w:jc w:val="center"/>
      </w:pPr>
      <w:r>
        <w:rPr>
          <w:rFonts w:ascii="Arial" w:cs="Arial" w:eastAsia="Arial" w:hAnsi="Arial"/>
          <w:i/>
          <w:iCs/>
          <w:color w:val="555555"/>
          <w:sz w:val="18"/>
          <w:szCs w:val="18"/>
        </w:rPr>
        <w:t xml:space="preserve">AccreditIQ | Product Requirements Document | 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4B87" w:sz="4" w:space="6"/>
      </w:pBdr>
    </w:pPr>
    <w:r>
      <w:rPr>
        <w:rFonts w:ascii="Arial" w:cs="Arial" w:eastAsia="Arial" w:hAnsi="Arial"/>
        <w:color w:val="555555"/>
        <w:sz w:val="18"/>
        <w:szCs w:val="18"/>
      </w:rPr>
      <w:t xml:space="preserve">AccreditIQ  |  Product Requirements Document  |  Page </w:t>
    </w:r>
    <w:r>
      <w:rPr>
        <w:rFonts w:ascii="Arial" w:cs="Arial" w:eastAsia="Arial" w:hAnsi="Arial"/>
        <w:color w:val="004B87"/>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B87" w:sz="4" w:space="6"/>
      </w:pBdr>
    </w:pPr>
    <w:r>
      <w:rPr>
        <w:rFonts w:ascii="Arial" w:cs="Arial" w:eastAsia="Arial" w:hAnsi="Arial"/>
        <w:color w:val="555555"/>
        <w:sz w:val="18"/>
        <w:szCs w:val="18"/>
      </w:rPr>
      <w:t xml:space="preserve">AccreditIQ  |  PRD v1.0  |  Confidential</w:t>
    </w:r>
    <w:r>
      <w:rPr>
        <w:rFonts w:ascii="Arial" w:cs="Arial" w:eastAsia="Arial" w:hAnsi="Arial"/>
        <w:b/>
        <w:bCs/>
        <w:color w:val="004B87"/>
        <w:sz w:val="18"/>
        <w:szCs w:val="18"/>
      </w:rPr>
      <w:t xml:space="preserve">          National Board of Accreditation SAR Automation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4B87"/>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2026-04-08T10:22:02.773Z</dcterms:created>
  <dcterms:modified xsi:type="dcterms:W3CDTF">2026-04-08T10:22:02.774Z</dcterms:modified>
</cp:coreProperties>
</file>

<file path=docProps/custom.xml><?xml version="1.0" encoding="utf-8"?>
<Properties xmlns="http://schemas.openxmlformats.org/officeDocument/2006/custom-properties" xmlns:vt="http://schemas.openxmlformats.org/officeDocument/2006/docPropsVTypes"/>
</file>